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BA43E" w14:textId="3FB37B14" w:rsidR="000B1DA7" w:rsidRPr="0096148E" w:rsidRDefault="00294403" w:rsidP="0096148E">
      <w:pPr>
        <w:rPr>
          <w:rFonts w:eastAsia="宋体"/>
          <w:lang w:eastAsia="zh-CN"/>
        </w:rPr>
      </w:pPr>
      <w:r w:rsidRPr="00294403">
        <w:rPr>
          <w:b/>
          <w:sz w:val="24"/>
        </w:rPr>
        <w:t>Additional file</w:t>
      </w:r>
      <w:r>
        <w:rPr>
          <w:b/>
          <w:sz w:val="24"/>
        </w:rPr>
        <w:t xml:space="preserve"> 3. Model robustness and sensitivity analyses</w:t>
      </w:r>
    </w:p>
    <w:tbl>
      <w:tblPr>
        <w:tblStyle w:val="aff1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82"/>
        <w:gridCol w:w="2186"/>
        <w:gridCol w:w="1686"/>
        <w:gridCol w:w="3770"/>
        <w:gridCol w:w="2581"/>
        <w:gridCol w:w="2955"/>
      </w:tblGrid>
      <w:tr w:rsidR="000B1DA7" w14:paraId="1A814F31" w14:textId="77777777">
        <w:trPr>
          <w:tblHeader/>
          <w:jc w:val="center"/>
        </w:trPr>
        <w:tc>
          <w:tcPr>
            <w:tcW w:w="1728" w:type="dxa"/>
            <w:shd w:val="clear" w:color="auto" w:fill="D9EAF7"/>
            <w:vAlign w:val="center"/>
          </w:tcPr>
          <w:p w14:paraId="63A89465" w14:textId="77777777" w:rsidR="000B1DA7" w:rsidRDefault="000C3D42">
            <w:r>
              <w:rPr>
                <w:b/>
                <w:sz w:val="15"/>
              </w:rPr>
              <w:t>Analysis</w:t>
            </w:r>
          </w:p>
        </w:tc>
        <w:tc>
          <w:tcPr>
            <w:tcW w:w="2448" w:type="dxa"/>
            <w:shd w:val="clear" w:color="auto" w:fill="D9EAF7"/>
            <w:vAlign w:val="center"/>
          </w:tcPr>
          <w:p w14:paraId="5551D788" w14:textId="77777777" w:rsidR="000B1DA7" w:rsidRDefault="000C3D42">
            <w:r>
              <w:rPr>
                <w:b/>
                <w:sz w:val="15"/>
              </w:rPr>
              <w:t>Model or metric</w:t>
            </w:r>
          </w:p>
        </w:tc>
        <w:tc>
          <w:tcPr>
            <w:tcW w:w="1872" w:type="dxa"/>
            <w:shd w:val="clear" w:color="auto" w:fill="D9EAF7"/>
            <w:vAlign w:val="center"/>
          </w:tcPr>
          <w:p w14:paraId="3FC66B60" w14:textId="77777777" w:rsidR="000B1DA7" w:rsidRDefault="000C3D42">
            <w:r>
              <w:rPr>
                <w:b/>
                <w:sz w:val="15"/>
              </w:rPr>
              <w:t>N / events</w:t>
            </w:r>
          </w:p>
        </w:tc>
        <w:tc>
          <w:tcPr>
            <w:tcW w:w="4320" w:type="dxa"/>
            <w:shd w:val="clear" w:color="auto" w:fill="D9EAF7"/>
            <w:vAlign w:val="center"/>
          </w:tcPr>
          <w:p w14:paraId="3A121C17" w14:textId="77777777" w:rsidR="000B1DA7" w:rsidRDefault="000C3D42">
            <w:r>
              <w:rPr>
                <w:b/>
                <w:sz w:val="15"/>
              </w:rPr>
              <w:t>Key result</w:t>
            </w:r>
          </w:p>
        </w:tc>
        <w:tc>
          <w:tcPr>
            <w:tcW w:w="2880" w:type="dxa"/>
            <w:shd w:val="clear" w:color="auto" w:fill="D9EAF7"/>
            <w:vAlign w:val="center"/>
          </w:tcPr>
          <w:p w14:paraId="63CC6C81" w14:textId="77777777" w:rsidR="000B1DA7" w:rsidRDefault="000C3D42">
            <w:r>
              <w:rPr>
                <w:b/>
                <w:sz w:val="15"/>
              </w:rPr>
              <w:t>Performance or P value</w:t>
            </w:r>
          </w:p>
        </w:tc>
        <w:tc>
          <w:tcPr>
            <w:tcW w:w="3311" w:type="dxa"/>
            <w:shd w:val="clear" w:color="auto" w:fill="D9EAF7"/>
            <w:vAlign w:val="center"/>
          </w:tcPr>
          <w:p w14:paraId="346B7C03" w14:textId="77777777" w:rsidR="000B1DA7" w:rsidRDefault="000C3D42">
            <w:r>
              <w:rPr>
                <w:b/>
                <w:sz w:val="15"/>
              </w:rPr>
              <w:t>Interpretation</w:t>
            </w:r>
          </w:p>
        </w:tc>
      </w:tr>
      <w:tr w:rsidR="000B1DA7" w14:paraId="6EA8F24B" w14:textId="77777777">
        <w:trPr>
          <w:jc w:val="center"/>
        </w:trPr>
        <w:tc>
          <w:tcPr>
            <w:tcW w:w="1728" w:type="dxa"/>
            <w:vAlign w:val="center"/>
          </w:tcPr>
          <w:p w14:paraId="6DC7C4F1" w14:textId="77777777" w:rsidR="000B1DA7" w:rsidRDefault="000C3D42">
            <w:r>
              <w:rPr>
                <w:sz w:val="13"/>
              </w:rPr>
              <w:t>Events per variable (EPV)</w:t>
            </w:r>
          </w:p>
        </w:tc>
        <w:tc>
          <w:tcPr>
            <w:tcW w:w="2448" w:type="dxa"/>
            <w:vAlign w:val="center"/>
          </w:tcPr>
          <w:p w14:paraId="23DB4FF5" w14:textId="77777777" w:rsidR="000B1DA7" w:rsidRDefault="000C3D42">
            <w:r>
              <w:rPr>
                <w:sz w:val="13"/>
              </w:rPr>
              <w:t>Baseline model</w:t>
            </w:r>
          </w:p>
        </w:tc>
        <w:tc>
          <w:tcPr>
            <w:tcW w:w="1872" w:type="dxa"/>
            <w:vAlign w:val="center"/>
          </w:tcPr>
          <w:p w14:paraId="2F972DF7" w14:textId="77777777" w:rsidR="000B1DA7" w:rsidRDefault="000C3D42">
            <w:r>
              <w:rPr>
                <w:sz w:val="13"/>
              </w:rPr>
              <w:t>N = 354; events = 91; predictors = 4</w:t>
            </w:r>
          </w:p>
        </w:tc>
        <w:tc>
          <w:tcPr>
            <w:tcW w:w="4320" w:type="dxa"/>
            <w:vAlign w:val="center"/>
          </w:tcPr>
          <w:p w14:paraId="55CB2CE7" w14:textId="77777777" w:rsidR="000B1DA7" w:rsidRDefault="000C3D42">
            <w:r>
              <w:rPr>
                <w:sz w:val="13"/>
              </w:rPr>
              <w:t>EPV = 22.75</w:t>
            </w:r>
          </w:p>
        </w:tc>
        <w:tc>
          <w:tcPr>
            <w:tcW w:w="2880" w:type="dxa"/>
            <w:vAlign w:val="center"/>
          </w:tcPr>
          <w:p w14:paraId="6E868164" w14:textId="77777777" w:rsidR="000B1DA7" w:rsidRDefault="000C3D42">
            <w:r>
              <w:rPr>
                <w:sz w:val="13"/>
              </w:rPr>
              <w:t>-</w:t>
            </w:r>
          </w:p>
        </w:tc>
        <w:tc>
          <w:tcPr>
            <w:tcW w:w="3311" w:type="dxa"/>
            <w:vAlign w:val="center"/>
          </w:tcPr>
          <w:p w14:paraId="391ED39D" w14:textId="77777777" w:rsidR="000B1DA7" w:rsidRDefault="000C3D42">
            <w:r>
              <w:rPr>
                <w:sz w:val="13"/>
              </w:rPr>
              <w:t>Adequate events per candidate predictor.</w:t>
            </w:r>
          </w:p>
        </w:tc>
      </w:tr>
      <w:tr w:rsidR="000B1DA7" w14:paraId="0665EEBE" w14:textId="77777777">
        <w:trPr>
          <w:jc w:val="center"/>
        </w:trPr>
        <w:tc>
          <w:tcPr>
            <w:tcW w:w="1728" w:type="dxa"/>
            <w:vAlign w:val="center"/>
          </w:tcPr>
          <w:p w14:paraId="6264134A" w14:textId="77777777" w:rsidR="000B1DA7" w:rsidRDefault="000B1DA7"/>
        </w:tc>
        <w:tc>
          <w:tcPr>
            <w:tcW w:w="2448" w:type="dxa"/>
            <w:vAlign w:val="center"/>
          </w:tcPr>
          <w:p w14:paraId="3444FB64" w14:textId="77777777" w:rsidR="000B1DA7" w:rsidRDefault="000C3D42">
            <w:r>
              <w:rPr>
                <w:sz w:val="13"/>
              </w:rPr>
              <w:t>Dynamic model</w:t>
            </w:r>
          </w:p>
        </w:tc>
        <w:tc>
          <w:tcPr>
            <w:tcW w:w="1872" w:type="dxa"/>
            <w:vAlign w:val="center"/>
          </w:tcPr>
          <w:p w14:paraId="556CE852" w14:textId="77777777" w:rsidR="000B1DA7" w:rsidRDefault="000C3D42">
            <w:r>
              <w:rPr>
                <w:sz w:val="13"/>
              </w:rPr>
              <w:t>N = 354; events = 91; predictors = 5</w:t>
            </w:r>
          </w:p>
        </w:tc>
        <w:tc>
          <w:tcPr>
            <w:tcW w:w="4320" w:type="dxa"/>
            <w:vAlign w:val="center"/>
          </w:tcPr>
          <w:p w14:paraId="4E196615" w14:textId="77777777" w:rsidR="000B1DA7" w:rsidRDefault="000C3D42">
            <w:r>
              <w:rPr>
                <w:sz w:val="13"/>
              </w:rPr>
              <w:t>EPV = 18.20</w:t>
            </w:r>
          </w:p>
        </w:tc>
        <w:tc>
          <w:tcPr>
            <w:tcW w:w="2880" w:type="dxa"/>
            <w:vAlign w:val="center"/>
          </w:tcPr>
          <w:p w14:paraId="3F6E1ABB" w14:textId="77777777" w:rsidR="000B1DA7" w:rsidRDefault="000C3D42">
            <w:r>
              <w:rPr>
                <w:sz w:val="13"/>
              </w:rPr>
              <w:t>-</w:t>
            </w:r>
          </w:p>
        </w:tc>
        <w:tc>
          <w:tcPr>
            <w:tcW w:w="3311" w:type="dxa"/>
            <w:vAlign w:val="center"/>
          </w:tcPr>
          <w:p w14:paraId="7E044F5F" w14:textId="77777777" w:rsidR="000B1DA7" w:rsidRDefault="000C3D42">
            <w:r>
              <w:rPr>
                <w:sz w:val="13"/>
              </w:rPr>
              <w:t>Adequate events per candidate predictor.</w:t>
            </w:r>
          </w:p>
        </w:tc>
      </w:tr>
      <w:tr w:rsidR="000B1DA7" w14:paraId="17B6C2D3" w14:textId="77777777">
        <w:trPr>
          <w:jc w:val="center"/>
        </w:trPr>
        <w:tc>
          <w:tcPr>
            <w:tcW w:w="1728" w:type="dxa"/>
            <w:vAlign w:val="center"/>
          </w:tcPr>
          <w:p w14:paraId="0F84B2FD" w14:textId="77777777" w:rsidR="000B1DA7" w:rsidRDefault="000B1DA7"/>
        </w:tc>
        <w:tc>
          <w:tcPr>
            <w:tcW w:w="2448" w:type="dxa"/>
            <w:vAlign w:val="center"/>
          </w:tcPr>
          <w:p w14:paraId="70D33DB8" w14:textId="77777777" w:rsidR="000B1DA7" w:rsidRDefault="000C3D42">
            <w:r>
              <w:rPr>
                <w:sz w:val="13"/>
              </w:rPr>
              <w:t>Combined model</w:t>
            </w:r>
          </w:p>
        </w:tc>
        <w:tc>
          <w:tcPr>
            <w:tcW w:w="1872" w:type="dxa"/>
            <w:vAlign w:val="center"/>
          </w:tcPr>
          <w:p w14:paraId="72F3A351" w14:textId="77777777" w:rsidR="000B1DA7" w:rsidRDefault="000C3D42">
            <w:r>
              <w:rPr>
                <w:sz w:val="13"/>
              </w:rPr>
              <w:t>N = 354; events = 91; predictors = 8</w:t>
            </w:r>
          </w:p>
        </w:tc>
        <w:tc>
          <w:tcPr>
            <w:tcW w:w="4320" w:type="dxa"/>
            <w:vAlign w:val="center"/>
          </w:tcPr>
          <w:p w14:paraId="07CD54CA" w14:textId="77777777" w:rsidR="000B1DA7" w:rsidRDefault="000C3D42">
            <w:r>
              <w:rPr>
                <w:sz w:val="13"/>
              </w:rPr>
              <w:t>EPV = 11.38</w:t>
            </w:r>
          </w:p>
        </w:tc>
        <w:tc>
          <w:tcPr>
            <w:tcW w:w="2880" w:type="dxa"/>
            <w:vAlign w:val="center"/>
          </w:tcPr>
          <w:p w14:paraId="6B3A6E52" w14:textId="77777777" w:rsidR="000B1DA7" w:rsidRDefault="000C3D42">
            <w:r>
              <w:rPr>
                <w:sz w:val="13"/>
              </w:rPr>
              <w:t>-</w:t>
            </w:r>
          </w:p>
        </w:tc>
        <w:tc>
          <w:tcPr>
            <w:tcW w:w="3311" w:type="dxa"/>
            <w:vAlign w:val="center"/>
          </w:tcPr>
          <w:p w14:paraId="3BA72EAF" w14:textId="77777777" w:rsidR="000B1DA7" w:rsidRDefault="000C3D42">
            <w:r>
              <w:rPr>
                <w:sz w:val="13"/>
              </w:rPr>
              <w:t>Acceptable events per candidate predictor.</w:t>
            </w:r>
          </w:p>
        </w:tc>
      </w:tr>
      <w:tr w:rsidR="000B1DA7" w14:paraId="03F961EA" w14:textId="77777777">
        <w:trPr>
          <w:jc w:val="center"/>
        </w:trPr>
        <w:tc>
          <w:tcPr>
            <w:tcW w:w="1728" w:type="dxa"/>
            <w:vAlign w:val="center"/>
          </w:tcPr>
          <w:p w14:paraId="595CC48F" w14:textId="77777777" w:rsidR="000B1DA7" w:rsidRDefault="000B1DA7"/>
        </w:tc>
        <w:tc>
          <w:tcPr>
            <w:tcW w:w="2448" w:type="dxa"/>
            <w:vAlign w:val="center"/>
          </w:tcPr>
          <w:p w14:paraId="56ED8CB9" w14:textId="77777777" w:rsidR="000B1DA7" w:rsidRDefault="000C3D42">
            <w:r>
              <w:rPr>
                <w:sz w:val="13"/>
              </w:rPr>
              <w:t>MIA vs IAC combined model</w:t>
            </w:r>
          </w:p>
        </w:tc>
        <w:tc>
          <w:tcPr>
            <w:tcW w:w="1872" w:type="dxa"/>
            <w:vAlign w:val="center"/>
          </w:tcPr>
          <w:p w14:paraId="723C68D3" w14:textId="77777777" w:rsidR="000B1DA7" w:rsidRDefault="000C3D42">
            <w:r>
              <w:rPr>
                <w:sz w:val="13"/>
              </w:rPr>
              <w:t>N = 207; events = 91; non-events = 116; predictors = 8</w:t>
            </w:r>
          </w:p>
        </w:tc>
        <w:tc>
          <w:tcPr>
            <w:tcW w:w="4320" w:type="dxa"/>
            <w:vAlign w:val="center"/>
          </w:tcPr>
          <w:p w14:paraId="128E5BC5" w14:textId="77777777" w:rsidR="000B1DA7" w:rsidRDefault="000C3D42">
            <w:r>
              <w:rPr>
                <w:sz w:val="13"/>
              </w:rPr>
              <w:t>EPV = 11.38</w:t>
            </w:r>
          </w:p>
        </w:tc>
        <w:tc>
          <w:tcPr>
            <w:tcW w:w="2880" w:type="dxa"/>
            <w:vAlign w:val="center"/>
          </w:tcPr>
          <w:p w14:paraId="7A634471" w14:textId="77777777" w:rsidR="000B1DA7" w:rsidRDefault="000C3D42">
            <w:r>
              <w:rPr>
                <w:sz w:val="13"/>
              </w:rPr>
              <w:t>-</w:t>
            </w:r>
          </w:p>
        </w:tc>
        <w:tc>
          <w:tcPr>
            <w:tcW w:w="3311" w:type="dxa"/>
            <w:vAlign w:val="center"/>
          </w:tcPr>
          <w:p w14:paraId="4D45A5E0" w14:textId="77777777" w:rsidR="000B1DA7" w:rsidRDefault="000C3D42">
            <w:r>
              <w:rPr>
                <w:sz w:val="13"/>
              </w:rPr>
              <w:t>Acceptable events per candidate predictor.</w:t>
            </w:r>
          </w:p>
        </w:tc>
      </w:tr>
      <w:tr w:rsidR="000B1DA7" w14:paraId="5406CCD0" w14:textId="77777777">
        <w:trPr>
          <w:jc w:val="center"/>
        </w:trPr>
        <w:tc>
          <w:tcPr>
            <w:tcW w:w="1728" w:type="dxa"/>
            <w:vAlign w:val="center"/>
          </w:tcPr>
          <w:p w14:paraId="112DF1D4" w14:textId="77777777" w:rsidR="000B1DA7" w:rsidRDefault="000C3D42">
            <w:r>
              <w:rPr>
                <w:sz w:val="13"/>
              </w:rPr>
              <w:t>Collinearity diagnostics</w:t>
            </w:r>
          </w:p>
        </w:tc>
        <w:tc>
          <w:tcPr>
            <w:tcW w:w="2448" w:type="dxa"/>
            <w:vAlign w:val="center"/>
          </w:tcPr>
          <w:p w14:paraId="2AA2FEC0" w14:textId="77777777" w:rsidR="000B1DA7" w:rsidRDefault="000C3D42">
            <w:r>
              <w:rPr>
                <w:sz w:val="13"/>
              </w:rPr>
              <w:t>Dynamic model</w:t>
            </w:r>
          </w:p>
        </w:tc>
        <w:tc>
          <w:tcPr>
            <w:tcW w:w="1872" w:type="dxa"/>
            <w:vAlign w:val="center"/>
          </w:tcPr>
          <w:p w14:paraId="4A13D016" w14:textId="77777777" w:rsidR="000B1DA7" w:rsidRDefault="000C3D42">
            <w:r>
              <w:rPr>
                <w:sz w:val="13"/>
              </w:rPr>
              <w:t>N = 354</w:t>
            </w:r>
          </w:p>
        </w:tc>
        <w:tc>
          <w:tcPr>
            <w:tcW w:w="4320" w:type="dxa"/>
            <w:vAlign w:val="center"/>
          </w:tcPr>
          <w:p w14:paraId="7522A8A4" w14:textId="77777777" w:rsidR="000B1DA7" w:rsidRDefault="000C3D42">
            <w:r>
              <w:rPr>
                <w:sz w:val="13"/>
              </w:rPr>
              <w:t>Annual mass growth VIF = 10.61; annual volume growth VIF = 10.47</w:t>
            </w:r>
          </w:p>
        </w:tc>
        <w:tc>
          <w:tcPr>
            <w:tcW w:w="2880" w:type="dxa"/>
            <w:vAlign w:val="center"/>
          </w:tcPr>
          <w:p w14:paraId="4DAC94D0" w14:textId="77777777" w:rsidR="000B1DA7" w:rsidRDefault="000C3D42">
            <w:r>
              <w:rPr>
                <w:sz w:val="13"/>
              </w:rPr>
              <w:t>-</w:t>
            </w:r>
          </w:p>
        </w:tc>
        <w:tc>
          <w:tcPr>
            <w:tcW w:w="3311" w:type="dxa"/>
            <w:vAlign w:val="center"/>
          </w:tcPr>
          <w:p w14:paraId="70D5C581" w14:textId="77777777" w:rsidR="000B1DA7" w:rsidRDefault="000C3D42">
            <w:r>
              <w:rPr>
                <w:sz w:val="13"/>
              </w:rPr>
              <w:t>High collinearity between mass- and volume-growth metrics.</w:t>
            </w:r>
          </w:p>
        </w:tc>
      </w:tr>
      <w:tr w:rsidR="000B1DA7" w14:paraId="47872906" w14:textId="77777777">
        <w:trPr>
          <w:jc w:val="center"/>
        </w:trPr>
        <w:tc>
          <w:tcPr>
            <w:tcW w:w="1728" w:type="dxa"/>
            <w:vAlign w:val="center"/>
          </w:tcPr>
          <w:p w14:paraId="23EC3795" w14:textId="77777777" w:rsidR="000B1DA7" w:rsidRDefault="000B1DA7"/>
        </w:tc>
        <w:tc>
          <w:tcPr>
            <w:tcW w:w="2448" w:type="dxa"/>
            <w:vAlign w:val="center"/>
          </w:tcPr>
          <w:p w14:paraId="381D17CF" w14:textId="77777777" w:rsidR="000B1DA7" w:rsidRDefault="000C3D42">
            <w:r>
              <w:rPr>
                <w:sz w:val="13"/>
              </w:rPr>
              <w:t>Combined model</w:t>
            </w:r>
          </w:p>
        </w:tc>
        <w:tc>
          <w:tcPr>
            <w:tcW w:w="1872" w:type="dxa"/>
            <w:vAlign w:val="center"/>
          </w:tcPr>
          <w:p w14:paraId="4F274161" w14:textId="77777777" w:rsidR="000B1DA7" w:rsidRDefault="000C3D42">
            <w:r>
              <w:rPr>
                <w:sz w:val="13"/>
              </w:rPr>
              <w:t>N = 354</w:t>
            </w:r>
          </w:p>
        </w:tc>
        <w:tc>
          <w:tcPr>
            <w:tcW w:w="4320" w:type="dxa"/>
            <w:vAlign w:val="center"/>
          </w:tcPr>
          <w:p w14:paraId="300416A2" w14:textId="77777777" w:rsidR="000B1DA7" w:rsidRDefault="000C3D42">
            <w:r>
              <w:rPr>
                <w:sz w:val="13"/>
              </w:rPr>
              <w:t>Baseline density grade VIF = 11.91; baseline CTR VIF = 9.48</w:t>
            </w:r>
          </w:p>
        </w:tc>
        <w:tc>
          <w:tcPr>
            <w:tcW w:w="2880" w:type="dxa"/>
            <w:vAlign w:val="center"/>
          </w:tcPr>
          <w:p w14:paraId="27E50A03" w14:textId="77777777" w:rsidR="000B1DA7" w:rsidRDefault="000C3D42">
            <w:r>
              <w:rPr>
                <w:sz w:val="13"/>
              </w:rPr>
              <w:t>-</w:t>
            </w:r>
          </w:p>
        </w:tc>
        <w:tc>
          <w:tcPr>
            <w:tcW w:w="3311" w:type="dxa"/>
            <w:vAlign w:val="center"/>
          </w:tcPr>
          <w:p w14:paraId="18BDE1AB" w14:textId="77777777" w:rsidR="000B1DA7" w:rsidRDefault="000C3D42">
            <w:r>
              <w:rPr>
                <w:sz w:val="13"/>
              </w:rPr>
              <w:t>High collinearity between baseline density grade and baseline CTR.</w:t>
            </w:r>
          </w:p>
        </w:tc>
      </w:tr>
      <w:tr w:rsidR="000B1DA7" w14:paraId="080AF253" w14:textId="77777777">
        <w:trPr>
          <w:jc w:val="center"/>
        </w:trPr>
        <w:tc>
          <w:tcPr>
            <w:tcW w:w="1728" w:type="dxa"/>
            <w:vAlign w:val="center"/>
          </w:tcPr>
          <w:p w14:paraId="273DA518" w14:textId="77777777" w:rsidR="000B1DA7" w:rsidRDefault="000B1DA7"/>
        </w:tc>
        <w:tc>
          <w:tcPr>
            <w:tcW w:w="2448" w:type="dxa"/>
            <w:vAlign w:val="center"/>
          </w:tcPr>
          <w:p w14:paraId="02F3625D" w14:textId="77777777" w:rsidR="000B1DA7" w:rsidRDefault="000C3D42">
            <w:r>
              <w:rPr>
                <w:sz w:val="13"/>
              </w:rPr>
              <w:t>Combined model</w:t>
            </w:r>
          </w:p>
        </w:tc>
        <w:tc>
          <w:tcPr>
            <w:tcW w:w="1872" w:type="dxa"/>
            <w:vAlign w:val="center"/>
          </w:tcPr>
          <w:p w14:paraId="4E1138B1" w14:textId="77777777" w:rsidR="000B1DA7" w:rsidRDefault="000C3D42">
            <w:r>
              <w:rPr>
                <w:sz w:val="13"/>
              </w:rPr>
              <w:t>N = 354</w:t>
            </w:r>
          </w:p>
        </w:tc>
        <w:tc>
          <w:tcPr>
            <w:tcW w:w="4320" w:type="dxa"/>
            <w:vAlign w:val="center"/>
          </w:tcPr>
          <w:p w14:paraId="05B8ACE8" w14:textId="77777777" w:rsidR="000B1DA7" w:rsidRDefault="000C3D42">
            <w:proofErr w:type="gramStart"/>
            <w:r>
              <w:rPr>
                <w:sz w:val="13"/>
              </w:rPr>
              <w:t>Solid-component</w:t>
            </w:r>
            <w:proofErr w:type="gramEnd"/>
            <w:r>
              <w:rPr>
                <w:sz w:val="13"/>
              </w:rPr>
              <w:t xml:space="preserve"> increase VIF = 6.33; density upgrade VIF = 4.84; CTR change VIF = 3.49</w:t>
            </w:r>
          </w:p>
        </w:tc>
        <w:tc>
          <w:tcPr>
            <w:tcW w:w="2880" w:type="dxa"/>
            <w:vAlign w:val="center"/>
          </w:tcPr>
          <w:p w14:paraId="18CDF928" w14:textId="77777777" w:rsidR="000B1DA7" w:rsidRDefault="000C3D42">
            <w:r>
              <w:rPr>
                <w:sz w:val="13"/>
              </w:rPr>
              <w:t>-</w:t>
            </w:r>
          </w:p>
        </w:tc>
        <w:tc>
          <w:tcPr>
            <w:tcW w:w="3311" w:type="dxa"/>
            <w:vAlign w:val="center"/>
          </w:tcPr>
          <w:p w14:paraId="30DC21D7" w14:textId="77777777" w:rsidR="000B1DA7" w:rsidRDefault="000C3D42">
            <w:r>
              <w:rPr>
                <w:sz w:val="13"/>
              </w:rPr>
              <w:t>Moderate-to-high collinearity among solidification-related variables.</w:t>
            </w:r>
          </w:p>
        </w:tc>
      </w:tr>
      <w:tr w:rsidR="000B1DA7" w14:paraId="26110CA3" w14:textId="77777777">
        <w:trPr>
          <w:jc w:val="center"/>
        </w:trPr>
        <w:tc>
          <w:tcPr>
            <w:tcW w:w="1728" w:type="dxa"/>
            <w:vAlign w:val="center"/>
          </w:tcPr>
          <w:p w14:paraId="26FF1CFE" w14:textId="77777777" w:rsidR="000B1DA7" w:rsidRDefault="000B1DA7"/>
        </w:tc>
        <w:tc>
          <w:tcPr>
            <w:tcW w:w="2448" w:type="dxa"/>
            <w:vAlign w:val="center"/>
          </w:tcPr>
          <w:p w14:paraId="2407F0A6" w14:textId="77777777" w:rsidR="000B1DA7" w:rsidRDefault="000C3D42">
            <w:r>
              <w:rPr>
                <w:sz w:val="13"/>
              </w:rPr>
              <w:t>Pairwise correlations</w:t>
            </w:r>
          </w:p>
        </w:tc>
        <w:tc>
          <w:tcPr>
            <w:tcW w:w="1872" w:type="dxa"/>
            <w:vAlign w:val="center"/>
          </w:tcPr>
          <w:p w14:paraId="5FA7E8DE" w14:textId="77777777" w:rsidR="000B1DA7" w:rsidRDefault="000C3D42">
            <w:r>
              <w:rPr>
                <w:sz w:val="13"/>
              </w:rPr>
              <w:t>N = 354</w:t>
            </w:r>
          </w:p>
        </w:tc>
        <w:tc>
          <w:tcPr>
            <w:tcW w:w="4320" w:type="dxa"/>
            <w:vAlign w:val="center"/>
          </w:tcPr>
          <w:p w14:paraId="479D8150" w14:textId="77777777" w:rsidR="000B1DA7" w:rsidRDefault="000C3D42">
            <w:r>
              <w:rPr>
                <w:sz w:val="13"/>
              </w:rPr>
              <w:t>Baseline density vs baseline CTR, Spearman rho = 0.983; annual mass growth vs annual volume growth, rho = 0.925; CTR change vs density upgrade, rho = 0.707; CTR change vs solid-component increase, rho = 0.612</w:t>
            </w:r>
          </w:p>
        </w:tc>
        <w:tc>
          <w:tcPr>
            <w:tcW w:w="2880" w:type="dxa"/>
            <w:vAlign w:val="center"/>
          </w:tcPr>
          <w:p w14:paraId="0076ACCA" w14:textId="77777777" w:rsidR="000B1DA7" w:rsidRDefault="000C3D42">
            <w:r>
              <w:rPr>
                <w:sz w:val="13"/>
              </w:rPr>
              <w:t>-</w:t>
            </w:r>
          </w:p>
        </w:tc>
        <w:tc>
          <w:tcPr>
            <w:tcW w:w="3311" w:type="dxa"/>
            <w:vAlign w:val="center"/>
          </w:tcPr>
          <w:p w14:paraId="63CF62E0" w14:textId="77777777" w:rsidR="000B1DA7" w:rsidRDefault="000C3D42">
            <w:r>
              <w:rPr>
                <w:sz w:val="13"/>
              </w:rPr>
              <w:t>Supports cautious interpretation of coefficients affected by collinearity, especially density upgrade.</w:t>
            </w:r>
          </w:p>
        </w:tc>
      </w:tr>
      <w:tr w:rsidR="000B1DA7" w14:paraId="41892DCE" w14:textId="77777777">
        <w:trPr>
          <w:jc w:val="center"/>
        </w:trPr>
        <w:tc>
          <w:tcPr>
            <w:tcW w:w="1728" w:type="dxa"/>
            <w:vAlign w:val="center"/>
          </w:tcPr>
          <w:p w14:paraId="771E7F4F" w14:textId="77777777" w:rsidR="000B1DA7" w:rsidRDefault="000C3D42">
            <w:r>
              <w:rPr>
                <w:sz w:val="13"/>
              </w:rPr>
              <w:t>Reduced-model checks</w:t>
            </w:r>
          </w:p>
        </w:tc>
        <w:tc>
          <w:tcPr>
            <w:tcW w:w="2448" w:type="dxa"/>
            <w:vAlign w:val="center"/>
          </w:tcPr>
          <w:p w14:paraId="6806FF72" w14:textId="77777777" w:rsidR="000B1DA7" w:rsidRDefault="000C3D42">
            <w:r>
              <w:rPr>
                <w:sz w:val="13"/>
              </w:rPr>
              <w:t>Dynamic model without annual volume growth</w:t>
            </w:r>
          </w:p>
        </w:tc>
        <w:tc>
          <w:tcPr>
            <w:tcW w:w="1872" w:type="dxa"/>
            <w:vAlign w:val="center"/>
          </w:tcPr>
          <w:p w14:paraId="6F829B18" w14:textId="77777777" w:rsidR="000B1DA7" w:rsidRDefault="000C3D42">
            <w:r>
              <w:rPr>
                <w:sz w:val="13"/>
              </w:rPr>
              <w:t>N = 354; events = 91</w:t>
            </w:r>
          </w:p>
        </w:tc>
        <w:tc>
          <w:tcPr>
            <w:tcW w:w="4320" w:type="dxa"/>
            <w:vAlign w:val="center"/>
          </w:tcPr>
          <w:p w14:paraId="0084CA07" w14:textId="77777777" w:rsidR="000B1DA7" w:rsidRDefault="000C3D42">
            <w:r>
              <w:rPr>
                <w:sz w:val="13"/>
              </w:rPr>
              <w:t>Annual mass growth, CTR change, density upgrade, and solid-component increase retained in model</w:t>
            </w:r>
          </w:p>
        </w:tc>
        <w:tc>
          <w:tcPr>
            <w:tcW w:w="2880" w:type="dxa"/>
            <w:vAlign w:val="center"/>
          </w:tcPr>
          <w:p w14:paraId="01472E03" w14:textId="77777777" w:rsidR="000B1DA7" w:rsidRDefault="000C3D42">
            <w:r>
              <w:rPr>
                <w:sz w:val="13"/>
              </w:rPr>
              <w:t>AUC = 0.942; Brier = 0.077</w:t>
            </w:r>
          </w:p>
        </w:tc>
        <w:tc>
          <w:tcPr>
            <w:tcW w:w="3311" w:type="dxa"/>
            <w:vAlign w:val="center"/>
          </w:tcPr>
          <w:p w14:paraId="22BCD6CD" w14:textId="77777777" w:rsidR="000B1DA7" w:rsidRDefault="000C3D42">
            <w:r>
              <w:rPr>
                <w:sz w:val="13"/>
              </w:rPr>
              <w:t xml:space="preserve">Discrimination was </w:t>
            </w:r>
            <w:proofErr w:type="gramStart"/>
            <w:r>
              <w:rPr>
                <w:sz w:val="13"/>
              </w:rPr>
              <w:t>similar to</w:t>
            </w:r>
            <w:proofErr w:type="gramEnd"/>
            <w:r>
              <w:rPr>
                <w:sz w:val="13"/>
              </w:rPr>
              <w:t xml:space="preserve"> the original dynamic model.</w:t>
            </w:r>
          </w:p>
        </w:tc>
      </w:tr>
      <w:tr w:rsidR="000B1DA7" w14:paraId="569A96EA" w14:textId="77777777">
        <w:trPr>
          <w:jc w:val="center"/>
        </w:trPr>
        <w:tc>
          <w:tcPr>
            <w:tcW w:w="1728" w:type="dxa"/>
            <w:vAlign w:val="center"/>
          </w:tcPr>
          <w:p w14:paraId="46AF1349" w14:textId="77777777" w:rsidR="000B1DA7" w:rsidRDefault="000B1DA7"/>
        </w:tc>
        <w:tc>
          <w:tcPr>
            <w:tcW w:w="2448" w:type="dxa"/>
            <w:vAlign w:val="center"/>
          </w:tcPr>
          <w:p w14:paraId="4583B8C7" w14:textId="77777777" w:rsidR="000B1DA7" w:rsidRDefault="000C3D42">
            <w:r>
              <w:rPr>
                <w:sz w:val="13"/>
              </w:rPr>
              <w:t>Dynamic model without annual volume growth and density upgrade</w:t>
            </w:r>
          </w:p>
        </w:tc>
        <w:tc>
          <w:tcPr>
            <w:tcW w:w="1872" w:type="dxa"/>
            <w:vAlign w:val="center"/>
          </w:tcPr>
          <w:p w14:paraId="69547B4A" w14:textId="77777777" w:rsidR="000B1DA7" w:rsidRDefault="000C3D42">
            <w:r>
              <w:rPr>
                <w:sz w:val="13"/>
              </w:rPr>
              <w:t>N = 354; events = 91</w:t>
            </w:r>
          </w:p>
        </w:tc>
        <w:tc>
          <w:tcPr>
            <w:tcW w:w="4320" w:type="dxa"/>
            <w:vAlign w:val="center"/>
          </w:tcPr>
          <w:p w14:paraId="690AAD48" w14:textId="77777777" w:rsidR="000B1DA7" w:rsidRDefault="000C3D42">
            <w:r>
              <w:rPr>
                <w:sz w:val="13"/>
              </w:rPr>
              <w:t>Annual mass growth, CTR change, and solid-component increase retained in model</w:t>
            </w:r>
          </w:p>
        </w:tc>
        <w:tc>
          <w:tcPr>
            <w:tcW w:w="2880" w:type="dxa"/>
            <w:vAlign w:val="center"/>
          </w:tcPr>
          <w:p w14:paraId="59A69678" w14:textId="77777777" w:rsidR="000B1DA7" w:rsidRDefault="000C3D42">
            <w:r>
              <w:rPr>
                <w:sz w:val="13"/>
              </w:rPr>
              <w:t>AUC = 0.934; Brier = 0.085</w:t>
            </w:r>
          </w:p>
        </w:tc>
        <w:tc>
          <w:tcPr>
            <w:tcW w:w="3311" w:type="dxa"/>
            <w:vAlign w:val="center"/>
          </w:tcPr>
          <w:p w14:paraId="66E76856" w14:textId="77777777" w:rsidR="000B1DA7" w:rsidRDefault="000C3D42">
            <w:r>
              <w:rPr>
                <w:sz w:val="13"/>
              </w:rPr>
              <w:t>Discrimination decreased modestly but remained high.</w:t>
            </w:r>
          </w:p>
        </w:tc>
      </w:tr>
      <w:tr w:rsidR="000B1DA7" w14:paraId="4207C0B8" w14:textId="77777777">
        <w:trPr>
          <w:jc w:val="center"/>
        </w:trPr>
        <w:tc>
          <w:tcPr>
            <w:tcW w:w="1728" w:type="dxa"/>
            <w:vAlign w:val="center"/>
          </w:tcPr>
          <w:p w14:paraId="039C6986" w14:textId="77777777" w:rsidR="000B1DA7" w:rsidRDefault="000B1DA7"/>
        </w:tc>
        <w:tc>
          <w:tcPr>
            <w:tcW w:w="2448" w:type="dxa"/>
            <w:vAlign w:val="center"/>
          </w:tcPr>
          <w:p w14:paraId="2288FD58" w14:textId="77777777" w:rsidR="000B1DA7" w:rsidRDefault="000C3D42">
            <w:r>
              <w:rPr>
                <w:sz w:val="13"/>
              </w:rPr>
              <w:t>Combined model without baseline density grade</w:t>
            </w:r>
          </w:p>
        </w:tc>
        <w:tc>
          <w:tcPr>
            <w:tcW w:w="1872" w:type="dxa"/>
            <w:vAlign w:val="center"/>
          </w:tcPr>
          <w:p w14:paraId="7C6BCD44" w14:textId="77777777" w:rsidR="000B1DA7" w:rsidRDefault="000C3D42">
            <w:r>
              <w:rPr>
                <w:sz w:val="13"/>
              </w:rPr>
              <w:t>N = 354; events = 91</w:t>
            </w:r>
          </w:p>
        </w:tc>
        <w:tc>
          <w:tcPr>
            <w:tcW w:w="4320" w:type="dxa"/>
            <w:vAlign w:val="center"/>
          </w:tcPr>
          <w:p w14:paraId="4EAEA1AA" w14:textId="77777777" w:rsidR="000B1DA7" w:rsidRDefault="000C3D42">
            <w:r>
              <w:rPr>
                <w:sz w:val="13"/>
              </w:rPr>
              <w:t>Baseline CTR retained; baseline density grade removed</w:t>
            </w:r>
          </w:p>
        </w:tc>
        <w:tc>
          <w:tcPr>
            <w:tcW w:w="2880" w:type="dxa"/>
            <w:vAlign w:val="center"/>
          </w:tcPr>
          <w:p w14:paraId="1C7CC942" w14:textId="77777777" w:rsidR="000B1DA7" w:rsidRDefault="000C3D42">
            <w:r>
              <w:rPr>
                <w:sz w:val="13"/>
              </w:rPr>
              <w:t>AUC = 0.944; Brier = 0.074</w:t>
            </w:r>
          </w:p>
        </w:tc>
        <w:tc>
          <w:tcPr>
            <w:tcW w:w="3311" w:type="dxa"/>
            <w:vAlign w:val="center"/>
          </w:tcPr>
          <w:p w14:paraId="7A419BED" w14:textId="77777777" w:rsidR="000B1DA7" w:rsidRDefault="000C3D42">
            <w:r>
              <w:rPr>
                <w:sz w:val="13"/>
              </w:rPr>
              <w:t>Discrimination remained similar to the original combined model.</w:t>
            </w:r>
          </w:p>
        </w:tc>
      </w:tr>
      <w:tr w:rsidR="000B1DA7" w14:paraId="6E2E80F2" w14:textId="77777777">
        <w:trPr>
          <w:jc w:val="center"/>
        </w:trPr>
        <w:tc>
          <w:tcPr>
            <w:tcW w:w="1728" w:type="dxa"/>
            <w:vAlign w:val="center"/>
          </w:tcPr>
          <w:p w14:paraId="3E7922CB" w14:textId="77777777" w:rsidR="000B1DA7" w:rsidRDefault="000B1DA7"/>
        </w:tc>
        <w:tc>
          <w:tcPr>
            <w:tcW w:w="2448" w:type="dxa"/>
            <w:vAlign w:val="center"/>
          </w:tcPr>
          <w:p w14:paraId="48389851" w14:textId="77777777" w:rsidR="000B1DA7" w:rsidRDefault="000C3D42">
            <w:r>
              <w:rPr>
                <w:sz w:val="13"/>
              </w:rPr>
              <w:t>Combined model without baseline CTR</w:t>
            </w:r>
          </w:p>
        </w:tc>
        <w:tc>
          <w:tcPr>
            <w:tcW w:w="1872" w:type="dxa"/>
            <w:vAlign w:val="center"/>
          </w:tcPr>
          <w:p w14:paraId="3E383BB6" w14:textId="77777777" w:rsidR="000B1DA7" w:rsidRDefault="000C3D42">
            <w:r>
              <w:rPr>
                <w:sz w:val="13"/>
              </w:rPr>
              <w:t>N = 354; events = 91</w:t>
            </w:r>
          </w:p>
        </w:tc>
        <w:tc>
          <w:tcPr>
            <w:tcW w:w="4320" w:type="dxa"/>
            <w:vAlign w:val="center"/>
          </w:tcPr>
          <w:p w14:paraId="0E577842" w14:textId="77777777" w:rsidR="000B1DA7" w:rsidRDefault="000C3D42">
            <w:r>
              <w:rPr>
                <w:sz w:val="13"/>
              </w:rPr>
              <w:t>Baseline density grade retained; baseline CTR removed</w:t>
            </w:r>
          </w:p>
        </w:tc>
        <w:tc>
          <w:tcPr>
            <w:tcW w:w="2880" w:type="dxa"/>
            <w:vAlign w:val="center"/>
          </w:tcPr>
          <w:p w14:paraId="4CAD25DC" w14:textId="77777777" w:rsidR="000B1DA7" w:rsidRDefault="000C3D42">
            <w:r>
              <w:rPr>
                <w:sz w:val="13"/>
              </w:rPr>
              <w:t>AUC = 0.943; Brier = 0.075</w:t>
            </w:r>
          </w:p>
        </w:tc>
        <w:tc>
          <w:tcPr>
            <w:tcW w:w="3311" w:type="dxa"/>
            <w:vAlign w:val="center"/>
          </w:tcPr>
          <w:p w14:paraId="2992575E" w14:textId="77777777" w:rsidR="000B1DA7" w:rsidRDefault="000C3D42">
            <w:r>
              <w:rPr>
                <w:sz w:val="13"/>
              </w:rPr>
              <w:t>Discrimination remained similar to the original combined model.</w:t>
            </w:r>
          </w:p>
        </w:tc>
      </w:tr>
      <w:tr w:rsidR="000B1DA7" w14:paraId="79F12376" w14:textId="77777777">
        <w:trPr>
          <w:jc w:val="center"/>
        </w:trPr>
        <w:tc>
          <w:tcPr>
            <w:tcW w:w="1728" w:type="dxa"/>
            <w:vAlign w:val="center"/>
          </w:tcPr>
          <w:p w14:paraId="0915AEEA" w14:textId="77777777" w:rsidR="000B1DA7" w:rsidRDefault="000B1DA7"/>
        </w:tc>
        <w:tc>
          <w:tcPr>
            <w:tcW w:w="2448" w:type="dxa"/>
            <w:vAlign w:val="center"/>
          </w:tcPr>
          <w:p w14:paraId="1FE4092C" w14:textId="77777777" w:rsidR="000B1DA7" w:rsidRDefault="000C3D42">
            <w:r>
              <w:rPr>
                <w:sz w:val="13"/>
              </w:rPr>
              <w:t>Combined model adjusted for follow-up interval</w:t>
            </w:r>
          </w:p>
        </w:tc>
        <w:tc>
          <w:tcPr>
            <w:tcW w:w="1872" w:type="dxa"/>
            <w:vAlign w:val="center"/>
          </w:tcPr>
          <w:p w14:paraId="0A409F60" w14:textId="77777777" w:rsidR="000B1DA7" w:rsidRDefault="000C3D42">
            <w:r>
              <w:rPr>
                <w:sz w:val="13"/>
              </w:rPr>
              <w:t>N = 354; events = 91</w:t>
            </w:r>
          </w:p>
        </w:tc>
        <w:tc>
          <w:tcPr>
            <w:tcW w:w="4320" w:type="dxa"/>
            <w:vAlign w:val="center"/>
          </w:tcPr>
          <w:p w14:paraId="6C2ED6CD" w14:textId="77777777" w:rsidR="000B1DA7" w:rsidRDefault="000C3D42">
            <w:r>
              <w:rPr>
                <w:sz w:val="13"/>
              </w:rPr>
              <w:t>Follow-up interval was not independently associated with IAC</w:t>
            </w:r>
          </w:p>
        </w:tc>
        <w:tc>
          <w:tcPr>
            <w:tcW w:w="2880" w:type="dxa"/>
            <w:vAlign w:val="center"/>
          </w:tcPr>
          <w:p w14:paraId="5BF367C3" w14:textId="77777777" w:rsidR="000B1DA7" w:rsidRDefault="000C3D42">
            <w:r>
              <w:rPr>
                <w:sz w:val="13"/>
              </w:rPr>
              <w:t>Interval P = .694; AUC = 0.945; corrected AUC = 0.934</w:t>
            </w:r>
          </w:p>
        </w:tc>
        <w:tc>
          <w:tcPr>
            <w:tcW w:w="3311" w:type="dxa"/>
            <w:vAlign w:val="center"/>
          </w:tcPr>
          <w:p w14:paraId="23E09642" w14:textId="77777777" w:rsidR="000B1DA7" w:rsidRDefault="000C3D42">
            <w:r>
              <w:rPr>
                <w:sz w:val="13"/>
              </w:rPr>
              <w:t>Key dynamic predictors remained stable after adjustment for follow-up interval.</w:t>
            </w:r>
          </w:p>
        </w:tc>
      </w:tr>
      <w:tr w:rsidR="000B1DA7" w14:paraId="2B2F4F73" w14:textId="77777777">
        <w:trPr>
          <w:jc w:val="center"/>
        </w:trPr>
        <w:tc>
          <w:tcPr>
            <w:tcW w:w="1728" w:type="dxa"/>
            <w:vAlign w:val="center"/>
          </w:tcPr>
          <w:p w14:paraId="32EA5CA1" w14:textId="77777777" w:rsidR="000B1DA7" w:rsidRDefault="000C3D42">
            <w:r>
              <w:rPr>
                <w:sz w:val="13"/>
              </w:rPr>
              <w:t>VDT/MDT sensitivity</w:t>
            </w:r>
          </w:p>
        </w:tc>
        <w:tc>
          <w:tcPr>
            <w:tcW w:w="2448" w:type="dxa"/>
            <w:vAlign w:val="center"/>
          </w:tcPr>
          <w:p w14:paraId="63F06294" w14:textId="77777777" w:rsidR="000B1DA7" w:rsidRDefault="000C3D42">
            <w:r>
              <w:rPr>
                <w:sz w:val="13"/>
              </w:rPr>
              <w:t>VDT, original all lesions</w:t>
            </w:r>
          </w:p>
        </w:tc>
        <w:tc>
          <w:tcPr>
            <w:tcW w:w="1872" w:type="dxa"/>
            <w:vAlign w:val="center"/>
          </w:tcPr>
          <w:p w14:paraId="1802BCA8" w14:textId="77777777" w:rsidR="000B1DA7" w:rsidRDefault="000C3D42">
            <w:r>
              <w:rPr>
                <w:sz w:val="13"/>
              </w:rPr>
              <w:t>N = 354</w:t>
            </w:r>
          </w:p>
        </w:tc>
        <w:tc>
          <w:tcPr>
            <w:tcW w:w="4320" w:type="dxa"/>
            <w:vAlign w:val="center"/>
          </w:tcPr>
          <w:p w14:paraId="3C0C3A4B" w14:textId="77777777" w:rsidR="000B1DA7" w:rsidRDefault="000C3D42">
            <w:r>
              <w:rPr>
                <w:sz w:val="13"/>
              </w:rPr>
              <w:t>Median VDT: 2063.89 (752.31, 4639.66) (AAH/AIS), 934.65 (538.23, 1550.91) (MIA), 738.32 (502.47, 1509.79) (IAC)</w:t>
            </w:r>
          </w:p>
        </w:tc>
        <w:tc>
          <w:tcPr>
            <w:tcW w:w="2880" w:type="dxa"/>
            <w:vAlign w:val="center"/>
          </w:tcPr>
          <w:p w14:paraId="3C25311A" w14:textId="77777777" w:rsidR="000B1DA7" w:rsidRDefault="000C3D42">
            <w:r>
              <w:rPr>
                <w:sz w:val="13"/>
              </w:rPr>
              <w:t>P &lt;0.001; trend P &lt;0.001</w:t>
            </w:r>
          </w:p>
        </w:tc>
        <w:tc>
          <w:tcPr>
            <w:tcW w:w="3311" w:type="dxa"/>
            <w:vAlign w:val="center"/>
          </w:tcPr>
          <w:p w14:paraId="79D994D3" w14:textId="77777777" w:rsidR="000B1DA7" w:rsidRDefault="000C3D42">
            <w:r>
              <w:rPr>
                <w:sz w:val="13"/>
              </w:rPr>
              <w:t>VDT shortened with increasing pathologic invasiveness.</w:t>
            </w:r>
          </w:p>
        </w:tc>
      </w:tr>
      <w:tr w:rsidR="000B1DA7" w14:paraId="13F8EB4A" w14:textId="77777777">
        <w:trPr>
          <w:jc w:val="center"/>
        </w:trPr>
        <w:tc>
          <w:tcPr>
            <w:tcW w:w="1728" w:type="dxa"/>
            <w:vAlign w:val="center"/>
          </w:tcPr>
          <w:p w14:paraId="5107BEBA" w14:textId="77777777" w:rsidR="000B1DA7" w:rsidRDefault="000B1DA7"/>
        </w:tc>
        <w:tc>
          <w:tcPr>
            <w:tcW w:w="2448" w:type="dxa"/>
            <w:vAlign w:val="center"/>
          </w:tcPr>
          <w:p w14:paraId="312CB824" w14:textId="77777777" w:rsidR="000B1DA7" w:rsidRDefault="000C3D42">
            <w:r>
              <w:rPr>
                <w:sz w:val="13"/>
              </w:rPr>
              <w:t>VDT after excluding nonpositive volume growth or VDT &lt;= 0</w:t>
            </w:r>
          </w:p>
        </w:tc>
        <w:tc>
          <w:tcPr>
            <w:tcW w:w="1872" w:type="dxa"/>
            <w:vAlign w:val="center"/>
          </w:tcPr>
          <w:p w14:paraId="1BA11D5D" w14:textId="77777777" w:rsidR="000B1DA7" w:rsidRDefault="000C3D42">
            <w:r>
              <w:rPr>
                <w:sz w:val="13"/>
              </w:rPr>
              <w:t>N = 320</w:t>
            </w:r>
          </w:p>
        </w:tc>
        <w:tc>
          <w:tcPr>
            <w:tcW w:w="4320" w:type="dxa"/>
            <w:vAlign w:val="center"/>
          </w:tcPr>
          <w:p w14:paraId="0EF03BED" w14:textId="77777777" w:rsidR="000B1DA7" w:rsidRDefault="000C3D42">
            <w:r>
              <w:rPr>
                <w:sz w:val="13"/>
              </w:rPr>
              <w:t>Median VDT: 2563.60 (1177.45, 5654.24) (AAH/AIS), 1004.57 (591.75, 1647.86) (MIA), 741.50 (513.86, 1534.23) (IAC)</w:t>
            </w:r>
          </w:p>
        </w:tc>
        <w:tc>
          <w:tcPr>
            <w:tcW w:w="2880" w:type="dxa"/>
            <w:vAlign w:val="center"/>
          </w:tcPr>
          <w:p w14:paraId="31379CFC" w14:textId="77777777" w:rsidR="000B1DA7" w:rsidRDefault="000C3D42">
            <w:r>
              <w:rPr>
                <w:sz w:val="13"/>
              </w:rPr>
              <w:t>P &lt;0.001; trend P &lt;0.001</w:t>
            </w:r>
          </w:p>
        </w:tc>
        <w:tc>
          <w:tcPr>
            <w:tcW w:w="3311" w:type="dxa"/>
            <w:vAlign w:val="center"/>
          </w:tcPr>
          <w:p w14:paraId="3D8E37A1" w14:textId="77777777" w:rsidR="000B1DA7" w:rsidRDefault="000C3D42">
            <w:r>
              <w:rPr>
                <w:sz w:val="13"/>
              </w:rPr>
              <w:t>Sensitivity analysis remained consistent with the primary VDT result.</w:t>
            </w:r>
          </w:p>
        </w:tc>
      </w:tr>
      <w:tr w:rsidR="000B1DA7" w14:paraId="24DCB59A" w14:textId="77777777">
        <w:trPr>
          <w:jc w:val="center"/>
        </w:trPr>
        <w:tc>
          <w:tcPr>
            <w:tcW w:w="1728" w:type="dxa"/>
            <w:vAlign w:val="center"/>
          </w:tcPr>
          <w:p w14:paraId="4F673A84" w14:textId="77777777" w:rsidR="000B1DA7" w:rsidRDefault="000B1DA7"/>
        </w:tc>
        <w:tc>
          <w:tcPr>
            <w:tcW w:w="2448" w:type="dxa"/>
            <w:vAlign w:val="center"/>
          </w:tcPr>
          <w:p w14:paraId="463CC27A" w14:textId="77777777" w:rsidR="000B1DA7" w:rsidRDefault="000C3D42">
            <w:r>
              <w:rPr>
                <w:sz w:val="13"/>
              </w:rPr>
              <w:t>MDT, original all lesions</w:t>
            </w:r>
          </w:p>
        </w:tc>
        <w:tc>
          <w:tcPr>
            <w:tcW w:w="1872" w:type="dxa"/>
            <w:vAlign w:val="center"/>
          </w:tcPr>
          <w:p w14:paraId="23FDAB12" w14:textId="77777777" w:rsidR="000B1DA7" w:rsidRDefault="000C3D42">
            <w:r>
              <w:rPr>
                <w:sz w:val="13"/>
              </w:rPr>
              <w:t>N = 354</w:t>
            </w:r>
          </w:p>
        </w:tc>
        <w:tc>
          <w:tcPr>
            <w:tcW w:w="4320" w:type="dxa"/>
            <w:vAlign w:val="center"/>
          </w:tcPr>
          <w:p w14:paraId="5598A8D4" w14:textId="77777777" w:rsidR="000B1DA7" w:rsidRDefault="000C3D42">
            <w:r>
              <w:rPr>
                <w:sz w:val="13"/>
              </w:rPr>
              <w:t>Median MDT: 1562.53 (827.69, 3394.70) (AAH/AIS), 894.94 (585.95, 1605.06) (MIA), 634.46 (449.82, 1210.70) (IAC)</w:t>
            </w:r>
          </w:p>
        </w:tc>
        <w:tc>
          <w:tcPr>
            <w:tcW w:w="2880" w:type="dxa"/>
            <w:vAlign w:val="center"/>
          </w:tcPr>
          <w:p w14:paraId="5C91BE4E" w14:textId="77777777" w:rsidR="000B1DA7" w:rsidRDefault="000C3D42">
            <w:r>
              <w:rPr>
                <w:sz w:val="13"/>
              </w:rPr>
              <w:t>P &lt;0.001; trend P &lt;0.001</w:t>
            </w:r>
          </w:p>
        </w:tc>
        <w:tc>
          <w:tcPr>
            <w:tcW w:w="3311" w:type="dxa"/>
            <w:vAlign w:val="center"/>
          </w:tcPr>
          <w:p w14:paraId="5E3EA8C0" w14:textId="77777777" w:rsidR="000B1DA7" w:rsidRDefault="000C3D42">
            <w:r>
              <w:rPr>
                <w:sz w:val="13"/>
              </w:rPr>
              <w:t>MDT shortened with increasing pathologic invasiveness.</w:t>
            </w:r>
          </w:p>
        </w:tc>
      </w:tr>
      <w:tr w:rsidR="000B1DA7" w14:paraId="46B4D66A" w14:textId="77777777">
        <w:trPr>
          <w:jc w:val="center"/>
        </w:trPr>
        <w:tc>
          <w:tcPr>
            <w:tcW w:w="1728" w:type="dxa"/>
            <w:vAlign w:val="center"/>
          </w:tcPr>
          <w:p w14:paraId="422FA558" w14:textId="77777777" w:rsidR="000B1DA7" w:rsidRDefault="000B1DA7"/>
        </w:tc>
        <w:tc>
          <w:tcPr>
            <w:tcW w:w="2448" w:type="dxa"/>
            <w:vAlign w:val="center"/>
          </w:tcPr>
          <w:p w14:paraId="38E6F6FD" w14:textId="77777777" w:rsidR="000B1DA7" w:rsidRDefault="000C3D42">
            <w:r>
              <w:rPr>
                <w:sz w:val="13"/>
              </w:rPr>
              <w:t>MDT after excluding nonpositive mass growth or MDT &lt;= 0</w:t>
            </w:r>
          </w:p>
        </w:tc>
        <w:tc>
          <w:tcPr>
            <w:tcW w:w="1872" w:type="dxa"/>
            <w:vAlign w:val="center"/>
          </w:tcPr>
          <w:p w14:paraId="0F9E0F78" w14:textId="77777777" w:rsidR="000B1DA7" w:rsidRDefault="000C3D42">
            <w:r>
              <w:rPr>
                <w:sz w:val="13"/>
              </w:rPr>
              <w:t>N = 302</w:t>
            </w:r>
          </w:p>
        </w:tc>
        <w:tc>
          <w:tcPr>
            <w:tcW w:w="4320" w:type="dxa"/>
            <w:vAlign w:val="center"/>
          </w:tcPr>
          <w:p w14:paraId="3DC433FA" w14:textId="77777777" w:rsidR="000B1DA7" w:rsidRDefault="000C3D42">
            <w:r>
              <w:rPr>
                <w:sz w:val="13"/>
              </w:rPr>
              <w:t>Median MDT: 1789.80 (985.36, 3517.85) (AAH/AIS), 916.12 (592.18, 1627.52) (MIA), 659.34 (468.72, 1213.63) (IAC)</w:t>
            </w:r>
          </w:p>
        </w:tc>
        <w:tc>
          <w:tcPr>
            <w:tcW w:w="2880" w:type="dxa"/>
            <w:vAlign w:val="center"/>
          </w:tcPr>
          <w:p w14:paraId="2B0ADF4E" w14:textId="77777777" w:rsidR="000B1DA7" w:rsidRDefault="000C3D42">
            <w:r>
              <w:rPr>
                <w:sz w:val="13"/>
              </w:rPr>
              <w:t>P &lt;0.001; trend P &lt;0.001</w:t>
            </w:r>
          </w:p>
        </w:tc>
        <w:tc>
          <w:tcPr>
            <w:tcW w:w="3311" w:type="dxa"/>
            <w:vAlign w:val="center"/>
          </w:tcPr>
          <w:p w14:paraId="5B2572E0" w14:textId="77777777" w:rsidR="000B1DA7" w:rsidRDefault="000C3D42">
            <w:r>
              <w:rPr>
                <w:sz w:val="13"/>
              </w:rPr>
              <w:t>Sensitivity analysis remained consistent with the primary MDT result.</w:t>
            </w:r>
          </w:p>
        </w:tc>
      </w:tr>
      <w:tr w:rsidR="000B1DA7" w14:paraId="1012326F" w14:textId="77777777">
        <w:trPr>
          <w:jc w:val="center"/>
        </w:trPr>
        <w:tc>
          <w:tcPr>
            <w:tcW w:w="1728" w:type="dxa"/>
            <w:vAlign w:val="center"/>
          </w:tcPr>
          <w:p w14:paraId="22926E96" w14:textId="77777777" w:rsidR="000B1DA7" w:rsidRDefault="000C3D42">
            <w:r>
              <w:rPr>
                <w:sz w:val="13"/>
              </w:rPr>
              <w:t>CTR progression sensitivity</w:t>
            </w:r>
          </w:p>
        </w:tc>
        <w:tc>
          <w:tcPr>
            <w:tcW w:w="2448" w:type="dxa"/>
            <w:vAlign w:val="center"/>
          </w:tcPr>
          <w:p w14:paraId="66A92E4E" w14:textId="77777777" w:rsidR="000B1DA7" w:rsidRDefault="000C3D42">
            <w:r>
              <w:rPr>
                <w:sz w:val="13"/>
              </w:rPr>
              <w:t>Distribution of CTR change = 0</w:t>
            </w:r>
          </w:p>
        </w:tc>
        <w:tc>
          <w:tcPr>
            <w:tcW w:w="1872" w:type="dxa"/>
            <w:vAlign w:val="center"/>
          </w:tcPr>
          <w:p w14:paraId="036260EC" w14:textId="77777777" w:rsidR="000B1DA7" w:rsidRDefault="000C3D42">
            <w:r>
              <w:rPr>
                <w:sz w:val="13"/>
              </w:rPr>
              <w:t>N = 354</w:t>
            </w:r>
          </w:p>
        </w:tc>
        <w:tc>
          <w:tcPr>
            <w:tcW w:w="4320" w:type="dxa"/>
            <w:vAlign w:val="center"/>
          </w:tcPr>
          <w:p w14:paraId="702CF780" w14:textId="77777777" w:rsidR="000B1DA7" w:rsidRDefault="000C3D42">
            <w:r>
              <w:rPr>
                <w:sz w:val="13"/>
              </w:rPr>
              <w:t>AAH/AIS: 131/147 (89.1%); MIA: 63/116 (54.3%); IAC: 10/91 (11.0%)</w:t>
            </w:r>
          </w:p>
        </w:tc>
        <w:tc>
          <w:tcPr>
            <w:tcW w:w="2880" w:type="dxa"/>
            <w:vAlign w:val="center"/>
          </w:tcPr>
          <w:p w14:paraId="081FEB6E" w14:textId="77777777" w:rsidR="000B1DA7" w:rsidRDefault="000C3D42">
            <w:r>
              <w:rPr>
                <w:sz w:val="13"/>
              </w:rPr>
              <w:t>-</w:t>
            </w:r>
          </w:p>
        </w:tc>
        <w:tc>
          <w:tcPr>
            <w:tcW w:w="3311" w:type="dxa"/>
            <w:vAlign w:val="center"/>
          </w:tcPr>
          <w:p w14:paraId="4B978D3D" w14:textId="77777777" w:rsidR="000B1DA7" w:rsidRDefault="000C3D42">
            <w:r>
              <w:rPr>
                <w:sz w:val="13"/>
              </w:rPr>
              <w:t>CTR change was zero-inflated, especially in AAH/AIS and MIA.</w:t>
            </w:r>
          </w:p>
        </w:tc>
      </w:tr>
      <w:tr w:rsidR="000B1DA7" w14:paraId="44384FE1" w14:textId="77777777">
        <w:trPr>
          <w:jc w:val="center"/>
        </w:trPr>
        <w:tc>
          <w:tcPr>
            <w:tcW w:w="1728" w:type="dxa"/>
            <w:vAlign w:val="center"/>
          </w:tcPr>
          <w:p w14:paraId="25257490" w14:textId="77777777" w:rsidR="000B1DA7" w:rsidRDefault="000B1DA7"/>
        </w:tc>
        <w:tc>
          <w:tcPr>
            <w:tcW w:w="2448" w:type="dxa"/>
            <w:vAlign w:val="center"/>
          </w:tcPr>
          <w:p w14:paraId="28F5808C" w14:textId="77777777" w:rsidR="000B1DA7" w:rsidRDefault="000C3D42">
            <w:r>
              <w:rPr>
                <w:sz w:val="13"/>
              </w:rPr>
              <w:t>Distribution of CTR change &gt;= 0.1</w:t>
            </w:r>
          </w:p>
        </w:tc>
        <w:tc>
          <w:tcPr>
            <w:tcW w:w="1872" w:type="dxa"/>
            <w:vAlign w:val="center"/>
          </w:tcPr>
          <w:p w14:paraId="6D51323B" w14:textId="77777777" w:rsidR="000B1DA7" w:rsidRDefault="000C3D42">
            <w:r>
              <w:rPr>
                <w:sz w:val="13"/>
              </w:rPr>
              <w:t>N = 354</w:t>
            </w:r>
          </w:p>
        </w:tc>
        <w:tc>
          <w:tcPr>
            <w:tcW w:w="4320" w:type="dxa"/>
            <w:vAlign w:val="center"/>
          </w:tcPr>
          <w:p w14:paraId="5F00E430" w14:textId="77777777" w:rsidR="000B1DA7" w:rsidRDefault="000C3D42">
            <w:r>
              <w:rPr>
                <w:sz w:val="13"/>
              </w:rPr>
              <w:t>AAH/AIS: 10/147 (6.8%); MIA: 28/116 (24.1%); IAC: 61/91 (67.0%)</w:t>
            </w:r>
          </w:p>
        </w:tc>
        <w:tc>
          <w:tcPr>
            <w:tcW w:w="2880" w:type="dxa"/>
            <w:vAlign w:val="center"/>
          </w:tcPr>
          <w:p w14:paraId="403EEEDD" w14:textId="77777777" w:rsidR="000B1DA7" w:rsidRDefault="000C3D42">
            <w:r>
              <w:rPr>
                <w:sz w:val="13"/>
              </w:rPr>
              <w:t>-</w:t>
            </w:r>
          </w:p>
        </w:tc>
        <w:tc>
          <w:tcPr>
            <w:tcW w:w="3311" w:type="dxa"/>
            <w:vAlign w:val="center"/>
          </w:tcPr>
          <w:p w14:paraId="495E5D91" w14:textId="77777777" w:rsidR="000B1DA7" w:rsidRDefault="000C3D42">
            <w:r>
              <w:rPr>
                <w:sz w:val="13"/>
              </w:rPr>
              <w:t>Larger CTR progression was more frequent in IAC.</w:t>
            </w:r>
          </w:p>
        </w:tc>
      </w:tr>
      <w:tr w:rsidR="000B1DA7" w14:paraId="66DF45A2" w14:textId="77777777">
        <w:trPr>
          <w:jc w:val="center"/>
        </w:trPr>
        <w:tc>
          <w:tcPr>
            <w:tcW w:w="1728" w:type="dxa"/>
            <w:vAlign w:val="center"/>
          </w:tcPr>
          <w:p w14:paraId="3F5D3A2A" w14:textId="77777777" w:rsidR="000B1DA7" w:rsidRDefault="000B1DA7"/>
        </w:tc>
        <w:tc>
          <w:tcPr>
            <w:tcW w:w="2448" w:type="dxa"/>
            <w:vAlign w:val="center"/>
          </w:tcPr>
          <w:p w14:paraId="768D2569" w14:textId="77777777" w:rsidR="000B1DA7" w:rsidRDefault="000C3D42">
            <w:r>
              <w:rPr>
                <w:sz w:val="13"/>
              </w:rPr>
              <w:t>Original combined model with continuous CTR change</w:t>
            </w:r>
          </w:p>
        </w:tc>
        <w:tc>
          <w:tcPr>
            <w:tcW w:w="1872" w:type="dxa"/>
            <w:vAlign w:val="center"/>
          </w:tcPr>
          <w:p w14:paraId="1FE12A47" w14:textId="77777777" w:rsidR="000B1DA7" w:rsidRDefault="000C3D42">
            <w:r>
              <w:rPr>
                <w:sz w:val="13"/>
              </w:rPr>
              <w:t>N = 354; events = 91</w:t>
            </w:r>
          </w:p>
        </w:tc>
        <w:tc>
          <w:tcPr>
            <w:tcW w:w="4320" w:type="dxa"/>
            <w:vAlign w:val="center"/>
          </w:tcPr>
          <w:p w14:paraId="1C1FA675" w14:textId="77777777" w:rsidR="000B1DA7" w:rsidRDefault="000C3D42">
            <w:r>
              <w:rPr>
                <w:sz w:val="13"/>
              </w:rPr>
              <w:t>CTR change modeled per 0.1 increase</w:t>
            </w:r>
          </w:p>
        </w:tc>
        <w:tc>
          <w:tcPr>
            <w:tcW w:w="2880" w:type="dxa"/>
            <w:vAlign w:val="center"/>
          </w:tcPr>
          <w:p w14:paraId="0541A6FB" w14:textId="77777777" w:rsidR="000B1DA7" w:rsidRDefault="000C3D42">
            <w:r>
              <w:rPr>
                <w:sz w:val="13"/>
              </w:rPr>
              <w:t>AUC = 0.945; corrected AUC = 0.937; sensitivity = 0.901; specificity = 0.859; Brier = 0.074</w:t>
            </w:r>
          </w:p>
        </w:tc>
        <w:tc>
          <w:tcPr>
            <w:tcW w:w="3311" w:type="dxa"/>
            <w:vAlign w:val="center"/>
          </w:tcPr>
          <w:p w14:paraId="42AFA1CE" w14:textId="77777777" w:rsidR="000B1DA7" w:rsidRDefault="000C3D42">
            <w:r>
              <w:rPr>
                <w:sz w:val="13"/>
              </w:rPr>
              <w:t>Reference model.</w:t>
            </w:r>
          </w:p>
        </w:tc>
      </w:tr>
      <w:tr w:rsidR="000B1DA7" w14:paraId="2B5AD838" w14:textId="77777777">
        <w:trPr>
          <w:jc w:val="center"/>
        </w:trPr>
        <w:tc>
          <w:tcPr>
            <w:tcW w:w="1728" w:type="dxa"/>
            <w:vAlign w:val="center"/>
          </w:tcPr>
          <w:p w14:paraId="1E7F43FA" w14:textId="77777777" w:rsidR="000B1DA7" w:rsidRDefault="000B1DA7"/>
        </w:tc>
        <w:tc>
          <w:tcPr>
            <w:tcW w:w="2448" w:type="dxa"/>
            <w:vAlign w:val="center"/>
          </w:tcPr>
          <w:p w14:paraId="135F856C" w14:textId="77777777" w:rsidR="000B1DA7" w:rsidRDefault="000C3D42">
            <w:r>
              <w:rPr>
                <w:sz w:val="13"/>
              </w:rPr>
              <w:t>Sensitivity model with binary CTR progression</w:t>
            </w:r>
          </w:p>
        </w:tc>
        <w:tc>
          <w:tcPr>
            <w:tcW w:w="1872" w:type="dxa"/>
            <w:vAlign w:val="center"/>
          </w:tcPr>
          <w:p w14:paraId="528E2B2B" w14:textId="77777777" w:rsidR="000B1DA7" w:rsidRDefault="000C3D42">
            <w:r>
              <w:rPr>
                <w:sz w:val="13"/>
              </w:rPr>
              <w:t>N = 354; events = 91</w:t>
            </w:r>
          </w:p>
        </w:tc>
        <w:tc>
          <w:tcPr>
            <w:tcW w:w="4320" w:type="dxa"/>
            <w:vAlign w:val="center"/>
          </w:tcPr>
          <w:p w14:paraId="331AED89" w14:textId="77777777" w:rsidR="000B1DA7" w:rsidRDefault="000C3D42">
            <w:r>
              <w:rPr>
                <w:sz w:val="13"/>
              </w:rPr>
              <w:t>CTR increase &gt; 0 vs no increase; OR = 5.88; P = .014</w:t>
            </w:r>
          </w:p>
        </w:tc>
        <w:tc>
          <w:tcPr>
            <w:tcW w:w="2880" w:type="dxa"/>
            <w:vAlign w:val="center"/>
          </w:tcPr>
          <w:p w14:paraId="2B175D3D" w14:textId="77777777" w:rsidR="000B1DA7" w:rsidRDefault="000C3D42">
            <w:r>
              <w:rPr>
                <w:sz w:val="13"/>
              </w:rPr>
              <w:t>AUC = 0.939; corrected AUC = 0.926; sensitivity = 0.824; specificity = 0.916; Brier = 0.078</w:t>
            </w:r>
          </w:p>
        </w:tc>
        <w:tc>
          <w:tcPr>
            <w:tcW w:w="3311" w:type="dxa"/>
            <w:vAlign w:val="center"/>
          </w:tcPr>
          <w:p w14:paraId="3A60B70A" w14:textId="77777777" w:rsidR="000B1DA7" w:rsidRDefault="000C3D42">
            <w:r>
              <w:rPr>
                <w:sz w:val="13"/>
              </w:rPr>
              <w:t xml:space="preserve">Discrimination was </w:t>
            </w:r>
            <w:proofErr w:type="gramStart"/>
            <w:r>
              <w:rPr>
                <w:sz w:val="13"/>
              </w:rPr>
              <w:t>similar to</w:t>
            </w:r>
            <w:proofErr w:type="gramEnd"/>
            <w:r>
              <w:rPr>
                <w:sz w:val="13"/>
              </w:rPr>
              <w:t xml:space="preserve"> the continuous CTR-change model.</w:t>
            </w:r>
          </w:p>
        </w:tc>
      </w:tr>
      <w:tr w:rsidR="000B1DA7" w14:paraId="3684C659" w14:textId="77777777">
        <w:trPr>
          <w:jc w:val="center"/>
        </w:trPr>
        <w:tc>
          <w:tcPr>
            <w:tcW w:w="1728" w:type="dxa"/>
            <w:vAlign w:val="center"/>
          </w:tcPr>
          <w:p w14:paraId="5725B129" w14:textId="77777777" w:rsidR="000B1DA7" w:rsidRDefault="000B1DA7"/>
        </w:tc>
        <w:tc>
          <w:tcPr>
            <w:tcW w:w="2448" w:type="dxa"/>
            <w:vAlign w:val="center"/>
          </w:tcPr>
          <w:p w14:paraId="5C0A6369" w14:textId="77777777" w:rsidR="000B1DA7" w:rsidRDefault="000C3D42">
            <w:r>
              <w:rPr>
                <w:sz w:val="13"/>
              </w:rPr>
              <w:t>Sensitivity model with three-level CTR progression</w:t>
            </w:r>
          </w:p>
        </w:tc>
        <w:tc>
          <w:tcPr>
            <w:tcW w:w="1872" w:type="dxa"/>
            <w:vAlign w:val="center"/>
          </w:tcPr>
          <w:p w14:paraId="1594941B" w14:textId="77777777" w:rsidR="000B1DA7" w:rsidRDefault="000C3D42">
            <w:r>
              <w:rPr>
                <w:sz w:val="13"/>
              </w:rPr>
              <w:t>N = 354; events = 91</w:t>
            </w:r>
          </w:p>
        </w:tc>
        <w:tc>
          <w:tcPr>
            <w:tcW w:w="4320" w:type="dxa"/>
            <w:vAlign w:val="center"/>
          </w:tcPr>
          <w:p w14:paraId="000284F0" w14:textId="77777777" w:rsidR="000B1DA7" w:rsidRDefault="000C3D42">
            <w:r>
              <w:rPr>
                <w:sz w:val="13"/>
              </w:rPr>
              <w:t>CTR change &gt;0 to &lt;0.1 vs 0: OR = 5.40, P = .039; CTR change &gt;=0.1 vs 0: OR = 7.79, P = .009</w:t>
            </w:r>
          </w:p>
        </w:tc>
        <w:tc>
          <w:tcPr>
            <w:tcW w:w="2880" w:type="dxa"/>
            <w:vAlign w:val="center"/>
          </w:tcPr>
          <w:p w14:paraId="7BB29658" w14:textId="77777777" w:rsidR="000B1DA7" w:rsidRDefault="000C3D42">
            <w:r>
              <w:rPr>
                <w:sz w:val="13"/>
              </w:rPr>
              <w:t>AUC = 0.941; corrected AUC = 0.929; sensitivity = 0.824; specificity = 0.916; Brier = 0.078</w:t>
            </w:r>
          </w:p>
        </w:tc>
        <w:tc>
          <w:tcPr>
            <w:tcW w:w="3311" w:type="dxa"/>
            <w:vAlign w:val="center"/>
          </w:tcPr>
          <w:p w14:paraId="0D3E9FCA" w14:textId="77777777" w:rsidR="000B1DA7" w:rsidRDefault="000C3D42">
            <w:r>
              <w:rPr>
                <w:sz w:val="13"/>
              </w:rPr>
              <w:t>Categorized CTR-change models supported the robustness of the combined model.</w:t>
            </w:r>
          </w:p>
        </w:tc>
      </w:tr>
    </w:tbl>
    <w:p w14:paraId="1EBA267E" w14:textId="77777777" w:rsidR="000B1DA7" w:rsidRDefault="000C3D42">
      <w:pPr>
        <w:rPr>
          <w:sz w:val="16"/>
        </w:rPr>
      </w:pPr>
      <w:r>
        <w:rPr>
          <w:b/>
          <w:sz w:val="16"/>
        </w:rPr>
        <w:t xml:space="preserve">Note. </w:t>
      </w:r>
      <w:r>
        <w:rPr>
          <w:sz w:val="16"/>
        </w:rPr>
        <w:t>Data are shown as model diagnostics, sensitivity-analysis estimates, or median values by pathologic group, as appropriate. EPV = events per variable; VIF = variance inflation factor; CTR = consolidation-to-tumor ratio; VDT = volume doubling time; MDT = mass doubling time; AUC = area under the receiver operating characteristic curve; IAC = invasive adenocarcinoma; MIA = minimally invasive adenocarcinoma; AAH = atypical adenomatous hyperplasia; AIS = adenocarcinoma in situ. P values for VDT and MDT analyses were obtained using Kruskal-Wallis tests, and trend P values assessed ordered change across AAH/AIS, MIA, and IAC. Reduced-model and CTR-progression sensitivity analyses used the same IAC versus AAH/AIS plus MIA outcome as the primary combined model.</w:t>
      </w:r>
    </w:p>
    <w:p w14:paraId="2539EEC4" w14:textId="77777777" w:rsidR="00690281" w:rsidRDefault="00690281">
      <w:pPr>
        <w:rPr>
          <w:rFonts w:eastAsia="宋体"/>
          <w:lang w:eastAsia="zh-CN"/>
        </w:rPr>
      </w:pPr>
    </w:p>
    <w:p w14:paraId="4D7A9CC6" w14:textId="77777777" w:rsidR="00690281" w:rsidRDefault="00690281">
      <w:pPr>
        <w:rPr>
          <w:rFonts w:eastAsia="宋体"/>
          <w:lang w:eastAsia="zh-CN"/>
        </w:rPr>
      </w:pPr>
    </w:p>
    <w:p w14:paraId="07F3626E" w14:textId="77777777" w:rsidR="00690281" w:rsidRDefault="00690281">
      <w:pPr>
        <w:rPr>
          <w:rFonts w:eastAsia="宋体"/>
          <w:lang w:eastAsia="zh-CN"/>
        </w:rPr>
      </w:pPr>
    </w:p>
    <w:p w14:paraId="57EC7F49" w14:textId="77777777" w:rsidR="00690281" w:rsidRDefault="00690281">
      <w:pPr>
        <w:rPr>
          <w:rFonts w:eastAsia="宋体"/>
          <w:lang w:eastAsia="zh-CN"/>
        </w:rPr>
      </w:pPr>
    </w:p>
    <w:p w14:paraId="602D5D12" w14:textId="77777777" w:rsidR="00690281" w:rsidRDefault="00690281">
      <w:pPr>
        <w:rPr>
          <w:rFonts w:eastAsia="宋体"/>
          <w:lang w:eastAsia="zh-CN"/>
        </w:rPr>
      </w:pPr>
    </w:p>
    <w:p w14:paraId="0261716D" w14:textId="26DBFAB3" w:rsidR="00EE0256" w:rsidRDefault="00EE0256">
      <w:r>
        <w:t>Table S4. Full multivariable combined model for identifying IAC (reported for transparency).</w:t>
      </w:r>
    </w:p>
    <w:p w14:paraId="67169E1E" w14:textId="0D85D571" w:rsidR="00EE0256" w:rsidRDefault="00EE0256">
      <w:r>
        <w:t>Note. The primary parsimonious combined model (all variance inflation factors &lt; 2) is reported in Table 3 of the main text. In this full eight-variable model, baseline density grade, baseline CTR, density upgrade, and solid-component increase were highly collinear; their coefficients are unstable and should not be interpreted as independent biological effects. OR = odds ratio; CI = confidence interval; IAC = invasive adenocarcinoma; CTR = consolidation-to-tumor ratio.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2952"/>
        <w:gridCol w:w="2952"/>
        <w:gridCol w:w="2952"/>
        <w:gridCol w:w="2952"/>
      </w:tblGrid>
      <w:tr w:rsidR="00EE0256" w14:paraId="033471F2" w14:textId="77777777" w:rsidTr="00EE0256">
        <w:tc>
          <w:tcPr>
            <w:tcW w:w="2952" w:type="dxa"/>
          </w:tcPr>
          <w:p w14:paraId="7F905D66" w14:textId="1458599C" w:rsidR="00EE0256" w:rsidRDefault="00EE0256">
            <w:r>
              <w:t>Variable</w:t>
            </w:r>
          </w:p>
        </w:tc>
        <w:tc>
          <w:tcPr>
            <w:tcW w:w="2952" w:type="dxa"/>
          </w:tcPr>
          <w:p w14:paraId="605C20DE" w14:textId="1C725F1C" w:rsidR="00EE0256" w:rsidRDefault="00EE0256">
            <w:r>
              <w:t>Combined model: OR (95% CI)</w:t>
            </w:r>
          </w:p>
        </w:tc>
        <w:tc>
          <w:tcPr>
            <w:tcW w:w="2952" w:type="dxa"/>
          </w:tcPr>
          <w:p w14:paraId="4965C694" w14:textId="6AB779CE" w:rsidR="00EE0256" w:rsidRDefault="00EE0256">
            <w:r>
              <w:t>P</w:t>
            </w:r>
          </w:p>
        </w:tc>
        <w:tc>
          <w:tcPr>
            <w:tcW w:w="2952" w:type="dxa"/>
          </w:tcPr>
          <w:p w14:paraId="6080051D" w14:textId="1BC8BC5D" w:rsidR="00EE0256" w:rsidRDefault="00EE0256">
            <w:r>
              <w:t>Adjusted for follow-up interval: OR (95% CI)</w:t>
            </w:r>
          </w:p>
        </w:tc>
        <w:tc>
          <w:tcPr>
            <w:tcW w:w="2952" w:type="dxa"/>
          </w:tcPr>
          <w:p w14:paraId="2A511236" w14:textId="7EEEFE2B" w:rsidR="00EE0256" w:rsidRDefault="00EE0256">
            <w:r>
              <w:t>P</w:t>
            </w:r>
          </w:p>
        </w:tc>
      </w:tr>
      <w:tr w:rsidR="00EE0256" w14:paraId="65440CC4" w14:textId="77777777" w:rsidTr="00EE0256">
        <w:tc>
          <w:tcPr>
            <w:tcW w:w="2952" w:type="dxa"/>
          </w:tcPr>
          <w:p w14:paraId="0E03F99A" w14:textId="3199B547" w:rsidR="00EE0256" w:rsidRDefault="00EE0256">
            <w:r>
              <w:t>Age, per year</w:t>
            </w:r>
          </w:p>
        </w:tc>
        <w:tc>
          <w:tcPr>
            <w:tcW w:w="2952" w:type="dxa"/>
          </w:tcPr>
          <w:p w14:paraId="498B54A0" w14:textId="70CC2FCB" w:rsidR="00EE0256" w:rsidRDefault="00EE0256">
            <w:r>
              <w:t>0.983 (0.949–1.018)</w:t>
            </w:r>
          </w:p>
        </w:tc>
        <w:tc>
          <w:tcPr>
            <w:tcW w:w="2952" w:type="dxa"/>
          </w:tcPr>
          <w:p w14:paraId="013A5A24" w14:textId="64527821" w:rsidR="00EE0256" w:rsidRDefault="00EE0256">
            <w:r>
              <w:t>0.333</w:t>
            </w:r>
          </w:p>
        </w:tc>
        <w:tc>
          <w:tcPr>
            <w:tcW w:w="2952" w:type="dxa"/>
          </w:tcPr>
          <w:p w14:paraId="36A0CCA7" w14:textId="4AD76DB8" w:rsidR="00EE0256" w:rsidRDefault="00EE0256">
            <w:r>
              <w:t>0.983 (0.949–1.018)</w:t>
            </w:r>
          </w:p>
        </w:tc>
        <w:tc>
          <w:tcPr>
            <w:tcW w:w="2952" w:type="dxa"/>
          </w:tcPr>
          <w:p w14:paraId="51D7F7A3" w14:textId="4598FC9E" w:rsidR="00EE0256" w:rsidRDefault="00EE0256">
            <w:r>
              <w:t>0.335</w:t>
            </w:r>
          </w:p>
        </w:tc>
      </w:tr>
      <w:tr w:rsidR="00EE0256" w14:paraId="39465BBE" w14:textId="77777777" w:rsidTr="00EE0256">
        <w:tc>
          <w:tcPr>
            <w:tcW w:w="2952" w:type="dxa"/>
          </w:tcPr>
          <w:p w14:paraId="7EAAB243" w14:textId="19200BE6" w:rsidR="00EE0256" w:rsidRDefault="00EE0256">
            <w:r>
              <w:t>Baseline density grade, per level</w:t>
            </w:r>
          </w:p>
        </w:tc>
        <w:tc>
          <w:tcPr>
            <w:tcW w:w="2952" w:type="dxa"/>
          </w:tcPr>
          <w:p w14:paraId="7585A63A" w14:textId="7D752981" w:rsidR="00EE0256" w:rsidRDefault="00EE0256">
            <w:r>
              <w:t>0.485 (0.034–6.874)</w:t>
            </w:r>
          </w:p>
        </w:tc>
        <w:tc>
          <w:tcPr>
            <w:tcW w:w="2952" w:type="dxa"/>
          </w:tcPr>
          <w:p w14:paraId="234702DF" w14:textId="12C6277D" w:rsidR="00EE0256" w:rsidRDefault="00EE0256">
            <w:r>
              <w:t>0.593</w:t>
            </w:r>
          </w:p>
        </w:tc>
        <w:tc>
          <w:tcPr>
            <w:tcW w:w="2952" w:type="dxa"/>
          </w:tcPr>
          <w:p w14:paraId="7645EBF7" w14:textId="56E58FFF" w:rsidR="00EE0256" w:rsidRDefault="00EE0256">
            <w:r>
              <w:t>0.496 (0.035–7.091)</w:t>
            </w:r>
          </w:p>
        </w:tc>
        <w:tc>
          <w:tcPr>
            <w:tcW w:w="2952" w:type="dxa"/>
          </w:tcPr>
          <w:p w14:paraId="737A6374" w14:textId="3FD1FC35" w:rsidR="00EE0256" w:rsidRDefault="00EE0256">
            <w:r>
              <w:t>0.606</w:t>
            </w:r>
          </w:p>
        </w:tc>
      </w:tr>
      <w:tr w:rsidR="00EE0256" w14:paraId="21FF89B1" w14:textId="77777777" w:rsidTr="00EE0256">
        <w:tc>
          <w:tcPr>
            <w:tcW w:w="2952" w:type="dxa"/>
          </w:tcPr>
          <w:p w14:paraId="5B3A5293" w14:textId="75C55D89" w:rsidR="00EE0256" w:rsidRDefault="00EE0256">
            <w:r>
              <w:t>Baseline mass, log2(g + 1)</w:t>
            </w:r>
          </w:p>
        </w:tc>
        <w:tc>
          <w:tcPr>
            <w:tcW w:w="2952" w:type="dxa"/>
          </w:tcPr>
          <w:p w14:paraId="677EC756" w14:textId="2FA23A45" w:rsidR="00EE0256" w:rsidRDefault="00EE0256">
            <w:r>
              <w:t>4.429 (0.951–20.623)</w:t>
            </w:r>
          </w:p>
        </w:tc>
        <w:tc>
          <w:tcPr>
            <w:tcW w:w="2952" w:type="dxa"/>
          </w:tcPr>
          <w:p w14:paraId="05B22AB4" w14:textId="7DA23950" w:rsidR="00EE0256" w:rsidRDefault="00EE0256">
            <w:r>
              <w:t>0.058</w:t>
            </w:r>
          </w:p>
        </w:tc>
        <w:tc>
          <w:tcPr>
            <w:tcW w:w="2952" w:type="dxa"/>
          </w:tcPr>
          <w:p w14:paraId="1F1CE38E" w14:textId="537DA082" w:rsidR="00EE0256" w:rsidRDefault="00EE0256">
            <w:r>
              <w:t>4.738 (0.974–23.044)</w:t>
            </w:r>
          </w:p>
        </w:tc>
        <w:tc>
          <w:tcPr>
            <w:tcW w:w="2952" w:type="dxa"/>
          </w:tcPr>
          <w:p w14:paraId="32527FDA" w14:textId="15836B2E" w:rsidR="00EE0256" w:rsidRDefault="00EE0256">
            <w:r>
              <w:t>0.054</w:t>
            </w:r>
          </w:p>
        </w:tc>
      </w:tr>
      <w:tr w:rsidR="00EE0256" w14:paraId="7730824F" w14:textId="77777777" w:rsidTr="00EE0256">
        <w:tc>
          <w:tcPr>
            <w:tcW w:w="2952" w:type="dxa"/>
          </w:tcPr>
          <w:p w14:paraId="63520751" w14:textId="6DB36FEB" w:rsidR="00EE0256" w:rsidRDefault="00EE0256">
            <w:r>
              <w:t>Baseline CTR, per 0.1</w:t>
            </w:r>
          </w:p>
        </w:tc>
        <w:tc>
          <w:tcPr>
            <w:tcW w:w="2952" w:type="dxa"/>
          </w:tcPr>
          <w:p w14:paraId="5CEF9B38" w14:textId="17D96AA8" w:rsidR="00EE0256" w:rsidRDefault="00EE0256">
            <w:r>
              <w:t>1.348 (0.938–1.937)</w:t>
            </w:r>
          </w:p>
        </w:tc>
        <w:tc>
          <w:tcPr>
            <w:tcW w:w="2952" w:type="dxa"/>
          </w:tcPr>
          <w:p w14:paraId="6F22A9A7" w14:textId="0ADD723F" w:rsidR="00EE0256" w:rsidRDefault="00EE0256">
            <w:r>
              <w:t>0.107</w:t>
            </w:r>
          </w:p>
        </w:tc>
        <w:tc>
          <w:tcPr>
            <w:tcW w:w="2952" w:type="dxa"/>
          </w:tcPr>
          <w:p w14:paraId="1FD3649B" w14:textId="6C748BBD" w:rsidR="00EE0256" w:rsidRDefault="00EE0256">
            <w:r>
              <w:t>1.336 (0.928–1.923)</w:t>
            </w:r>
          </w:p>
        </w:tc>
        <w:tc>
          <w:tcPr>
            <w:tcW w:w="2952" w:type="dxa"/>
          </w:tcPr>
          <w:p w14:paraId="0BC74862" w14:textId="4E21BBFC" w:rsidR="00EE0256" w:rsidRDefault="00EE0256">
            <w:r>
              <w:t>0.119</w:t>
            </w:r>
          </w:p>
        </w:tc>
      </w:tr>
      <w:tr w:rsidR="00EE0256" w14:paraId="3819E27F" w14:textId="77777777" w:rsidTr="00EE0256">
        <w:tc>
          <w:tcPr>
            <w:tcW w:w="2952" w:type="dxa"/>
          </w:tcPr>
          <w:p w14:paraId="1B03FF12" w14:textId="7F3582CB" w:rsidR="00EE0256" w:rsidRDefault="00EE0256">
            <w:r>
              <w:t>Annual mass growth, per 0.1 g/year</w:t>
            </w:r>
          </w:p>
        </w:tc>
        <w:tc>
          <w:tcPr>
            <w:tcW w:w="2952" w:type="dxa"/>
          </w:tcPr>
          <w:p w14:paraId="035D1E73" w14:textId="42E79431" w:rsidR="00EE0256" w:rsidRDefault="00EE0256">
            <w:r>
              <w:t>2.020 (1.448–2.817)</w:t>
            </w:r>
          </w:p>
        </w:tc>
        <w:tc>
          <w:tcPr>
            <w:tcW w:w="2952" w:type="dxa"/>
          </w:tcPr>
          <w:p w14:paraId="2665CB24" w14:textId="492CEBC0" w:rsidR="00EE0256" w:rsidRDefault="00EE0256">
            <w:r>
              <w:t>&lt;0.001</w:t>
            </w:r>
          </w:p>
        </w:tc>
        <w:tc>
          <w:tcPr>
            <w:tcW w:w="2952" w:type="dxa"/>
          </w:tcPr>
          <w:p w14:paraId="2A2EE1BF" w14:textId="5B5CF752" w:rsidR="00EE0256" w:rsidRDefault="00EE0256">
            <w:r>
              <w:t>2.026 (1.450–2.831)</w:t>
            </w:r>
          </w:p>
        </w:tc>
        <w:tc>
          <w:tcPr>
            <w:tcW w:w="2952" w:type="dxa"/>
          </w:tcPr>
          <w:p w14:paraId="639722AB" w14:textId="1888E513" w:rsidR="00EE0256" w:rsidRDefault="00EE0256">
            <w:r>
              <w:t>&lt;0.001</w:t>
            </w:r>
          </w:p>
        </w:tc>
      </w:tr>
      <w:tr w:rsidR="00EE0256" w14:paraId="6BA50D03" w14:textId="77777777" w:rsidTr="00EE0256">
        <w:tc>
          <w:tcPr>
            <w:tcW w:w="2952" w:type="dxa"/>
          </w:tcPr>
          <w:p w14:paraId="5412FCF3" w14:textId="56C8CD09" w:rsidR="00EE0256" w:rsidRDefault="00EE0256">
            <w:r>
              <w:t>CTR change, per 0.1</w:t>
            </w:r>
          </w:p>
        </w:tc>
        <w:tc>
          <w:tcPr>
            <w:tcW w:w="2952" w:type="dxa"/>
          </w:tcPr>
          <w:p w14:paraId="777ED5CF" w14:textId="706EC8E1" w:rsidR="00EE0256" w:rsidRDefault="00EE0256">
            <w:r>
              <w:t>1.799 (1.291–2.506)</w:t>
            </w:r>
          </w:p>
        </w:tc>
        <w:tc>
          <w:tcPr>
            <w:tcW w:w="2952" w:type="dxa"/>
          </w:tcPr>
          <w:p w14:paraId="57DD56BE" w14:textId="651D4E2E" w:rsidR="00EE0256" w:rsidRDefault="00EE0256">
            <w:r>
              <w:t>&lt;0.001</w:t>
            </w:r>
          </w:p>
        </w:tc>
        <w:tc>
          <w:tcPr>
            <w:tcW w:w="2952" w:type="dxa"/>
          </w:tcPr>
          <w:p w14:paraId="61558A44" w14:textId="304D3106" w:rsidR="00EE0256" w:rsidRDefault="00EE0256">
            <w:r>
              <w:t>1.776 (1.269–2.485)</w:t>
            </w:r>
          </w:p>
        </w:tc>
        <w:tc>
          <w:tcPr>
            <w:tcW w:w="2952" w:type="dxa"/>
          </w:tcPr>
          <w:p w14:paraId="29A64B57" w14:textId="1C5E85C1" w:rsidR="00EE0256" w:rsidRDefault="00EE0256">
            <w:r>
              <w:t>&lt;0.001</w:t>
            </w:r>
          </w:p>
        </w:tc>
      </w:tr>
      <w:tr w:rsidR="00EE0256" w14:paraId="73883AD8" w14:textId="77777777" w:rsidTr="00EE0256">
        <w:tc>
          <w:tcPr>
            <w:tcW w:w="2952" w:type="dxa"/>
          </w:tcPr>
          <w:p w14:paraId="35F12613" w14:textId="713DF708" w:rsidR="00EE0256" w:rsidRDefault="00EE0256">
            <w:r>
              <w:t>Density upgrade</w:t>
            </w:r>
          </w:p>
        </w:tc>
        <w:tc>
          <w:tcPr>
            <w:tcW w:w="2952" w:type="dxa"/>
          </w:tcPr>
          <w:p w14:paraId="7F4E75A6" w14:textId="713AD767" w:rsidR="00EE0256" w:rsidRDefault="00EE0256">
            <w:r>
              <w:t>0.144 (0.017–1.211)</w:t>
            </w:r>
          </w:p>
        </w:tc>
        <w:tc>
          <w:tcPr>
            <w:tcW w:w="2952" w:type="dxa"/>
          </w:tcPr>
          <w:p w14:paraId="00045DD7" w14:textId="79668107" w:rsidR="00EE0256" w:rsidRDefault="00EE0256">
            <w:r>
              <w:t>0.075</w:t>
            </w:r>
          </w:p>
        </w:tc>
        <w:tc>
          <w:tcPr>
            <w:tcW w:w="2952" w:type="dxa"/>
          </w:tcPr>
          <w:p w14:paraId="4290B063" w14:textId="6C70D80F" w:rsidR="00EE0256" w:rsidRDefault="00EE0256">
            <w:r>
              <w:t>0.145 (0.017–1.223)</w:t>
            </w:r>
          </w:p>
        </w:tc>
        <w:tc>
          <w:tcPr>
            <w:tcW w:w="2952" w:type="dxa"/>
          </w:tcPr>
          <w:p w14:paraId="43CB910B" w14:textId="401DB4A8" w:rsidR="00EE0256" w:rsidRDefault="00EE0256">
            <w:r>
              <w:t>0.076</w:t>
            </w:r>
          </w:p>
        </w:tc>
      </w:tr>
      <w:tr w:rsidR="00EE0256" w14:paraId="5A847D65" w14:textId="77777777" w:rsidTr="00EE0256">
        <w:tc>
          <w:tcPr>
            <w:tcW w:w="2952" w:type="dxa"/>
          </w:tcPr>
          <w:p w14:paraId="4C46673B" w14:textId="4EA85896" w:rsidR="00EE0256" w:rsidRDefault="00EE0256">
            <w:r>
              <w:t>Increase in maximum solid component diameter</w:t>
            </w:r>
          </w:p>
        </w:tc>
        <w:tc>
          <w:tcPr>
            <w:tcW w:w="2952" w:type="dxa"/>
          </w:tcPr>
          <w:p w14:paraId="43F31887" w14:textId="2B5B5E3E" w:rsidR="00EE0256" w:rsidRDefault="00EE0256">
            <w:r>
              <w:t>5.100 (0.797–32.615)</w:t>
            </w:r>
          </w:p>
        </w:tc>
        <w:tc>
          <w:tcPr>
            <w:tcW w:w="2952" w:type="dxa"/>
          </w:tcPr>
          <w:p w14:paraId="6000C191" w14:textId="6B3B2BA4" w:rsidR="00EE0256" w:rsidRDefault="00EE0256">
            <w:r>
              <w:t>0.085</w:t>
            </w:r>
          </w:p>
        </w:tc>
        <w:tc>
          <w:tcPr>
            <w:tcW w:w="2952" w:type="dxa"/>
          </w:tcPr>
          <w:p w14:paraId="180EBF4E" w14:textId="5806187B" w:rsidR="00EE0256" w:rsidRDefault="00EE0256">
            <w:r>
              <w:t>5.211 (0.802–33.883)</w:t>
            </w:r>
          </w:p>
        </w:tc>
        <w:tc>
          <w:tcPr>
            <w:tcW w:w="2952" w:type="dxa"/>
          </w:tcPr>
          <w:p w14:paraId="08CDCED5" w14:textId="7CE601B8" w:rsidR="00EE0256" w:rsidRDefault="00EE0256">
            <w:r>
              <w:t>0.084</w:t>
            </w:r>
          </w:p>
        </w:tc>
      </w:tr>
      <w:tr w:rsidR="00EE0256" w14:paraId="2AB8F33E" w14:textId="77777777" w:rsidTr="00EE0256">
        <w:tc>
          <w:tcPr>
            <w:tcW w:w="2952" w:type="dxa"/>
          </w:tcPr>
          <w:p w14:paraId="27CB787D" w14:textId="1EDCE449" w:rsidR="00EE0256" w:rsidRDefault="00EE0256">
            <w:r>
              <w:t>Follow-up interval, per day</w:t>
            </w:r>
          </w:p>
        </w:tc>
        <w:tc>
          <w:tcPr>
            <w:tcW w:w="2952" w:type="dxa"/>
          </w:tcPr>
          <w:p w14:paraId="43DA235C" w14:textId="1B2E827D" w:rsidR="00EE0256" w:rsidRDefault="00EE0256">
            <w:r>
              <w:t>NA</w:t>
            </w:r>
          </w:p>
        </w:tc>
        <w:tc>
          <w:tcPr>
            <w:tcW w:w="2952" w:type="dxa"/>
          </w:tcPr>
          <w:p w14:paraId="228B52FF" w14:textId="6250B133" w:rsidR="00EE0256" w:rsidRDefault="00EE0256">
            <w:r>
              <w:t>NA</w:t>
            </w:r>
          </w:p>
        </w:tc>
        <w:tc>
          <w:tcPr>
            <w:tcW w:w="2952" w:type="dxa"/>
          </w:tcPr>
          <w:p w14:paraId="55FBBA8E" w14:textId="4CAAEFC8" w:rsidR="00EE0256" w:rsidRDefault="00EE0256">
            <w:r>
              <w:t>1.000 (0.999–1.001)</w:t>
            </w:r>
          </w:p>
        </w:tc>
        <w:tc>
          <w:tcPr>
            <w:tcW w:w="2952" w:type="dxa"/>
          </w:tcPr>
          <w:p w14:paraId="3530C316" w14:textId="54BDA7F8" w:rsidR="00EE0256" w:rsidRDefault="00EE0256">
            <w:r>
              <w:t>0.694</w:t>
            </w:r>
          </w:p>
        </w:tc>
      </w:tr>
    </w:tbl>
    <w:p w14:paraId="3293C039" w14:textId="77777777" w:rsidR="00EE0256" w:rsidRDefault="00EE0256"/>
    <w:sectPr w:rsidR="00EE0256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9613E" w14:textId="77777777" w:rsidR="0008255C" w:rsidRDefault="0008255C" w:rsidP="00EE0256">
      <w:pPr>
        <w:spacing w:after="0" w:line="240" w:lineRule="auto"/>
      </w:pPr>
      <w:r>
        <w:separator/>
      </w:r>
    </w:p>
  </w:endnote>
  <w:endnote w:type="continuationSeparator" w:id="0">
    <w:p w14:paraId="7523EE17" w14:textId="77777777" w:rsidR="0008255C" w:rsidRDefault="0008255C" w:rsidP="00EE0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CB49D" w14:textId="77777777" w:rsidR="0008255C" w:rsidRDefault="0008255C" w:rsidP="00EE0256">
      <w:pPr>
        <w:spacing w:after="0" w:line="240" w:lineRule="auto"/>
      </w:pPr>
      <w:r>
        <w:separator/>
      </w:r>
    </w:p>
  </w:footnote>
  <w:footnote w:type="continuationSeparator" w:id="0">
    <w:p w14:paraId="5123644B" w14:textId="77777777" w:rsidR="0008255C" w:rsidRDefault="0008255C" w:rsidP="00EE0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262864">
    <w:abstractNumId w:val="8"/>
  </w:num>
  <w:num w:numId="2" w16cid:durableId="494342449">
    <w:abstractNumId w:val="6"/>
  </w:num>
  <w:num w:numId="3" w16cid:durableId="992442173">
    <w:abstractNumId w:val="5"/>
  </w:num>
  <w:num w:numId="4" w16cid:durableId="1502239908">
    <w:abstractNumId w:val="4"/>
  </w:num>
  <w:num w:numId="5" w16cid:durableId="1567716968">
    <w:abstractNumId w:val="7"/>
  </w:num>
  <w:num w:numId="6" w16cid:durableId="1004742813">
    <w:abstractNumId w:val="3"/>
  </w:num>
  <w:num w:numId="7" w16cid:durableId="1823959973">
    <w:abstractNumId w:val="2"/>
  </w:num>
  <w:num w:numId="8" w16cid:durableId="1211498711">
    <w:abstractNumId w:val="1"/>
  </w:num>
  <w:num w:numId="9" w16cid:durableId="71319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55C"/>
    <w:rsid w:val="000B1DA7"/>
    <w:rsid w:val="000C3D42"/>
    <w:rsid w:val="0015074B"/>
    <w:rsid w:val="00294403"/>
    <w:rsid w:val="0029639D"/>
    <w:rsid w:val="00326F90"/>
    <w:rsid w:val="003A14BA"/>
    <w:rsid w:val="005E7C52"/>
    <w:rsid w:val="00690281"/>
    <w:rsid w:val="008007CA"/>
    <w:rsid w:val="0096148E"/>
    <w:rsid w:val="00AA1D8D"/>
    <w:rsid w:val="00B47730"/>
    <w:rsid w:val="00B75E0B"/>
    <w:rsid w:val="00CB0664"/>
    <w:rsid w:val="00EE02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80693"/>
  <w14:defaultImageDpi w14:val="300"/>
  <w15:docId w15:val="{735F2432-6501-4DCB-AA3E-AA09D66F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rPr>
      <w:rFonts w:ascii="Times New Roman" w:eastAsia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yi 吴</cp:lastModifiedBy>
  <cp:revision>6</cp:revision>
  <dcterms:created xsi:type="dcterms:W3CDTF">2013-12-23T23:15:00Z</dcterms:created>
  <dcterms:modified xsi:type="dcterms:W3CDTF">2026-06-28T14:20:00Z</dcterms:modified>
  <cp:category/>
</cp:coreProperties>
</file>