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  <w:spacing w:after="60"/>
      </w:pPr>
      <w:r>
        <w:rPr>
          <w:b/>
          <w:sz w:val="26"/>
        </w:rPr>
        <w:t>Additional file 5. Participant flow diagram</w:t>
      </w:r>
    </w:p>
    <w:p>
      <w:pPr>
        <w:jc w:val="center"/>
        <w:spacing w:after="160"/>
      </w:pPr>
      <w:r>
        <w:rPr>
          <w:sz w:val="18"/>
        </w:rPr>
        <w:t>Derivation of the analytic cohort (TRIPOD item 13a)</w:t>
      </w:r>
    </w:p>
    <w:tbl>
      <w:tblPr>
        <w:tblW w:w="90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60" w:type="dxa"/>
          <w:left w:w="80" w:type="dxa"/>
          <w:bottom w:w="60" w:type="dxa"/>
          <w:right w:w="80" w:type="dxa"/>
        </w:tblCellMar>
        <w:tblLayout w:type="fixed"/>
      </w:tblPr>
      <w:tblGrid>
        <w:gridCol w:w="1500"/>
        <w:gridCol w:w="1500"/>
        <w:gridCol w:w="1500"/>
        <w:gridCol w:w="1500"/>
        <w:gridCol w:w="1500"/>
        <w:gridCol w:w="1500"/>
      </w:tblGrid>
      <w:tr>
        <w:tc>
          <w:tcPr>
            <w:tcW w:w="90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jc w:val="center"/>
              <w:spacing w:before="40" w:after="40"/>
            </w:pPr>
            <w:r>
              <w:rPr>
                <w:b/>
                <w:sz w:val="20"/>
              </w:rPr>
              <w:t xml:space="preserve">Patients undergoing surgical resection for pulmonary nodules (May 2019 - April 2025)</w:t>
            </w:r>
            <w:r>
              <w:br/>
            </w:r>
            <w:r>
              <w:rPr>
                <w:b/>
                <w:sz w:val="20"/>
              </w:rPr>
              <w:t xml:space="preserve">(n = 2,119)</w:t>
            </w:r>
          </w:p>
        </w:tc>
      </w:tr>
      <w:tr>
        <w:tc>
          <w:tcPr>
            <w:tcW w:w="6000" w:type="dxa"/>
            <w:gridSpan w:val="4"/>
            <w:vAlign w:val="center"/>
          </w:tcPr>
          <w:p>
            <w:pPr>
              <w:jc w:val="center"/>
            </w:pPr>
            <w:r>
              <w:rPr>
                <w:sz w:val="44"/>
              </w:rPr>
              <w:t>↓</w:t>
            </w:r>
          </w:p>
        </w:tc>
        <w:tc>
          <w:tcPr>
            <w:tcW w:w="3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spacing w:before="20" w:after="20"/>
            </w:pPr>
            <w:r>
              <w:rPr>
                <w:b/>
                <w:sz w:val="16"/>
              </w:rPr>
              <w:t>Excluded (n = 1,735)</w:t>
            </w:r>
          </w:p>
          <w:p>
            <w:pPr>
              <w:spacing w:before="0" w:after="10"/>
            </w:pPr>
            <w:r>
              <w:rPr>
                <w:sz w:val="16"/>
              </w:rPr>
              <w:t xml:space="preserve">•  Incomplete baseline or follow-up CT - 537</w:t>
            </w:r>
          </w:p>
          <w:p>
            <w:pPr>
              <w:spacing w:before="0" w:after="10"/>
            </w:pPr>
            <w:r>
              <w:rPr>
                <w:sz w:val="16"/>
              </w:rPr>
              <w:t xml:space="preserve">•  Follow-up interval &lt; 365 days - 619</w:t>
            </w:r>
          </w:p>
          <w:p>
            <w:pPr>
              <w:spacing w:before="0" w:after="10"/>
            </w:pPr>
            <w:r>
              <w:rPr>
                <w:sz w:val="16"/>
              </w:rPr>
              <w:t xml:space="preserve">•  Poor image quality - 456</w:t>
            </w:r>
          </w:p>
          <w:p>
            <w:pPr>
              <w:spacing w:before="0" w:after="10"/>
            </w:pPr>
            <w:r>
              <w:rPr>
                <w:sz w:val="16"/>
              </w:rPr>
              <w:t xml:space="preserve">•  Prior treatment of target lesion - 108</w:t>
            </w:r>
          </w:p>
          <w:p>
            <w:pPr>
              <w:spacing w:before="0" w:after="20"/>
            </w:pPr>
            <w:r>
              <w:rPr>
                <w:sz w:val="16"/>
              </w:rPr>
              <w:t xml:space="preserve">•  One lesion per patient (duplicates removed) - 15</w:t>
            </w:r>
          </w:p>
        </w:tc>
      </w:tr>
      <w:tr>
        <w:tc>
          <w:tcPr>
            <w:tcW w:w="90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jc w:val="center"/>
              <w:spacing w:before="40" w:after="40"/>
            </w:pPr>
            <w:r>
              <w:rPr>
                <w:b/>
                <w:sz w:val="20"/>
              </w:rPr>
              <w:t xml:space="preserve">Eligible baseline lung adenocarcinoma-spectrum lesions (one lesion per patient)</w:t>
            </w:r>
            <w:r>
              <w:br/>
            </w:r>
            <w:r>
              <w:rPr>
                <w:b/>
                <w:sz w:val="20"/>
              </w:rPr>
              <w:t xml:space="preserve">(n = 384)</w:t>
            </w:r>
          </w:p>
        </w:tc>
      </w:tr>
      <w:tr>
        <w:tc>
          <w:tcPr>
            <w:tcW w:w="6000" w:type="dxa"/>
            <w:gridSpan w:val="4"/>
            <w:vAlign w:val="center"/>
          </w:tcPr>
          <w:p>
            <w:pPr>
              <w:jc w:val="center"/>
            </w:pPr>
            <w:r>
              <w:rPr>
                <w:sz w:val="44"/>
              </w:rPr>
              <w:t>↓</w:t>
            </w:r>
          </w:p>
        </w:tc>
        <w:tc>
          <w:tcPr>
            <w:tcW w:w="3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spacing w:before="20" w:after="20"/>
            </w:pPr>
            <w:r>
              <w:rPr>
                <w:b/>
                <w:sz w:val="16"/>
              </w:rPr>
              <w:t>Excluded baseline solid nodules (n = 30)</w:t>
            </w:r>
          </w:p>
          <w:p>
            <w:pPr>
              <w:spacing w:before="0" w:after="10"/>
            </w:pPr>
            <w:r>
              <w:rPr>
                <w:sz w:val="16"/>
              </w:rPr>
              <w:t xml:space="preserve">•  MIA - 1</w:t>
            </w:r>
          </w:p>
          <w:p>
            <w:pPr>
              <w:spacing w:before="0" w:after="20"/>
            </w:pPr>
            <w:r>
              <w:rPr>
                <w:sz w:val="16"/>
              </w:rPr>
              <w:t xml:space="preserve">•  IAC - 29</w:t>
            </w:r>
          </w:p>
        </w:tc>
      </w:tr>
      <w:tr>
        <w:tc>
          <w:tcPr>
            <w:tcW w:w="90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jc w:val="center"/>
              <w:spacing w:before="40" w:after="40"/>
            </w:pPr>
            <w:r>
              <w:rPr>
                <w:b/>
                <w:sz w:val="20"/>
              </w:rPr>
              <w:t xml:space="preserve">Baseline subsolid lesions included in the analysis</w:t>
            </w:r>
            <w:r>
              <w:br/>
            </w:r>
            <w:r>
              <w:rPr>
                <w:b/>
                <w:sz w:val="20"/>
              </w:rPr>
              <w:t xml:space="preserve">(n = 354)</w:t>
            </w:r>
          </w:p>
        </w:tc>
      </w:tr>
      <w:tr>
        <w:tc>
          <w:tcPr>
            <w:tcW w:w="9000" w:type="dxa"/>
            <w:gridSpan w:val="6"/>
          </w:tcPr>
          <w:p>
            <w:pPr>
              <w:jc w:val="center"/>
            </w:pPr>
            <w:r>
              <w:rPr>
                <w:sz w:val="44"/>
              </w:rPr>
              <w:t>↓</w:t>
            </w:r>
          </w:p>
        </w:tc>
      </w:tr>
      <w:tr>
        <w:tc>
          <w:tcPr>
            <w:tcW w:w="3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jc w:val="center"/>
              <w:spacing w:before="40" w:after="40"/>
            </w:pPr>
            <w:r>
              <w:rPr>
                <w:b/>
                <w:sz w:val="20"/>
              </w:rPr>
              <w:t>AAH/AIS</w:t>
            </w:r>
            <w:r>
              <w:br/>
            </w:r>
            <w:r>
              <w:rPr>
                <w:sz w:val="20"/>
              </w:rPr>
              <w:t>(n = 147)</w:t>
            </w:r>
          </w:p>
        </w:tc>
        <w:tc>
          <w:tcPr>
            <w:tcW w:w="3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jc w:val="center"/>
              <w:spacing w:before="40" w:after="40"/>
            </w:pPr>
            <w:r>
              <w:rPr>
                <w:b/>
                <w:sz w:val="20"/>
              </w:rPr>
              <w:t>MIA</w:t>
            </w:r>
            <w:r>
              <w:br/>
            </w:r>
            <w:r>
              <w:rPr>
                <w:sz w:val="20"/>
              </w:rPr>
              <w:t>(n = 116)</w:t>
            </w:r>
          </w:p>
        </w:tc>
        <w:tc>
          <w:tcPr>
            <w:tcW w:w="3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jc w:val="center"/>
              <w:spacing w:before="40" w:after="40"/>
            </w:pPr>
            <w:r>
              <w:rPr>
                <w:b/>
                <w:sz w:val="20"/>
              </w:rPr>
              <w:t>IAC</w:t>
            </w:r>
            <w:r>
              <w:br/>
            </w:r>
            <w:r>
              <w:rPr>
                <w:sz w:val="20"/>
              </w:rPr>
              <w:t>(n = 91)</w:t>
            </w:r>
          </w:p>
        </w:tc>
      </w:tr>
    </w:tbl>
    <w:p>
      <w:pPr>
        <w:spacing w:before="200" w:after="0"/>
      </w:pPr>
      <w:r>
        <w:rPr>
          <w:b/>
          <w:i/>
          <w:sz w:val="16"/>
        </w:rPr>
        <w:t xml:space="preserve">Note. </w:t>
      </w:r>
      <w:r>
        <w:rPr>
          <w:i/>
          <w:sz w:val="16"/>
        </w:rPr>
        <w:t xml:space="preserve">Subsolid (baseline non-solid) nodules are pure ground-glass or part-solid lesions with no purely solid baseline component (Fleischner Society). The 384 to 354 step (removal of 30 baseline solid nodules: MIA n = 1, IAC n = 29) is taken from the source workbook, sheet "Exclusion_summary". In the manuscript legend this removal was reported together with duplicate-lesion removal as a single "one-lesion-per-patient rule (n = 45)"; here the 45 is itemised as duplicate removal (n = 15) plus baseline-solid removal (n = 30) so that the diagram passes through the verified intermediate of 384 lesions while preserving the overall excluded total. Per-step counts for the 2,119 to 384 stage are author-supplied; please confirm against source records before submission.</w:t>
      </w:r>
    </w:p>
    <w:sectPr>
      <w:pgSz w:w="11906" w:h="16838"/>
      <w:pgMar w:top="1134" w:right="1000" w:bottom="1134" w:left="1000" w:header="708" w:footer="708" w:gutter="0"/>
    </w:sectPr>
  </w:body>
</w:document>
</file>