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88E8" w14:textId="6F27967A" w:rsidR="00DA4FC3" w:rsidRDefault="000E5A6E">
      <w:r w:rsidRPr="000E5A6E">
        <w:rPr>
          <w:b/>
        </w:rPr>
        <w:t xml:space="preserve">Additional file </w:t>
      </w:r>
      <w:r w:rsidR="00000000">
        <w:rPr>
          <w:b/>
        </w:rPr>
        <w:t>1. TRIPOD+AI checklist for reporting prediction model analyses</w:t>
      </w:r>
    </w:p>
    <w:p w14:paraId="2B20F2CA" w14:textId="17FA42DE" w:rsidR="00DA4FC3" w:rsidRDefault="00000000">
      <w:r>
        <w:t>This completed checklist is prepared for the manuscript entitled “Longitudinal CT-derived Growth Metrics Associated with Invasive Lung Adenocarcinoma in Nonsolid Pulmonary Nodules.” It summarizes how the manuscript addresses key TRIPOD+AI reporting domains for the updated baseline nonsolid cohort.</w:t>
      </w:r>
    </w:p>
    <w:p w14:paraId="2A0F064D" w14:textId="77777777" w:rsidR="00DA4FC3" w:rsidRDefault="00000000">
      <w:r>
        <w:t>Note: This is a concise adapted checklist summary for manuscript reporting and is not a substitute for the official TRIPOD+AI checklist template.</w:t>
      </w:r>
    </w:p>
    <w:tbl>
      <w:tblPr>
        <w:tblStyle w:val="aff1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43"/>
        <w:gridCol w:w="2215"/>
        <w:gridCol w:w="1003"/>
        <w:gridCol w:w="2531"/>
        <w:gridCol w:w="8368"/>
      </w:tblGrid>
      <w:tr w:rsidR="00DA4FC3" w14:paraId="753CF8C9" w14:textId="77777777">
        <w:trPr>
          <w:tblHeader/>
          <w:jc w:val="center"/>
        </w:trPr>
        <w:tc>
          <w:tcPr>
            <w:tcW w:w="648" w:type="dxa"/>
            <w:shd w:val="clear" w:color="auto" w:fill="D9EAF7"/>
          </w:tcPr>
          <w:p w14:paraId="1D71866D" w14:textId="77777777" w:rsidR="00DA4FC3" w:rsidRDefault="00000000">
            <w:r>
              <w:rPr>
                <w:b/>
                <w:sz w:val="15"/>
              </w:rPr>
              <w:t>Item</w:t>
            </w:r>
          </w:p>
        </w:tc>
        <w:tc>
          <w:tcPr>
            <w:tcW w:w="2232" w:type="dxa"/>
            <w:shd w:val="clear" w:color="auto" w:fill="D9EAF7"/>
          </w:tcPr>
          <w:p w14:paraId="273EBDE5" w14:textId="77777777" w:rsidR="00DA4FC3" w:rsidRDefault="00000000">
            <w:r>
              <w:rPr>
                <w:b/>
                <w:sz w:val="15"/>
              </w:rPr>
              <w:t>Reporting domain</w:t>
            </w:r>
          </w:p>
        </w:tc>
        <w:tc>
          <w:tcPr>
            <w:tcW w:w="1007" w:type="dxa"/>
            <w:shd w:val="clear" w:color="auto" w:fill="D9EAF7"/>
          </w:tcPr>
          <w:p w14:paraId="2D07B9CF" w14:textId="77777777" w:rsidR="00DA4FC3" w:rsidRDefault="00000000">
            <w:r>
              <w:rPr>
                <w:b/>
                <w:sz w:val="15"/>
              </w:rPr>
              <w:t>Reported?</w:t>
            </w:r>
          </w:p>
        </w:tc>
        <w:tc>
          <w:tcPr>
            <w:tcW w:w="2592" w:type="dxa"/>
            <w:shd w:val="clear" w:color="auto" w:fill="D9EAF7"/>
          </w:tcPr>
          <w:p w14:paraId="1C6FF5D8" w14:textId="77777777" w:rsidR="00DA4FC3" w:rsidRDefault="00000000">
            <w:r>
              <w:rPr>
                <w:b/>
                <w:sz w:val="15"/>
              </w:rPr>
              <w:t>Location in manuscript</w:t>
            </w:r>
          </w:p>
        </w:tc>
        <w:tc>
          <w:tcPr>
            <w:tcW w:w="8640" w:type="dxa"/>
            <w:shd w:val="clear" w:color="auto" w:fill="D9EAF7"/>
          </w:tcPr>
          <w:p w14:paraId="0E37296D" w14:textId="77777777" w:rsidR="00DA4FC3" w:rsidRDefault="00000000">
            <w:r>
              <w:rPr>
                <w:b/>
                <w:sz w:val="15"/>
              </w:rPr>
              <w:t>Brief details / comments</w:t>
            </w:r>
          </w:p>
        </w:tc>
      </w:tr>
      <w:tr w:rsidR="00DA4FC3" w14:paraId="3B4CE58F" w14:textId="77777777">
        <w:trPr>
          <w:jc w:val="center"/>
        </w:trPr>
        <w:tc>
          <w:tcPr>
            <w:tcW w:w="648" w:type="dxa"/>
          </w:tcPr>
          <w:p w14:paraId="3F212E15" w14:textId="77777777" w:rsidR="00DA4FC3" w:rsidRDefault="00000000">
            <w:r>
              <w:rPr>
                <w:sz w:val="14"/>
              </w:rPr>
              <w:t>1</w:t>
            </w:r>
          </w:p>
        </w:tc>
        <w:tc>
          <w:tcPr>
            <w:tcW w:w="2232" w:type="dxa"/>
          </w:tcPr>
          <w:p w14:paraId="76F1A73B" w14:textId="77777777" w:rsidR="00DA4FC3" w:rsidRDefault="00000000">
            <w:r>
              <w:rPr>
                <w:sz w:val="14"/>
              </w:rPr>
              <w:t>Title</w:t>
            </w:r>
          </w:p>
        </w:tc>
        <w:tc>
          <w:tcPr>
            <w:tcW w:w="1007" w:type="dxa"/>
          </w:tcPr>
          <w:p w14:paraId="2FA966D7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10DB08DF" w14:textId="77777777" w:rsidR="00DA4FC3" w:rsidRDefault="00000000">
            <w:r>
              <w:rPr>
                <w:sz w:val="14"/>
              </w:rPr>
              <w:t>Title; Abstract</w:t>
            </w:r>
          </w:p>
        </w:tc>
        <w:tc>
          <w:tcPr>
            <w:tcW w:w="8640" w:type="dxa"/>
          </w:tcPr>
          <w:p w14:paraId="3DF0006B" w14:textId="77777777" w:rsidR="00DA4FC3" w:rsidRDefault="00000000">
            <w:r>
              <w:rPr>
                <w:sz w:val="14"/>
              </w:rPr>
              <w:t>Study identified as serial CT-based prediction/risk-stratification analysis for IAC among baseline nonsolid pulmonary nodules.</w:t>
            </w:r>
          </w:p>
        </w:tc>
      </w:tr>
      <w:tr w:rsidR="00DA4FC3" w14:paraId="042E71C3" w14:textId="77777777">
        <w:trPr>
          <w:jc w:val="center"/>
        </w:trPr>
        <w:tc>
          <w:tcPr>
            <w:tcW w:w="648" w:type="dxa"/>
          </w:tcPr>
          <w:p w14:paraId="100F6CE1" w14:textId="77777777" w:rsidR="00DA4FC3" w:rsidRDefault="00000000">
            <w:r>
              <w:rPr>
                <w:sz w:val="14"/>
              </w:rPr>
              <w:t>2</w:t>
            </w:r>
          </w:p>
        </w:tc>
        <w:tc>
          <w:tcPr>
            <w:tcW w:w="2232" w:type="dxa"/>
          </w:tcPr>
          <w:p w14:paraId="3AD0A39E" w14:textId="77777777" w:rsidR="00DA4FC3" w:rsidRDefault="00000000">
            <w:r>
              <w:rPr>
                <w:sz w:val="14"/>
              </w:rPr>
              <w:t>Abstract</w:t>
            </w:r>
          </w:p>
        </w:tc>
        <w:tc>
          <w:tcPr>
            <w:tcW w:w="1007" w:type="dxa"/>
          </w:tcPr>
          <w:p w14:paraId="7121C0DB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36F0974E" w14:textId="77777777" w:rsidR="00DA4FC3" w:rsidRDefault="00000000">
            <w:r>
              <w:rPr>
                <w:sz w:val="14"/>
              </w:rPr>
              <w:t>Abstract</w:t>
            </w:r>
          </w:p>
        </w:tc>
        <w:tc>
          <w:tcPr>
            <w:tcW w:w="8640" w:type="dxa"/>
          </w:tcPr>
          <w:p w14:paraId="46E96E04" w14:textId="77777777" w:rsidR="00DA4FC3" w:rsidRDefault="00000000">
            <w:r>
              <w:rPr>
                <w:sz w:val="14"/>
              </w:rPr>
              <w:t>Structured BMC-style abstract reports background, methods, cohort size, outcomes, validation, and key performance.</w:t>
            </w:r>
          </w:p>
        </w:tc>
      </w:tr>
      <w:tr w:rsidR="00DA4FC3" w14:paraId="1608121A" w14:textId="77777777">
        <w:trPr>
          <w:jc w:val="center"/>
        </w:trPr>
        <w:tc>
          <w:tcPr>
            <w:tcW w:w="648" w:type="dxa"/>
          </w:tcPr>
          <w:p w14:paraId="04CF054F" w14:textId="77777777" w:rsidR="00DA4FC3" w:rsidRDefault="00000000">
            <w:r>
              <w:rPr>
                <w:sz w:val="14"/>
              </w:rPr>
              <w:t>3</w:t>
            </w:r>
          </w:p>
        </w:tc>
        <w:tc>
          <w:tcPr>
            <w:tcW w:w="2232" w:type="dxa"/>
          </w:tcPr>
          <w:p w14:paraId="150B5569" w14:textId="77777777" w:rsidR="00DA4FC3" w:rsidRDefault="00000000">
            <w:r>
              <w:rPr>
                <w:sz w:val="14"/>
              </w:rPr>
              <w:t>Background/objectives</w:t>
            </w:r>
          </w:p>
        </w:tc>
        <w:tc>
          <w:tcPr>
            <w:tcW w:w="1007" w:type="dxa"/>
          </w:tcPr>
          <w:p w14:paraId="6ED848FA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7A74829F" w14:textId="77777777" w:rsidR="00DA4FC3" w:rsidRDefault="00000000">
            <w:r>
              <w:rPr>
                <w:sz w:val="14"/>
              </w:rPr>
              <w:t>Background</w:t>
            </w:r>
          </w:p>
        </w:tc>
        <w:tc>
          <w:tcPr>
            <w:tcW w:w="8640" w:type="dxa"/>
          </w:tcPr>
          <w:p w14:paraId="62C40BDD" w14:textId="77777777" w:rsidR="00DA4FC3" w:rsidRDefault="00000000">
            <w:r>
              <w:rPr>
                <w:sz w:val="14"/>
              </w:rPr>
              <w:t>Rationale and objective of noninvasive serial CT risk stratification are stated.</w:t>
            </w:r>
          </w:p>
        </w:tc>
      </w:tr>
      <w:tr w:rsidR="00DA4FC3" w14:paraId="443261FA" w14:textId="77777777">
        <w:trPr>
          <w:jc w:val="center"/>
        </w:trPr>
        <w:tc>
          <w:tcPr>
            <w:tcW w:w="648" w:type="dxa"/>
          </w:tcPr>
          <w:p w14:paraId="4EAB29BD" w14:textId="77777777" w:rsidR="00DA4FC3" w:rsidRDefault="00000000">
            <w:r>
              <w:rPr>
                <w:sz w:val="14"/>
              </w:rPr>
              <w:t>4</w:t>
            </w:r>
          </w:p>
        </w:tc>
        <w:tc>
          <w:tcPr>
            <w:tcW w:w="2232" w:type="dxa"/>
          </w:tcPr>
          <w:p w14:paraId="176D1DA4" w14:textId="77777777" w:rsidR="00DA4FC3" w:rsidRDefault="00000000">
            <w:r>
              <w:rPr>
                <w:sz w:val="14"/>
              </w:rPr>
              <w:t>Study design/data source</w:t>
            </w:r>
          </w:p>
        </w:tc>
        <w:tc>
          <w:tcPr>
            <w:tcW w:w="1007" w:type="dxa"/>
          </w:tcPr>
          <w:p w14:paraId="5016D838" w14:textId="77777777" w:rsidR="00DA4FC3" w:rsidRDefault="00000000">
            <w:r>
              <w:rPr>
                <w:sz w:val="14"/>
              </w:rPr>
              <w:t>Partial</w:t>
            </w:r>
          </w:p>
        </w:tc>
        <w:tc>
          <w:tcPr>
            <w:tcW w:w="2592" w:type="dxa"/>
          </w:tcPr>
          <w:p w14:paraId="1771CCAA" w14:textId="77777777" w:rsidR="00DA4FC3" w:rsidRDefault="00000000">
            <w:r>
              <w:rPr>
                <w:sz w:val="14"/>
              </w:rPr>
              <w:t>Methods</w:t>
            </w:r>
          </w:p>
        </w:tc>
        <w:tc>
          <w:tcPr>
            <w:tcW w:w="8640" w:type="dxa"/>
          </w:tcPr>
          <w:p w14:paraId="03C553F4" w14:textId="77777777" w:rsidR="00DA4FC3" w:rsidRDefault="00000000">
            <w:r>
              <w:rPr>
                <w:sz w:val="14"/>
              </w:rPr>
              <w:t>Retrospective single-center surgical cohort described; add study period if journal requests.</w:t>
            </w:r>
          </w:p>
        </w:tc>
      </w:tr>
      <w:tr w:rsidR="00DA4FC3" w14:paraId="327A4B55" w14:textId="77777777">
        <w:trPr>
          <w:jc w:val="center"/>
        </w:trPr>
        <w:tc>
          <w:tcPr>
            <w:tcW w:w="648" w:type="dxa"/>
          </w:tcPr>
          <w:p w14:paraId="5BE57F59" w14:textId="77777777" w:rsidR="00DA4FC3" w:rsidRDefault="00000000">
            <w:r>
              <w:rPr>
                <w:sz w:val="14"/>
              </w:rPr>
              <w:t>5</w:t>
            </w:r>
          </w:p>
        </w:tc>
        <w:tc>
          <w:tcPr>
            <w:tcW w:w="2232" w:type="dxa"/>
          </w:tcPr>
          <w:p w14:paraId="0E5356C5" w14:textId="77777777" w:rsidR="00DA4FC3" w:rsidRDefault="00000000">
            <w:r>
              <w:rPr>
                <w:sz w:val="14"/>
              </w:rPr>
              <w:t>Eligibility criteria</w:t>
            </w:r>
          </w:p>
        </w:tc>
        <w:tc>
          <w:tcPr>
            <w:tcW w:w="1007" w:type="dxa"/>
          </w:tcPr>
          <w:p w14:paraId="2E348A73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30B0312C" w14:textId="77777777" w:rsidR="00DA4FC3" w:rsidRDefault="00000000">
            <w:r>
              <w:rPr>
                <w:sz w:val="14"/>
              </w:rPr>
              <w:t>Methods</w:t>
            </w:r>
          </w:p>
        </w:tc>
        <w:tc>
          <w:tcPr>
            <w:tcW w:w="8640" w:type="dxa"/>
          </w:tcPr>
          <w:p w14:paraId="725B4531" w14:textId="77777777" w:rsidR="00DA4FC3" w:rsidRDefault="00000000">
            <w:r>
              <w:rPr>
                <w:sz w:val="14"/>
              </w:rPr>
              <w:t>Inclusion/exclusion criteria and exclusion of baseline solid nodules are described.</w:t>
            </w:r>
          </w:p>
        </w:tc>
      </w:tr>
      <w:tr w:rsidR="00DA4FC3" w14:paraId="4CEA1F16" w14:textId="77777777">
        <w:trPr>
          <w:jc w:val="center"/>
        </w:trPr>
        <w:tc>
          <w:tcPr>
            <w:tcW w:w="648" w:type="dxa"/>
          </w:tcPr>
          <w:p w14:paraId="18A8D053" w14:textId="77777777" w:rsidR="00DA4FC3" w:rsidRDefault="00000000">
            <w:r>
              <w:rPr>
                <w:sz w:val="14"/>
              </w:rPr>
              <w:t>6</w:t>
            </w:r>
          </w:p>
        </w:tc>
        <w:tc>
          <w:tcPr>
            <w:tcW w:w="2232" w:type="dxa"/>
          </w:tcPr>
          <w:p w14:paraId="1F4CCED4" w14:textId="77777777" w:rsidR="00DA4FC3" w:rsidRDefault="00000000">
            <w:r>
              <w:rPr>
                <w:sz w:val="14"/>
              </w:rPr>
              <w:t>Participants/analysis unit</w:t>
            </w:r>
          </w:p>
        </w:tc>
        <w:tc>
          <w:tcPr>
            <w:tcW w:w="1007" w:type="dxa"/>
          </w:tcPr>
          <w:p w14:paraId="60A76A37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11A29999" w14:textId="77777777" w:rsidR="00DA4FC3" w:rsidRDefault="00000000">
            <w:r>
              <w:rPr>
                <w:sz w:val="14"/>
              </w:rPr>
              <w:t>Methods; Results</w:t>
            </w:r>
          </w:p>
        </w:tc>
        <w:tc>
          <w:tcPr>
            <w:tcW w:w="8640" w:type="dxa"/>
          </w:tcPr>
          <w:p w14:paraId="25EB3F5A" w14:textId="77777777" w:rsidR="00DA4FC3" w:rsidRDefault="00000000">
            <w:r>
              <w:rPr>
                <w:sz w:val="14"/>
              </w:rPr>
              <w:t>One lesion per patient; final cohort 354 baseline nonsolid nodules: 147 AAH/AIS, 116 MIA, 91 IAC.</w:t>
            </w:r>
          </w:p>
        </w:tc>
      </w:tr>
      <w:tr w:rsidR="00DA4FC3" w14:paraId="5602001A" w14:textId="77777777">
        <w:trPr>
          <w:jc w:val="center"/>
        </w:trPr>
        <w:tc>
          <w:tcPr>
            <w:tcW w:w="648" w:type="dxa"/>
          </w:tcPr>
          <w:p w14:paraId="4CB75C18" w14:textId="77777777" w:rsidR="00DA4FC3" w:rsidRDefault="00000000">
            <w:r>
              <w:rPr>
                <w:sz w:val="14"/>
              </w:rPr>
              <w:t>7</w:t>
            </w:r>
          </w:p>
        </w:tc>
        <w:tc>
          <w:tcPr>
            <w:tcW w:w="2232" w:type="dxa"/>
          </w:tcPr>
          <w:p w14:paraId="3154DB0A" w14:textId="77777777" w:rsidR="00DA4FC3" w:rsidRDefault="00000000">
            <w:r>
              <w:rPr>
                <w:sz w:val="14"/>
              </w:rPr>
              <w:t>Outcome definition</w:t>
            </w:r>
          </w:p>
        </w:tc>
        <w:tc>
          <w:tcPr>
            <w:tcW w:w="1007" w:type="dxa"/>
          </w:tcPr>
          <w:p w14:paraId="1F63CBB4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528A6D4A" w14:textId="77777777" w:rsidR="00DA4FC3" w:rsidRDefault="00000000">
            <w:r>
              <w:rPr>
                <w:sz w:val="14"/>
              </w:rPr>
              <w:t>Methods</w:t>
            </w:r>
          </w:p>
        </w:tc>
        <w:tc>
          <w:tcPr>
            <w:tcW w:w="8640" w:type="dxa"/>
          </w:tcPr>
          <w:p w14:paraId="238F92DD" w14:textId="77777777" w:rsidR="00DA4FC3" w:rsidRDefault="00000000">
            <w:r>
              <w:rPr>
                <w:sz w:val="14"/>
              </w:rPr>
              <w:t>Primary outcome was IAC vs AAH/AIS plus MIA based on surgical pathology; MIA vs IAC model was secondary.</w:t>
            </w:r>
          </w:p>
        </w:tc>
      </w:tr>
      <w:tr w:rsidR="00DA4FC3" w14:paraId="417842F6" w14:textId="77777777">
        <w:trPr>
          <w:jc w:val="center"/>
        </w:trPr>
        <w:tc>
          <w:tcPr>
            <w:tcW w:w="648" w:type="dxa"/>
          </w:tcPr>
          <w:p w14:paraId="25CABACA" w14:textId="77777777" w:rsidR="00DA4FC3" w:rsidRDefault="00000000">
            <w:r>
              <w:rPr>
                <w:sz w:val="14"/>
              </w:rPr>
              <w:t>8</w:t>
            </w:r>
          </w:p>
        </w:tc>
        <w:tc>
          <w:tcPr>
            <w:tcW w:w="2232" w:type="dxa"/>
          </w:tcPr>
          <w:p w14:paraId="6D6CACF3" w14:textId="77777777" w:rsidR="00DA4FC3" w:rsidRDefault="00000000">
            <w:r>
              <w:rPr>
                <w:sz w:val="14"/>
              </w:rPr>
              <w:t>Candidate predictors</w:t>
            </w:r>
          </w:p>
        </w:tc>
        <w:tc>
          <w:tcPr>
            <w:tcW w:w="1007" w:type="dxa"/>
          </w:tcPr>
          <w:p w14:paraId="7D33D0BF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47DC33EF" w14:textId="77777777" w:rsidR="00DA4FC3" w:rsidRDefault="00000000">
            <w:r>
              <w:rPr>
                <w:sz w:val="14"/>
              </w:rPr>
              <w:t>CT evaluation; Dynamic metrics</w:t>
            </w:r>
          </w:p>
        </w:tc>
        <w:tc>
          <w:tcPr>
            <w:tcW w:w="8640" w:type="dxa"/>
          </w:tcPr>
          <w:p w14:paraId="65C13E19" w14:textId="77777777" w:rsidR="00DA4FC3" w:rsidRDefault="00000000">
            <w:r>
              <w:rPr>
                <w:sz w:val="14"/>
              </w:rPr>
              <w:t>Baseline and dynamic CT predictors, units, scaling, and transformations are defined.</w:t>
            </w:r>
          </w:p>
        </w:tc>
      </w:tr>
      <w:tr w:rsidR="00DA4FC3" w14:paraId="0C46D797" w14:textId="77777777">
        <w:trPr>
          <w:jc w:val="center"/>
        </w:trPr>
        <w:tc>
          <w:tcPr>
            <w:tcW w:w="648" w:type="dxa"/>
          </w:tcPr>
          <w:p w14:paraId="3DADB733" w14:textId="77777777" w:rsidR="00DA4FC3" w:rsidRDefault="00000000">
            <w:r>
              <w:rPr>
                <w:sz w:val="14"/>
              </w:rPr>
              <w:t>9</w:t>
            </w:r>
          </w:p>
        </w:tc>
        <w:tc>
          <w:tcPr>
            <w:tcW w:w="2232" w:type="dxa"/>
          </w:tcPr>
          <w:p w14:paraId="4C5A0594" w14:textId="77777777" w:rsidR="00DA4FC3" w:rsidRDefault="00000000">
            <w:r>
              <w:rPr>
                <w:sz w:val="14"/>
              </w:rPr>
              <w:t>Predictor measurement</w:t>
            </w:r>
          </w:p>
        </w:tc>
        <w:tc>
          <w:tcPr>
            <w:tcW w:w="1007" w:type="dxa"/>
          </w:tcPr>
          <w:p w14:paraId="3494E7BE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4F8B29DB" w14:textId="77777777" w:rsidR="00DA4FC3" w:rsidRDefault="00000000">
            <w:r>
              <w:rPr>
                <w:sz w:val="14"/>
              </w:rPr>
              <w:t>CT evaluation; Online Resource 2</w:t>
            </w:r>
          </w:p>
        </w:tc>
        <w:tc>
          <w:tcPr>
            <w:tcW w:w="8640" w:type="dxa"/>
          </w:tcPr>
          <w:p w14:paraId="28D19B7D" w14:textId="77777777" w:rsidR="00DA4FC3" w:rsidRDefault="00000000">
            <w:r>
              <w:rPr>
                <w:sz w:val="14"/>
              </w:rPr>
              <w:t>Semiautomated CT measurements and interobserver reproducibility assessment are reported.</w:t>
            </w:r>
          </w:p>
        </w:tc>
      </w:tr>
      <w:tr w:rsidR="00DA4FC3" w14:paraId="4CC07877" w14:textId="77777777">
        <w:trPr>
          <w:jc w:val="center"/>
        </w:trPr>
        <w:tc>
          <w:tcPr>
            <w:tcW w:w="648" w:type="dxa"/>
          </w:tcPr>
          <w:p w14:paraId="14C972C8" w14:textId="77777777" w:rsidR="00DA4FC3" w:rsidRDefault="00000000">
            <w:r>
              <w:rPr>
                <w:sz w:val="14"/>
              </w:rPr>
              <w:t>10</w:t>
            </w:r>
          </w:p>
        </w:tc>
        <w:tc>
          <w:tcPr>
            <w:tcW w:w="2232" w:type="dxa"/>
          </w:tcPr>
          <w:p w14:paraId="0F451B9B" w14:textId="77777777" w:rsidR="00DA4FC3" w:rsidRDefault="00000000">
            <w:r>
              <w:rPr>
                <w:sz w:val="14"/>
              </w:rPr>
              <w:t>Sample size/events</w:t>
            </w:r>
          </w:p>
        </w:tc>
        <w:tc>
          <w:tcPr>
            <w:tcW w:w="1007" w:type="dxa"/>
          </w:tcPr>
          <w:p w14:paraId="6940BE95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73DC3996" w14:textId="77777777" w:rsidR="00DA4FC3" w:rsidRDefault="00000000">
            <w:r>
              <w:rPr>
                <w:sz w:val="14"/>
              </w:rPr>
              <w:t>Results; Online Resource 3</w:t>
            </w:r>
          </w:p>
        </w:tc>
        <w:tc>
          <w:tcPr>
            <w:tcW w:w="8640" w:type="dxa"/>
          </w:tcPr>
          <w:p w14:paraId="629A1910" w14:textId="77777777" w:rsidR="00DA4FC3" w:rsidRDefault="00000000">
            <w:r>
              <w:rPr>
                <w:sz w:val="14"/>
              </w:rPr>
              <w:t>IAC events = 91; EPV = 22.75, 18.20, and 11.38 for baseline, dynamic, and combined models.</w:t>
            </w:r>
          </w:p>
        </w:tc>
      </w:tr>
      <w:tr w:rsidR="00DA4FC3" w14:paraId="4EE4C662" w14:textId="77777777">
        <w:trPr>
          <w:jc w:val="center"/>
        </w:trPr>
        <w:tc>
          <w:tcPr>
            <w:tcW w:w="648" w:type="dxa"/>
          </w:tcPr>
          <w:p w14:paraId="0EDA5E86" w14:textId="77777777" w:rsidR="00DA4FC3" w:rsidRDefault="00000000">
            <w:r>
              <w:rPr>
                <w:sz w:val="14"/>
              </w:rPr>
              <w:t>11</w:t>
            </w:r>
          </w:p>
        </w:tc>
        <w:tc>
          <w:tcPr>
            <w:tcW w:w="2232" w:type="dxa"/>
          </w:tcPr>
          <w:p w14:paraId="6A6906BB" w14:textId="77777777" w:rsidR="00DA4FC3" w:rsidRDefault="00000000">
            <w:r>
              <w:rPr>
                <w:sz w:val="14"/>
              </w:rPr>
              <w:t>Missing data</w:t>
            </w:r>
          </w:p>
        </w:tc>
        <w:tc>
          <w:tcPr>
            <w:tcW w:w="1007" w:type="dxa"/>
          </w:tcPr>
          <w:p w14:paraId="5A341BC8" w14:textId="77777777" w:rsidR="00DA4FC3" w:rsidRDefault="00000000">
            <w:r>
              <w:rPr>
                <w:sz w:val="14"/>
              </w:rPr>
              <w:t>Partial</w:t>
            </w:r>
          </w:p>
        </w:tc>
        <w:tc>
          <w:tcPr>
            <w:tcW w:w="2592" w:type="dxa"/>
          </w:tcPr>
          <w:p w14:paraId="1C1ABE6C" w14:textId="77777777" w:rsidR="00DA4FC3" w:rsidRDefault="00000000">
            <w:r>
              <w:rPr>
                <w:sz w:val="14"/>
              </w:rPr>
              <w:t>Methods; Statistical analysis</w:t>
            </w:r>
          </w:p>
        </w:tc>
        <w:tc>
          <w:tcPr>
            <w:tcW w:w="8640" w:type="dxa"/>
          </w:tcPr>
          <w:p w14:paraId="4907E4E3" w14:textId="77777777" w:rsidR="00DA4FC3" w:rsidRDefault="00000000">
            <w:r>
              <w:rPr>
                <w:sz w:val="14"/>
              </w:rPr>
              <w:t>Cases with substantial missing measurement data were excluded; model fitting used complete cases for included predictors.</w:t>
            </w:r>
          </w:p>
        </w:tc>
      </w:tr>
      <w:tr w:rsidR="00DA4FC3" w14:paraId="5546FB42" w14:textId="77777777">
        <w:trPr>
          <w:jc w:val="center"/>
        </w:trPr>
        <w:tc>
          <w:tcPr>
            <w:tcW w:w="648" w:type="dxa"/>
          </w:tcPr>
          <w:p w14:paraId="399B8959" w14:textId="77777777" w:rsidR="00DA4FC3" w:rsidRDefault="00000000">
            <w:r>
              <w:rPr>
                <w:sz w:val="14"/>
              </w:rPr>
              <w:t>12</w:t>
            </w:r>
          </w:p>
        </w:tc>
        <w:tc>
          <w:tcPr>
            <w:tcW w:w="2232" w:type="dxa"/>
          </w:tcPr>
          <w:p w14:paraId="1EF0FCD1" w14:textId="77777777" w:rsidR="00DA4FC3" w:rsidRDefault="00000000">
            <w:r>
              <w:rPr>
                <w:sz w:val="14"/>
              </w:rPr>
              <w:t>Modelling strategy</w:t>
            </w:r>
          </w:p>
        </w:tc>
        <w:tc>
          <w:tcPr>
            <w:tcW w:w="1007" w:type="dxa"/>
          </w:tcPr>
          <w:p w14:paraId="1E1F9D78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3DE8B945" w14:textId="77777777" w:rsidR="00DA4FC3" w:rsidRDefault="00000000">
            <w:r>
              <w:rPr>
                <w:sz w:val="14"/>
              </w:rPr>
              <w:t>Statistical analysis</w:t>
            </w:r>
          </w:p>
        </w:tc>
        <w:tc>
          <w:tcPr>
            <w:tcW w:w="8640" w:type="dxa"/>
          </w:tcPr>
          <w:p w14:paraId="24185A25" w14:textId="77777777" w:rsidR="00DA4FC3" w:rsidRDefault="00000000">
            <w:r>
              <w:rPr>
                <w:sz w:val="14"/>
              </w:rPr>
              <w:t>Binary logistic regression models were developed: baseline, dynamic, combined, and MIA-vs-IAC models.</w:t>
            </w:r>
          </w:p>
        </w:tc>
      </w:tr>
      <w:tr w:rsidR="00DA4FC3" w14:paraId="4752E871" w14:textId="77777777">
        <w:trPr>
          <w:jc w:val="center"/>
        </w:trPr>
        <w:tc>
          <w:tcPr>
            <w:tcW w:w="648" w:type="dxa"/>
          </w:tcPr>
          <w:p w14:paraId="1F21E733" w14:textId="77777777" w:rsidR="00DA4FC3" w:rsidRDefault="00000000">
            <w:r>
              <w:rPr>
                <w:sz w:val="14"/>
              </w:rPr>
              <w:t>13</w:t>
            </w:r>
          </w:p>
        </w:tc>
        <w:tc>
          <w:tcPr>
            <w:tcW w:w="2232" w:type="dxa"/>
          </w:tcPr>
          <w:p w14:paraId="72AF494B" w14:textId="77777777" w:rsidR="00DA4FC3" w:rsidRDefault="00000000">
            <w:r>
              <w:rPr>
                <w:sz w:val="14"/>
              </w:rPr>
              <w:t>Predictor coding/selection</w:t>
            </w:r>
          </w:p>
        </w:tc>
        <w:tc>
          <w:tcPr>
            <w:tcW w:w="1007" w:type="dxa"/>
          </w:tcPr>
          <w:p w14:paraId="499BC42C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77C1A49F" w14:textId="77777777" w:rsidR="00DA4FC3" w:rsidRDefault="00000000">
            <w:r>
              <w:rPr>
                <w:sz w:val="14"/>
              </w:rPr>
              <w:t>Statistical analysis; Table 3</w:t>
            </w:r>
          </w:p>
        </w:tc>
        <w:tc>
          <w:tcPr>
            <w:tcW w:w="8640" w:type="dxa"/>
          </w:tcPr>
          <w:p w14:paraId="5AD56364" w14:textId="77777777" w:rsidR="00DA4FC3" w:rsidRDefault="00000000">
            <w:r>
              <w:rPr>
                <w:sz w:val="14"/>
              </w:rPr>
              <w:t>Predictors were selected by clinical relevance; continuous predictors were scaled for interpretability.</w:t>
            </w:r>
          </w:p>
        </w:tc>
      </w:tr>
      <w:tr w:rsidR="00DA4FC3" w14:paraId="467439AB" w14:textId="77777777">
        <w:trPr>
          <w:jc w:val="center"/>
        </w:trPr>
        <w:tc>
          <w:tcPr>
            <w:tcW w:w="648" w:type="dxa"/>
          </w:tcPr>
          <w:p w14:paraId="52AC0D38" w14:textId="77777777" w:rsidR="00DA4FC3" w:rsidRDefault="00000000">
            <w:r>
              <w:rPr>
                <w:sz w:val="14"/>
              </w:rPr>
              <w:t>14</w:t>
            </w:r>
          </w:p>
        </w:tc>
        <w:tc>
          <w:tcPr>
            <w:tcW w:w="2232" w:type="dxa"/>
          </w:tcPr>
          <w:p w14:paraId="2D83F2D7" w14:textId="77777777" w:rsidR="00DA4FC3" w:rsidRDefault="00000000">
            <w:r>
              <w:rPr>
                <w:sz w:val="14"/>
              </w:rPr>
              <w:t>Model specification</w:t>
            </w:r>
          </w:p>
        </w:tc>
        <w:tc>
          <w:tcPr>
            <w:tcW w:w="1007" w:type="dxa"/>
          </w:tcPr>
          <w:p w14:paraId="3A07DF3F" w14:textId="77777777" w:rsidR="00DA4FC3" w:rsidRDefault="00000000">
            <w:r>
              <w:rPr>
                <w:sz w:val="14"/>
              </w:rPr>
              <w:t>Partial</w:t>
            </w:r>
          </w:p>
        </w:tc>
        <w:tc>
          <w:tcPr>
            <w:tcW w:w="2592" w:type="dxa"/>
          </w:tcPr>
          <w:p w14:paraId="5B0C561E" w14:textId="77777777" w:rsidR="00DA4FC3" w:rsidRDefault="00000000">
            <w:r>
              <w:rPr>
                <w:sz w:val="14"/>
              </w:rPr>
              <w:t>Table 3</w:t>
            </w:r>
          </w:p>
        </w:tc>
        <w:tc>
          <w:tcPr>
            <w:tcW w:w="8640" w:type="dxa"/>
          </w:tcPr>
          <w:p w14:paraId="03509BC3" w14:textId="77777777" w:rsidR="00DA4FC3" w:rsidRDefault="00000000">
            <w:r>
              <w:rPr>
                <w:sz w:val="14"/>
              </w:rPr>
              <w:t>Odds ratios and 95% CIs are provided; full risk calculator is not proposed because external validation is lacking.</w:t>
            </w:r>
          </w:p>
        </w:tc>
      </w:tr>
      <w:tr w:rsidR="00DA4FC3" w14:paraId="402BC630" w14:textId="77777777">
        <w:trPr>
          <w:jc w:val="center"/>
        </w:trPr>
        <w:tc>
          <w:tcPr>
            <w:tcW w:w="648" w:type="dxa"/>
          </w:tcPr>
          <w:p w14:paraId="73D526F1" w14:textId="77777777" w:rsidR="00DA4FC3" w:rsidRDefault="00000000">
            <w:r>
              <w:rPr>
                <w:sz w:val="14"/>
              </w:rPr>
              <w:t>15</w:t>
            </w:r>
          </w:p>
        </w:tc>
        <w:tc>
          <w:tcPr>
            <w:tcW w:w="2232" w:type="dxa"/>
          </w:tcPr>
          <w:p w14:paraId="5343E9E1" w14:textId="77777777" w:rsidR="00DA4FC3" w:rsidRDefault="00000000">
            <w:r>
              <w:rPr>
                <w:sz w:val="14"/>
              </w:rPr>
              <w:t>Internal validation</w:t>
            </w:r>
          </w:p>
        </w:tc>
        <w:tc>
          <w:tcPr>
            <w:tcW w:w="1007" w:type="dxa"/>
          </w:tcPr>
          <w:p w14:paraId="6F70402A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405A8CE2" w14:textId="77777777" w:rsidR="00DA4FC3" w:rsidRDefault="00000000">
            <w:r>
              <w:rPr>
                <w:sz w:val="14"/>
              </w:rPr>
              <w:t>Statistical analysis; Table 3</w:t>
            </w:r>
          </w:p>
        </w:tc>
        <w:tc>
          <w:tcPr>
            <w:tcW w:w="8640" w:type="dxa"/>
          </w:tcPr>
          <w:p w14:paraId="6CDB9D3B" w14:textId="77777777" w:rsidR="00DA4FC3" w:rsidRDefault="00000000">
            <w:r>
              <w:rPr>
                <w:sz w:val="14"/>
              </w:rPr>
              <w:t>Internal validation used 1000 bootstrap resamples for optimism-corrected performance metrics.</w:t>
            </w:r>
          </w:p>
        </w:tc>
      </w:tr>
      <w:tr w:rsidR="00DA4FC3" w14:paraId="087EF775" w14:textId="77777777">
        <w:trPr>
          <w:jc w:val="center"/>
        </w:trPr>
        <w:tc>
          <w:tcPr>
            <w:tcW w:w="648" w:type="dxa"/>
          </w:tcPr>
          <w:p w14:paraId="6A5EECB0" w14:textId="77777777" w:rsidR="00DA4FC3" w:rsidRDefault="00000000">
            <w:r>
              <w:rPr>
                <w:sz w:val="14"/>
              </w:rPr>
              <w:t>16</w:t>
            </w:r>
          </w:p>
        </w:tc>
        <w:tc>
          <w:tcPr>
            <w:tcW w:w="2232" w:type="dxa"/>
          </w:tcPr>
          <w:p w14:paraId="56AB0031" w14:textId="77777777" w:rsidR="00DA4FC3" w:rsidRDefault="00000000">
            <w:r>
              <w:rPr>
                <w:sz w:val="14"/>
              </w:rPr>
              <w:t>Performance measures</w:t>
            </w:r>
          </w:p>
        </w:tc>
        <w:tc>
          <w:tcPr>
            <w:tcW w:w="1007" w:type="dxa"/>
          </w:tcPr>
          <w:p w14:paraId="793332FC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3C37EFEC" w14:textId="77777777" w:rsidR="00DA4FC3" w:rsidRDefault="00000000">
            <w:r>
              <w:rPr>
                <w:sz w:val="14"/>
              </w:rPr>
              <w:t>Results; Table 3; Online Resource 4</w:t>
            </w:r>
          </w:p>
        </w:tc>
        <w:tc>
          <w:tcPr>
            <w:tcW w:w="8640" w:type="dxa"/>
          </w:tcPr>
          <w:p w14:paraId="48FC0CAC" w14:textId="77777777" w:rsidR="00DA4FC3" w:rsidRDefault="00000000">
            <w:r>
              <w:rPr>
                <w:sz w:val="14"/>
              </w:rPr>
              <w:t>AUC, sensitivity, specificity, Brier score, corrected AUC/Brier score, calibration slope, calibration curve, and DCA are reported.</w:t>
            </w:r>
          </w:p>
        </w:tc>
      </w:tr>
      <w:tr w:rsidR="00DA4FC3" w14:paraId="28175263" w14:textId="77777777">
        <w:trPr>
          <w:jc w:val="center"/>
        </w:trPr>
        <w:tc>
          <w:tcPr>
            <w:tcW w:w="648" w:type="dxa"/>
          </w:tcPr>
          <w:p w14:paraId="09E7F63C" w14:textId="77777777" w:rsidR="00DA4FC3" w:rsidRDefault="00000000">
            <w:r>
              <w:rPr>
                <w:sz w:val="14"/>
              </w:rPr>
              <w:t>17</w:t>
            </w:r>
          </w:p>
        </w:tc>
        <w:tc>
          <w:tcPr>
            <w:tcW w:w="2232" w:type="dxa"/>
          </w:tcPr>
          <w:p w14:paraId="22DE0E27" w14:textId="77777777" w:rsidR="00DA4FC3" w:rsidRDefault="00000000">
            <w:r>
              <w:rPr>
                <w:sz w:val="14"/>
              </w:rPr>
              <w:t>Clinical utility</w:t>
            </w:r>
          </w:p>
        </w:tc>
        <w:tc>
          <w:tcPr>
            <w:tcW w:w="1007" w:type="dxa"/>
          </w:tcPr>
          <w:p w14:paraId="3BD1A40B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748F0479" w14:textId="77777777" w:rsidR="00DA4FC3" w:rsidRDefault="00000000">
            <w:r>
              <w:rPr>
                <w:sz w:val="14"/>
              </w:rPr>
              <w:t>Discussion; Online Resource 4</w:t>
            </w:r>
          </w:p>
        </w:tc>
        <w:tc>
          <w:tcPr>
            <w:tcW w:w="8640" w:type="dxa"/>
          </w:tcPr>
          <w:p w14:paraId="2DAB84ED" w14:textId="77777777" w:rsidR="00DA4FC3" w:rsidRDefault="00000000">
            <w:r>
              <w:rPr>
                <w:sz w:val="14"/>
              </w:rPr>
              <w:t>Decision curve analysis is provided; intended use is complementary noninvasive preoperative risk stratification.</w:t>
            </w:r>
          </w:p>
        </w:tc>
      </w:tr>
      <w:tr w:rsidR="00DA4FC3" w14:paraId="19665D65" w14:textId="77777777">
        <w:trPr>
          <w:jc w:val="center"/>
        </w:trPr>
        <w:tc>
          <w:tcPr>
            <w:tcW w:w="648" w:type="dxa"/>
          </w:tcPr>
          <w:p w14:paraId="21C07516" w14:textId="77777777" w:rsidR="00DA4FC3" w:rsidRDefault="00000000">
            <w:r>
              <w:rPr>
                <w:sz w:val="14"/>
              </w:rPr>
              <w:t>18</w:t>
            </w:r>
          </w:p>
        </w:tc>
        <w:tc>
          <w:tcPr>
            <w:tcW w:w="2232" w:type="dxa"/>
          </w:tcPr>
          <w:p w14:paraId="6F588DA7" w14:textId="77777777" w:rsidR="00DA4FC3" w:rsidRDefault="00000000">
            <w:r>
              <w:rPr>
                <w:sz w:val="14"/>
              </w:rPr>
              <w:t>Participant characteristics</w:t>
            </w:r>
          </w:p>
        </w:tc>
        <w:tc>
          <w:tcPr>
            <w:tcW w:w="1007" w:type="dxa"/>
          </w:tcPr>
          <w:p w14:paraId="333F3681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1B1AD000" w14:textId="77777777" w:rsidR="00DA4FC3" w:rsidRDefault="00000000">
            <w:r>
              <w:rPr>
                <w:sz w:val="14"/>
              </w:rPr>
              <w:t>Results; Table 1</w:t>
            </w:r>
          </w:p>
        </w:tc>
        <w:tc>
          <w:tcPr>
            <w:tcW w:w="8640" w:type="dxa"/>
          </w:tcPr>
          <w:p w14:paraId="6EAA615F" w14:textId="77777777" w:rsidR="00DA4FC3" w:rsidRDefault="00000000">
            <w:r>
              <w:rPr>
                <w:sz w:val="14"/>
              </w:rPr>
              <w:t>Baseline clinical and CT characteristics by pathologic group are summarized.</w:t>
            </w:r>
          </w:p>
        </w:tc>
      </w:tr>
      <w:tr w:rsidR="00DA4FC3" w14:paraId="73D58D87" w14:textId="77777777">
        <w:trPr>
          <w:jc w:val="center"/>
        </w:trPr>
        <w:tc>
          <w:tcPr>
            <w:tcW w:w="648" w:type="dxa"/>
          </w:tcPr>
          <w:p w14:paraId="0719A41E" w14:textId="77777777" w:rsidR="00DA4FC3" w:rsidRDefault="00000000">
            <w:r>
              <w:rPr>
                <w:sz w:val="14"/>
              </w:rPr>
              <w:t>19</w:t>
            </w:r>
          </w:p>
        </w:tc>
        <w:tc>
          <w:tcPr>
            <w:tcW w:w="2232" w:type="dxa"/>
          </w:tcPr>
          <w:p w14:paraId="7DB9BDC1" w14:textId="77777777" w:rsidR="00DA4FC3" w:rsidRDefault="00000000">
            <w:r>
              <w:rPr>
                <w:sz w:val="14"/>
              </w:rPr>
              <w:t>Groupwise findings</w:t>
            </w:r>
          </w:p>
        </w:tc>
        <w:tc>
          <w:tcPr>
            <w:tcW w:w="1007" w:type="dxa"/>
          </w:tcPr>
          <w:p w14:paraId="59B1916B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0C249CE7" w14:textId="77777777" w:rsidR="00DA4FC3" w:rsidRDefault="00000000">
            <w:r>
              <w:rPr>
                <w:sz w:val="14"/>
              </w:rPr>
              <w:t>Results; Tables 1-2</w:t>
            </w:r>
          </w:p>
        </w:tc>
        <w:tc>
          <w:tcPr>
            <w:tcW w:w="8640" w:type="dxa"/>
          </w:tcPr>
          <w:p w14:paraId="73A3F406" w14:textId="77777777" w:rsidR="00DA4FC3" w:rsidRDefault="00000000">
            <w:r>
              <w:rPr>
                <w:sz w:val="14"/>
              </w:rPr>
              <w:t>Baseline and longitudinal CT differences across AAH/AIS, MIA, and IAC are reported.</w:t>
            </w:r>
          </w:p>
        </w:tc>
      </w:tr>
      <w:tr w:rsidR="00DA4FC3" w14:paraId="7975CC93" w14:textId="77777777">
        <w:trPr>
          <w:jc w:val="center"/>
        </w:trPr>
        <w:tc>
          <w:tcPr>
            <w:tcW w:w="648" w:type="dxa"/>
          </w:tcPr>
          <w:p w14:paraId="62A35DEA" w14:textId="77777777" w:rsidR="00DA4FC3" w:rsidRDefault="00000000">
            <w:r>
              <w:rPr>
                <w:sz w:val="14"/>
              </w:rPr>
              <w:t>20</w:t>
            </w:r>
          </w:p>
        </w:tc>
        <w:tc>
          <w:tcPr>
            <w:tcW w:w="2232" w:type="dxa"/>
          </w:tcPr>
          <w:p w14:paraId="3056CD2D" w14:textId="77777777" w:rsidR="00DA4FC3" w:rsidRDefault="00000000">
            <w:r>
              <w:rPr>
                <w:sz w:val="14"/>
              </w:rPr>
              <w:t>Model results</w:t>
            </w:r>
          </w:p>
        </w:tc>
        <w:tc>
          <w:tcPr>
            <w:tcW w:w="1007" w:type="dxa"/>
          </w:tcPr>
          <w:p w14:paraId="0D09F1CC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518DC64C" w14:textId="77777777" w:rsidR="00DA4FC3" w:rsidRDefault="00000000">
            <w:r>
              <w:rPr>
                <w:sz w:val="14"/>
              </w:rPr>
              <w:t>Results; Table 3</w:t>
            </w:r>
          </w:p>
        </w:tc>
        <w:tc>
          <w:tcPr>
            <w:tcW w:w="8640" w:type="dxa"/>
          </w:tcPr>
          <w:p w14:paraId="46FD2B60" w14:textId="77777777" w:rsidR="00DA4FC3" w:rsidRDefault="00000000">
            <w:r>
              <w:rPr>
                <w:sz w:val="14"/>
              </w:rPr>
              <w:t>Final predictors, ORs, CIs, P values, and performance are reported.</w:t>
            </w:r>
          </w:p>
        </w:tc>
      </w:tr>
      <w:tr w:rsidR="00DA4FC3" w14:paraId="268D8DEB" w14:textId="77777777">
        <w:trPr>
          <w:jc w:val="center"/>
        </w:trPr>
        <w:tc>
          <w:tcPr>
            <w:tcW w:w="648" w:type="dxa"/>
          </w:tcPr>
          <w:p w14:paraId="37362747" w14:textId="77777777" w:rsidR="00DA4FC3" w:rsidRDefault="00000000">
            <w:r>
              <w:rPr>
                <w:sz w:val="14"/>
              </w:rPr>
              <w:t>21</w:t>
            </w:r>
          </w:p>
        </w:tc>
        <w:tc>
          <w:tcPr>
            <w:tcW w:w="2232" w:type="dxa"/>
          </w:tcPr>
          <w:p w14:paraId="338D9CA5" w14:textId="77777777" w:rsidR="00DA4FC3" w:rsidRDefault="00000000">
            <w:r>
              <w:rPr>
                <w:sz w:val="14"/>
              </w:rPr>
              <w:t>Robustness/sensitivity</w:t>
            </w:r>
          </w:p>
        </w:tc>
        <w:tc>
          <w:tcPr>
            <w:tcW w:w="1007" w:type="dxa"/>
          </w:tcPr>
          <w:p w14:paraId="5ABF3537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74695F8F" w14:textId="77777777" w:rsidR="00DA4FC3" w:rsidRDefault="00000000">
            <w:r>
              <w:rPr>
                <w:sz w:val="14"/>
              </w:rPr>
              <w:t>Online Resource 3</w:t>
            </w:r>
          </w:p>
        </w:tc>
        <w:tc>
          <w:tcPr>
            <w:tcW w:w="8640" w:type="dxa"/>
          </w:tcPr>
          <w:p w14:paraId="0983F653" w14:textId="77777777" w:rsidR="00DA4FC3" w:rsidRDefault="00000000">
            <w:r>
              <w:rPr>
                <w:sz w:val="14"/>
              </w:rPr>
              <w:t>EPV, VIF, reduced-model checks, follow-up interval adjustment, VDT/MDT sensitivity, and CTR categorization sensitivity are reported.</w:t>
            </w:r>
          </w:p>
        </w:tc>
      </w:tr>
      <w:tr w:rsidR="00DA4FC3" w14:paraId="66E79A4C" w14:textId="77777777">
        <w:trPr>
          <w:jc w:val="center"/>
        </w:trPr>
        <w:tc>
          <w:tcPr>
            <w:tcW w:w="648" w:type="dxa"/>
          </w:tcPr>
          <w:p w14:paraId="1F8A39F4" w14:textId="77777777" w:rsidR="00DA4FC3" w:rsidRDefault="00000000">
            <w:r>
              <w:rPr>
                <w:sz w:val="14"/>
              </w:rPr>
              <w:t>22</w:t>
            </w:r>
          </w:p>
        </w:tc>
        <w:tc>
          <w:tcPr>
            <w:tcW w:w="2232" w:type="dxa"/>
          </w:tcPr>
          <w:p w14:paraId="14DE075B" w14:textId="77777777" w:rsidR="00DA4FC3" w:rsidRDefault="00000000">
            <w:r>
              <w:rPr>
                <w:sz w:val="14"/>
              </w:rPr>
              <w:t>AI-specific details</w:t>
            </w:r>
          </w:p>
        </w:tc>
        <w:tc>
          <w:tcPr>
            <w:tcW w:w="1007" w:type="dxa"/>
          </w:tcPr>
          <w:p w14:paraId="24CCED00" w14:textId="77777777" w:rsidR="00DA4FC3" w:rsidRDefault="00000000">
            <w:r>
              <w:rPr>
                <w:sz w:val="14"/>
              </w:rPr>
              <w:t>Not applicable</w:t>
            </w:r>
          </w:p>
        </w:tc>
        <w:tc>
          <w:tcPr>
            <w:tcW w:w="2592" w:type="dxa"/>
          </w:tcPr>
          <w:p w14:paraId="64ACE2A7" w14:textId="77777777" w:rsidR="00DA4FC3" w:rsidRDefault="00000000">
            <w:r>
              <w:rPr>
                <w:sz w:val="14"/>
              </w:rPr>
              <w:t>Statistical analysis</w:t>
            </w:r>
          </w:p>
        </w:tc>
        <w:tc>
          <w:tcPr>
            <w:tcW w:w="8640" w:type="dxa"/>
          </w:tcPr>
          <w:p w14:paraId="57800FB6" w14:textId="77777777" w:rsidR="00DA4FC3" w:rsidRDefault="00000000">
            <w:r>
              <w:rPr>
                <w:sz w:val="14"/>
              </w:rPr>
              <w:t>Models are conventional logistic regression; no black-box AI or deep-learning model was developed.</w:t>
            </w:r>
          </w:p>
        </w:tc>
      </w:tr>
      <w:tr w:rsidR="00DA4FC3" w14:paraId="13120150" w14:textId="77777777">
        <w:trPr>
          <w:jc w:val="center"/>
        </w:trPr>
        <w:tc>
          <w:tcPr>
            <w:tcW w:w="648" w:type="dxa"/>
          </w:tcPr>
          <w:p w14:paraId="5E174600" w14:textId="77777777" w:rsidR="00DA4FC3" w:rsidRDefault="00000000">
            <w:r>
              <w:rPr>
                <w:sz w:val="14"/>
              </w:rPr>
              <w:t>23</w:t>
            </w:r>
          </w:p>
        </w:tc>
        <w:tc>
          <w:tcPr>
            <w:tcW w:w="2232" w:type="dxa"/>
          </w:tcPr>
          <w:p w14:paraId="3DE55986" w14:textId="77777777" w:rsidR="00DA4FC3" w:rsidRDefault="00000000">
            <w:r>
              <w:rPr>
                <w:sz w:val="14"/>
              </w:rPr>
              <w:t>Harms/bias/applicability</w:t>
            </w:r>
          </w:p>
        </w:tc>
        <w:tc>
          <w:tcPr>
            <w:tcW w:w="1007" w:type="dxa"/>
          </w:tcPr>
          <w:p w14:paraId="22A83642" w14:textId="77777777" w:rsidR="00DA4FC3" w:rsidRDefault="00000000">
            <w:r>
              <w:rPr>
                <w:sz w:val="14"/>
              </w:rPr>
              <w:t>Partial</w:t>
            </w:r>
          </w:p>
        </w:tc>
        <w:tc>
          <w:tcPr>
            <w:tcW w:w="2592" w:type="dxa"/>
          </w:tcPr>
          <w:p w14:paraId="2A364DE1" w14:textId="77777777" w:rsidR="00DA4FC3" w:rsidRDefault="00000000">
            <w:r>
              <w:rPr>
                <w:sz w:val="14"/>
              </w:rPr>
              <w:t>Discussion; Limitations</w:t>
            </w:r>
          </w:p>
        </w:tc>
        <w:tc>
          <w:tcPr>
            <w:tcW w:w="8640" w:type="dxa"/>
          </w:tcPr>
          <w:p w14:paraId="00568AA8" w14:textId="77777777" w:rsidR="00DA4FC3" w:rsidRDefault="00000000">
            <w:r>
              <w:rPr>
                <w:sz w:val="14"/>
              </w:rPr>
              <w:t>Selection bias, lack of external validation, and applicability to surgically selected baseline nonsolid nodules are discussed.</w:t>
            </w:r>
          </w:p>
        </w:tc>
      </w:tr>
      <w:tr w:rsidR="00DA4FC3" w14:paraId="36A94987" w14:textId="77777777">
        <w:trPr>
          <w:jc w:val="center"/>
        </w:trPr>
        <w:tc>
          <w:tcPr>
            <w:tcW w:w="648" w:type="dxa"/>
          </w:tcPr>
          <w:p w14:paraId="34C908F8" w14:textId="77777777" w:rsidR="00DA4FC3" w:rsidRDefault="00000000">
            <w:r>
              <w:rPr>
                <w:sz w:val="14"/>
              </w:rPr>
              <w:t>24</w:t>
            </w:r>
          </w:p>
        </w:tc>
        <w:tc>
          <w:tcPr>
            <w:tcW w:w="2232" w:type="dxa"/>
          </w:tcPr>
          <w:p w14:paraId="1F69EF10" w14:textId="77777777" w:rsidR="00DA4FC3" w:rsidRDefault="00000000">
            <w:r>
              <w:rPr>
                <w:sz w:val="14"/>
              </w:rPr>
              <w:t>Interpretation</w:t>
            </w:r>
          </w:p>
        </w:tc>
        <w:tc>
          <w:tcPr>
            <w:tcW w:w="1007" w:type="dxa"/>
          </w:tcPr>
          <w:p w14:paraId="3E05041E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617BBB6D" w14:textId="77777777" w:rsidR="00DA4FC3" w:rsidRDefault="00000000">
            <w:r>
              <w:rPr>
                <w:sz w:val="14"/>
              </w:rPr>
              <w:t>Discussion</w:t>
            </w:r>
          </w:p>
        </w:tc>
        <w:tc>
          <w:tcPr>
            <w:tcW w:w="8640" w:type="dxa"/>
          </w:tcPr>
          <w:p w14:paraId="62D23E34" w14:textId="77777777" w:rsidR="00DA4FC3" w:rsidRDefault="00000000">
            <w:r>
              <w:rPr>
                <w:sz w:val="14"/>
              </w:rPr>
              <w:t>Annualized mass growth and CTR change are interpreted as dynamic CT metrics associated with IAC.</w:t>
            </w:r>
          </w:p>
        </w:tc>
      </w:tr>
      <w:tr w:rsidR="00DA4FC3" w14:paraId="4687A3FD" w14:textId="77777777">
        <w:trPr>
          <w:jc w:val="center"/>
        </w:trPr>
        <w:tc>
          <w:tcPr>
            <w:tcW w:w="648" w:type="dxa"/>
          </w:tcPr>
          <w:p w14:paraId="17768475" w14:textId="77777777" w:rsidR="00DA4FC3" w:rsidRDefault="00000000">
            <w:r>
              <w:rPr>
                <w:sz w:val="14"/>
              </w:rPr>
              <w:t>25</w:t>
            </w:r>
          </w:p>
        </w:tc>
        <w:tc>
          <w:tcPr>
            <w:tcW w:w="2232" w:type="dxa"/>
          </w:tcPr>
          <w:p w14:paraId="38C429C3" w14:textId="77777777" w:rsidR="00DA4FC3" w:rsidRDefault="00000000">
            <w:r>
              <w:rPr>
                <w:sz w:val="14"/>
              </w:rPr>
              <w:t>Limitations/generalizability</w:t>
            </w:r>
          </w:p>
        </w:tc>
        <w:tc>
          <w:tcPr>
            <w:tcW w:w="1007" w:type="dxa"/>
          </w:tcPr>
          <w:p w14:paraId="5882EC97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31BB3306" w14:textId="77777777" w:rsidR="00DA4FC3" w:rsidRDefault="00000000">
            <w:r>
              <w:rPr>
                <w:sz w:val="14"/>
              </w:rPr>
              <w:t>Limitations</w:t>
            </w:r>
          </w:p>
        </w:tc>
        <w:tc>
          <w:tcPr>
            <w:tcW w:w="8640" w:type="dxa"/>
          </w:tcPr>
          <w:p w14:paraId="75A142AB" w14:textId="77777777" w:rsidR="00DA4FC3" w:rsidRDefault="00000000">
            <w:r>
              <w:rPr>
                <w:sz w:val="14"/>
              </w:rPr>
              <w:t>Retrospective single-center design, two CT time points, no external validation, and collinearity are acknowledged.</w:t>
            </w:r>
          </w:p>
        </w:tc>
      </w:tr>
      <w:tr w:rsidR="00DA4FC3" w14:paraId="13085E47" w14:textId="77777777">
        <w:trPr>
          <w:jc w:val="center"/>
        </w:trPr>
        <w:tc>
          <w:tcPr>
            <w:tcW w:w="648" w:type="dxa"/>
          </w:tcPr>
          <w:p w14:paraId="5CAB0324" w14:textId="77777777" w:rsidR="00DA4FC3" w:rsidRDefault="00000000">
            <w:r>
              <w:rPr>
                <w:sz w:val="14"/>
              </w:rPr>
              <w:t>26</w:t>
            </w:r>
          </w:p>
        </w:tc>
        <w:tc>
          <w:tcPr>
            <w:tcW w:w="2232" w:type="dxa"/>
          </w:tcPr>
          <w:p w14:paraId="27A45AF0" w14:textId="77777777" w:rsidR="00DA4FC3" w:rsidRDefault="00000000">
            <w:r>
              <w:rPr>
                <w:sz w:val="14"/>
              </w:rPr>
              <w:t>Transparency/data/code</w:t>
            </w:r>
          </w:p>
        </w:tc>
        <w:tc>
          <w:tcPr>
            <w:tcW w:w="1007" w:type="dxa"/>
          </w:tcPr>
          <w:p w14:paraId="67418160" w14:textId="77777777" w:rsidR="00DA4FC3" w:rsidRDefault="00000000">
            <w:r>
              <w:rPr>
                <w:sz w:val="14"/>
              </w:rPr>
              <w:t>Partial</w:t>
            </w:r>
          </w:p>
        </w:tc>
        <w:tc>
          <w:tcPr>
            <w:tcW w:w="2592" w:type="dxa"/>
          </w:tcPr>
          <w:p w14:paraId="570D380F" w14:textId="77777777" w:rsidR="00DA4FC3" w:rsidRDefault="00000000">
            <w:r>
              <w:rPr>
                <w:sz w:val="14"/>
              </w:rPr>
              <w:t>Declarations; Online resources</w:t>
            </w:r>
          </w:p>
        </w:tc>
        <w:tc>
          <w:tcPr>
            <w:tcW w:w="8640" w:type="dxa"/>
          </w:tcPr>
          <w:p w14:paraId="312C7EC7" w14:textId="77777777" w:rsidR="00DA4FC3" w:rsidRDefault="00000000">
            <w:r>
              <w:rPr>
                <w:sz w:val="14"/>
              </w:rPr>
              <w:t>Data availability statement and supplementary analyses are provided; code can be made available if requested.</w:t>
            </w:r>
          </w:p>
        </w:tc>
      </w:tr>
      <w:tr w:rsidR="00DA4FC3" w14:paraId="5F90E4A2" w14:textId="77777777">
        <w:trPr>
          <w:jc w:val="center"/>
        </w:trPr>
        <w:tc>
          <w:tcPr>
            <w:tcW w:w="648" w:type="dxa"/>
          </w:tcPr>
          <w:p w14:paraId="4315964B" w14:textId="77777777" w:rsidR="00DA4FC3" w:rsidRDefault="00000000">
            <w:r>
              <w:rPr>
                <w:sz w:val="14"/>
              </w:rPr>
              <w:t>27</w:t>
            </w:r>
          </w:p>
        </w:tc>
        <w:tc>
          <w:tcPr>
            <w:tcW w:w="2232" w:type="dxa"/>
          </w:tcPr>
          <w:p w14:paraId="2E33A68B" w14:textId="77777777" w:rsidR="00DA4FC3" w:rsidRDefault="00000000">
            <w:r>
              <w:rPr>
                <w:sz w:val="14"/>
              </w:rPr>
              <w:t>Ethics/funding/conflicts</w:t>
            </w:r>
          </w:p>
        </w:tc>
        <w:tc>
          <w:tcPr>
            <w:tcW w:w="1007" w:type="dxa"/>
          </w:tcPr>
          <w:p w14:paraId="0E890089" w14:textId="77777777" w:rsidR="00DA4FC3" w:rsidRDefault="00000000">
            <w:r>
              <w:rPr>
                <w:sz w:val="14"/>
              </w:rPr>
              <w:t>Yes</w:t>
            </w:r>
          </w:p>
        </w:tc>
        <w:tc>
          <w:tcPr>
            <w:tcW w:w="2592" w:type="dxa"/>
          </w:tcPr>
          <w:p w14:paraId="38E639AC" w14:textId="77777777" w:rsidR="00DA4FC3" w:rsidRDefault="00000000">
            <w:r>
              <w:rPr>
                <w:sz w:val="14"/>
              </w:rPr>
              <w:t>Methods; Declarations</w:t>
            </w:r>
          </w:p>
        </w:tc>
        <w:tc>
          <w:tcPr>
            <w:tcW w:w="8640" w:type="dxa"/>
          </w:tcPr>
          <w:p w14:paraId="733F5446" w14:textId="77777777" w:rsidR="00DA4FC3" w:rsidRDefault="00000000">
            <w:r>
              <w:rPr>
                <w:sz w:val="14"/>
              </w:rPr>
              <w:t>Ethics approval, consent waiver, funding, authorship contributions, and competing interests are reported.</w:t>
            </w:r>
          </w:p>
        </w:tc>
      </w:tr>
    </w:tbl>
    <w:p w14:paraId="54A00792" w14:textId="77777777" w:rsidR="00DA4FC3" w:rsidRDefault="00000000">
      <w:r>
        <w:t>References</w:t>
      </w:r>
    </w:p>
    <w:p w14:paraId="1A4F5B63" w14:textId="77777777" w:rsidR="00DA4FC3" w:rsidRDefault="00000000">
      <w:r>
        <w:t>Collins GS, Dhiman P, Andaur Navarro CL, et al. TRIPOD+AI statement: updated guidance for reporting clinical prediction models that use regression or machine learning methods. BMJ. 2024;</w:t>
      </w:r>
      <w:proofErr w:type="gramStart"/>
      <w:r>
        <w:t>385:e</w:t>
      </w:r>
      <w:proofErr w:type="gramEnd"/>
      <w:r>
        <w:t>078378.</w:t>
      </w:r>
    </w:p>
    <w:p w14:paraId="7171954A" w14:textId="77777777" w:rsidR="00DA4FC3" w:rsidRDefault="00000000">
      <w:r>
        <w:t>TRIPOD Statement. TRIPOD+AI resources and checklist. Available from the TRIPOD Statement website.</w:t>
      </w:r>
    </w:p>
    <w:sectPr w:rsidR="00DA4FC3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62E8" w14:textId="77777777" w:rsidR="002150FA" w:rsidRDefault="002150FA" w:rsidP="000E5A6E">
      <w:pPr>
        <w:spacing w:after="0" w:line="240" w:lineRule="auto"/>
      </w:pPr>
      <w:r>
        <w:separator/>
      </w:r>
    </w:p>
  </w:endnote>
  <w:endnote w:type="continuationSeparator" w:id="0">
    <w:p w14:paraId="4F782C46" w14:textId="77777777" w:rsidR="002150FA" w:rsidRDefault="002150FA" w:rsidP="000E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127A" w14:textId="77777777" w:rsidR="002150FA" w:rsidRDefault="002150FA" w:rsidP="000E5A6E">
      <w:pPr>
        <w:spacing w:after="0" w:line="240" w:lineRule="auto"/>
      </w:pPr>
      <w:r>
        <w:separator/>
      </w:r>
    </w:p>
  </w:footnote>
  <w:footnote w:type="continuationSeparator" w:id="0">
    <w:p w14:paraId="2EC34826" w14:textId="77777777" w:rsidR="002150FA" w:rsidRDefault="002150FA" w:rsidP="000E5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0936578">
    <w:abstractNumId w:val="8"/>
  </w:num>
  <w:num w:numId="2" w16cid:durableId="656954279">
    <w:abstractNumId w:val="6"/>
  </w:num>
  <w:num w:numId="3" w16cid:durableId="679545777">
    <w:abstractNumId w:val="5"/>
  </w:num>
  <w:num w:numId="4" w16cid:durableId="1705640714">
    <w:abstractNumId w:val="4"/>
  </w:num>
  <w:num w:numId="5" w16cid:durableId="1752658436">
    <w:abstractNumId w:val="7"/>
  </w:num>
  <w:num w:numId="6" w16cid:durableId="750547662">
    <w:abstractNumId w:val="3"/>
  </w:num>
  <w:num w:numId="7" w16cid:durableId="1656714498">
    <w:abstractNumId w:val="2"/>
  </w:num>
  <w:num w:numId="8" w16cid:durableId="851190841">
    <w:abstractNumId w:val="1"/>
  </w:num>
  <w:num w:numId="9" w16cid:durableId="19131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5A6E"/>
    <w:rsid w:val="0015074B"/>
    <w:rsid w:val="002150FA"/>
    <w:rsid w:val="0029639D"/>
    <w:rsid w:val="00326F90"/>
    <w:rsid w:val="00457BAF"/>
    <w:rsid w:val="008007CA"/>
    <w:rsid w:val="00AA1D8D"/>
    <w:rsid w:val="00B47730"/>
    <w:rsid w:val="00CB0664"/>
    <w:rsid w:val="00DA4F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A3E474"/>
  <w14:defaultImageDpi w14:val="300"/>
  <w15:docId w15:val="{735F2432-6501-4DCB-AA3E-AA09D66F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 吴</cp:lastModifiedBy>
  <cp:revision>3</cp:revision>
  <dcterms:created xsi:type="dcterms:W3CDTF">2013-12-23T23:15:00Z</dcterms:created>
  <dcterms:modified xsi:type="dcterms:W3CDTF">2026-06-28T11:29:00Z</dcterms:modified>
  <cp:category/>
</cp:coreProperties>
</file>