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FF1A" w14:textId="74953A19" w:rsidR="00556915" w:rsidRDefault="006F3DE9">
      <w:r w:rsidRPr="006F3DE9">
        <w:rPr>
          <w:rFonts w:ascii="Times New Roman" w:eastAsia="Times New Roman" w:hAnsi="Times New Roman"/>
          <w:b/>
          <w:sz w:val="20"/>
        </w:rPr>
        <w:t>Additional file</w:t>
      </w:r>
      <w:r w:rsidR="00000000">
        <w:rPr>
          <w:rFonts w:ascii="Times New Roman" w:eastAsia="Times New Roman" w:hAnsi="Times New Roman"/>
          <w:b/>
          <w:sz w:val="20"/>
        </w:rPr>
        <w:t xml:space="preserve"> 4. Calibration curve and decision curve analysis for the combined model</w:t>
      </w:r>
    </w:p>
    <w:p w14:paraId="1F375241" w14:textId="77777777" w:rsidR="00556915" w:rsidRDefault="00000000">
      <w:r>
        <w:rPr>
          <w:rFonts w:ascii="Times New Roman" w:eastAsia="Times New Roman" w:hAnsi="Times New Roman"/>
          <w:sz w:val="20"/>
        </w:rPr>
        <w:t>Analyses were recalculated in the baseline nonsolid cohort after excluding baseline solid nodules (N = 354; IAC events = 91).</w:t>
      </w:r>
    </w:p>
    <w:p w14:paraId="285B37DE" w14:textId="77777777" w:rsidR="00556915" w:rsidRDefault="00000000">
      <w:r>
        <w:rPr>
          <w:rFonts w:ascii="Times New Roman" w:eastAsia="Times New Roman" w:hAnsi="Times New Roman"/>
          <w:sz w:val="20"/>
        </w:rPr>
        <w:t>Figure S1. Calibration curve for the combined model.</w:t>
      </w:r>
    </w:p>
    <w:p w14:paraId="4E7B1896" w14:textId="77777777" w:rsidR="00556915" w:rsidRDefault="00000000">
      <w:r>
        <w:rPr>
          <w:rFonts w:ascii="Times New Roman" w:eastAsia="Times New Roman" w:hAnsi="Times New Roman"/>
          <w:noProof/>
          <w:sz w:val="20"/>
        </w:rPr>
        <w:drawing>
          <wp:inline distT="0" distB="0" distL="0" distR="0" wp14:anchorId="10AB5053" wp14:editId="173536DA">
            <wp:extent cx="5303520" cy="4221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line_Resource_4a_calibration_baseline_nonsoli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22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B23A2" w14:textId="77777777" w:rsidR="00556915" w:rsidRDefault="00000000">
      <w:r>
        <w:rPr>
          <w:rFonts w:ascii="Times New Roman" w:eastAsia="Times New Roman" w:hAnsi="Times New Roman"/>
          <w:sz w:val="20"/>
        </w:rPr>
        <w:br w:type="page"/>
      </w:r>
    </w:p>
    <w:p w14:paraId="2042E255" w14:textId="77777777" w:rsidR="00556915" w:rsidRDefault="00000000">
      <w:r>
        <w:rPr>
          <w:rFonts w:ascii="Times New Roman" w:eastAsia="Times New Roman" w:hAnsi="Times New Roman"/>
          <w:sz w:val="20"/>
        </w:rPr>
        <w:lastRenderedPageBreak/>
        <w:t>Figure S2. Decision curve analysis for the combined model.</w:t>
      </w:r>
    </w:p>
    <w:p w14:paraId="40F1A09C" w14:textId="77777777" w:rsidR="00556915" w:rsidRDefault="00000000">
      <w:r>
        <w:rPr>
          <w:rFonts w:ascii="Times New Roman" w:eastAsia="Times New Roman" w:hAnsi="Times New Roman"/>
          <w:noProof/>
          <w:sz w:val="20"/>
        </w:rPr>
        <w:drawing>
          <wp:inline distT="0" distB="0" distL="0" distR="0" wp14:anchorId="6F861399" wp14:editId="05AABC96">
            <wp:extent cx="5303520" cy="42102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line_Resource_4b_DCA_baseline_nonsoli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21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6915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5909173">
    <w:abstractNumId w:val="8"/>
  </w:num>
  <w:num w:numId="2" w16cid:durableId="723527140">
    <w:abstractNumId w:val="6"/>
  </w:num>
  <w:num w:numId="3" w16cid:durableId="1531526828">
    <w:abstractNumId w:val="5"/>
  </w:num>
  <w:num w:numId="4" w16cid:durableId="1901745956">
    <w:abstractNumId w:val="4"/>
  </w:num>
  <w:num w:numId="5" w16cid:durableId="76488253">
    <w:abstractNumId w:val="7"/>
  </w:num>
  <w:num w:numId="6" w16cid:durableId="602030294">
    <w:abstractNumId w:val="3"/>
  </w:num>
  <w:num w:numId="7" w16cid:durableId="296881407">
    <w:abstractNumId w:val="2"/>
  </w:num>
  <w:num w:numId="8" w16cid:durableId="1579443332">
    <w:abstractNumId w:val="1"/>
  </w:num>
  <w:num w:numId="9" w16cid:durableId="19812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6915"/>
    <w:rsid w:val="006F3DE9"/>
    <w:rsid w:val="008007C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19409C"/>
  <w14:defaultImageDpi w14:val="300"/>
  <w15:docId w15:val="{735F2432-6501-4DCB-AA3E-AA09D66F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yi 吴</cp:lastModifiedBy>
  <cp:revision>2</cp:revision>
  <dcterms:created xsi:type="dcterms:W3CDTF">2013-12-23T23:15:00Z</dcterms:created>
  <dcterms:modified xsi:type="dcterms:W3CDTF">2026-06-28T11:30:00Z</dcterms:modified>
  <cp:category/>
</cp:coreProperties>
</file>