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749"/>
        <w:gridCol w:w="1701"/>
        <w:gridCol w:w="1701"/>
        <w:gridCol w:w="895"/>
      </w:tblGrid>
      <w:tr w:rsidR="005A3990" w14:paraId="6042D4FB" w14:textId="77777777" w:rsidTr="00D6294B"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8057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Table 1</w:t>
            </w:r>
          </w:p>
          <w:p w14:paraId="1E027B59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characteristics</w:t>
            </w:r>
          </w:p>
        </w:tc>
      </w:tr>
      <w:tr w:rsidR="005A3990" w14:paraId="72086070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7E3E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014B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</w:t>
            </w:r>
          </w:p>
          <w:p w14:paraId="368F5BF6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 (100.00%)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AB4F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Bevacizumab</w:t>
            </w:r>
          </w:p>
          <w:p w14:paraId="6B03BF5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 (38.84%)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CEB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Ranibizumab</w:t>
            </w:r>
          </w:p>
          <w:p w14:paraId="2A9809F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 (61.16%)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2D3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5A3990" w14:paraId="2885C4D1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9C60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Sex</w:t>
            </w:r>
          </w:p>
          <w:p w14:paraId="3643FA19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  <w:p w14:paraId="68DE6826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563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4D6E37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58 (47.93%)</w:t>
            </w:r>
          </w:p>
          <w:p w14:paraId="5C8A1AB5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63 (52.07%)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6CB8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6A95F3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23 (48.94%)</w:t>
            </w:r>
          </w:p>
          <w:p w14:paraId="73077393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24 (51.06%)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C89B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C1EC67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35 (47.30%)</w:t>
            </w:r>
          </w:p>
          <w:p w14:paraId="1896FC45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39 (52.70%)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962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0.8604</w:t>
            </w:r>
          </w:p>
        </w:tc>
      </w:tr>
      <w:tr w:rsidR="005A3990" w14:paraId="71B311B1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4DA2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Birth weight (grams)</w:t>
            </w:r>
          </w:p>
          <w:p w14:paraId="549B132C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&lt;1000</w:t>
            </w:r>
          </w:p>
          <w:p w14:paraId="5C3B5839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1000-1500</w:t>
            </w:r>
          </w:p>
          <w:p w14:paraId="6BB4695B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&gt;1500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26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1,419.59 ± 440.10</w:t>
            </w:r>
          </w:p>
          <w:p w14:paraId="00414E2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22 (18.18%)</w:t>
            </w:r>
          </w:p>
          <w:p w14:paraId="6460DCE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51 (42.15%)</w:t>
            </w:r>
          </w:p>
          <w:p w14:paraId="73068DF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48 (39.67%)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B57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1,523.72 ± 478.33</w:t>
            </w:r>
          </w:p>
          <w:p w14:paraId="541C7E6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8 (17.02%)</w:t>
            </w:r>
          </w:p>
          <w:p w14:paraId="642A619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15 (31.91%)</w:t>
            </w:r>
          </w:p>
          <w:p w14:paraId="48EF3A85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24 (51.06%)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D78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1353.45 ± 403.48</w:t>
            </w:r>
          </w:p>
          <w:p w14:paraId="7AED66B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14 (18.92%)</w:t>
            </w:r>
          </w:p>
          <w:p w14:paraId="008AE41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36 (48.65%)</w:t>
            </w:r>
          </w:p>
          <w:p w14:paraId="6B5DC76F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24 (32.43%)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CF2F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F105A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0.7919</w:t>
            </w:r>
          </w:p>
          <w:p w14:paraId="5471DD3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0.0692</w:t>
            </w:r>
          </w:p>
          <w:p w14:paraId="2F412848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0.0412</w:t>
            </w:r>
          </w:p>
        </w:tc>
      </w:tr>
      <w:tr w:rsidR="005A3990" w14:paraId="4E386628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B4B3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Gestational age at birth (weeks)</w:t>
            </w:r>
          </w:p>
          <w:p w14:paraId="7EB32B8A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&lt;28</w:t>
            </w:r>
          </w:p>
          <w:p w14:paraId="3A9A385B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28-32</w:t>
            </w:r>
          </w:p>
          <w:p w14:paraId="4970D233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&gt;32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D1E3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30.32 ± 2.63</w:t>
            </w:r>
          </w:p>
          <w:p w14:paraId="204C9F66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20 (16.53%)</w:t>
            </w:r>
          </w:p>
          <w:p w14:paraId="368BCCCB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76 (62.81%)</w:t>
            </w:r>
          </w:p>
          <w:p w14:paraId="2C3C5F30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25 (20.66%)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8D4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30.76 ± 2.67</w:t>
            </w:r>
          </w:p>
          <w:p w14:paraId="1965AD26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7 (14.89%)</w:t>
            </w:r>
          </w:p>
          <w:p w14:paraId="6CB04D0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26 (55.32%)</w:t>
            </w:r>
          </w:p>
          <w:p w14:paraId="4288685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14 (29.79%)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17F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30.04 ± 2.58</w:t>
            </w:r>
          </w:p>
          <w:p w14:paraId="655B4AD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13 (17.57%)</w:t>
            </w:r>
          </w:p>
          <w:p w14:paraId="7A52450F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50 (67.57%)</w:t>
            </w:r>
          </w:p>
          <w:p w14:paraId="41304A6F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11 (14.86%)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531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13D61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0.6995</w:t>
            </w:r>
          </w:p>
          <w:p w14:paraId="1708462F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0.1742</w:t>
            </w:r>
          </w:p>
          <w:p w14:paraId="33794427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0.0482</w:t>
            </w:r>
          </w:p>
        </w:tc>
      </w:tr>
      <w:tr w:rsidR="005A3990" w14:paraId="152A836B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EC23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Postmenstrual age at diagnosis (weeks)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F23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34.30 ± 3.67</w:t>
            </w:r>
          </w:p>
          <w:p w14:paraId="1F376A0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131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34.68 ± 3.90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62A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34.05 ± 3.53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1EC0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0.1532</w:t>
            </w:r>
          </w:p>
        </w:tc>
      </w:tr>
      <w:tr w:rsidR="005A3990" w14:paraId="026FA4F3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748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 of healthcare provider</w:t>
            </w:r>
          </w:p>
          <w:p w14:paraId="7986EC9A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Contributory/Private</w:t>
            </w:r>
          </w:p>
          <w:p w14:paraId="482FB9AB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Subsidized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BA5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E3D16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59 (48.76%)</w:t>
            </w:r>
          </w:p>
          <w:p w14:paraId="01E46968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62 (51.24%)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753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19FFA0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20 (42.55%)</w:t>
            </w:r>
          </w:p>
          <w:p w14:paraId="09706788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27 (57.45%)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8E0B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961A55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39 (52.70%)</w:t>
            </w:r>
          </w:p>
          <w:p w14:paraId="5C7CFCA7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35 (47.30%)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8156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0.2763</w:t>
            </w:r>
          </w:p>
        </w:tc>
      </w:tr>
      <w:tr w:rsidR="005A3990" w14:paraId="0A1B08D1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B68D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Oxygen therapy during neonatal intensive care unit stay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028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120 (99.17%)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2A6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46 (92.87%)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01A6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74 (100.00%)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E863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0.2077</w:t>
            </w:r>
          </w:p>
        </w:tc>
      </w:tr>
      <w:tr w:rsidR="005A3990" w14:paraId="1B3EBE2B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EE27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Plus disease detected before anti-VEGF therapy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18C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25 (20.66%)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20A6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 (10.64%)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78A4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20 (27.03%)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FAA0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0.0300</w:t>
            </w:r>
          </w:p>
        </w:tc>
      </w:tr>
      <w:tr w:rsidR="005A3990" w14:paraId="2517E512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3CC7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Vitreous hemorrhage detected before anti-VEGF therapy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913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15 (12.40%)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76B3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4 (8.51%)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8AF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11 (14.86%)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183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0.3012</w:t>
            </w:r>
          </w:p>
        </w:tc>
      </w:tr>
      <w:tr w:rsidR="005A3990" w14:paraId="036D71F3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B224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NSAID prophylaxis</w:t>
            </w:r>
          </w:p>
          <w:p w14:paraId="5BADD74F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Ophthalmic ketorolac</w:t>
            </w:r>
          </w:p>
          <w:p w14:paraId="3729CF6F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Ophthalmic nepafenac</w:t>
            </w:r>
          </w:p>
          <w:p w14:paraId="5A07B814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No prophylaxis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C08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404FD6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8 (6.61%)</w:t>
            </w:r>
          </w:p>
          <w:p w14:paraId="7943BF8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61 (50.41%)</w:t>
            </w:r>
          </w:p>
          <w:p w14:paraId="371852F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52 (42.98%)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F0B3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5DF7D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 (6.38%)</w:t>
            </w:r>
          </w:p>
          <w:p w14:paraId="407B9DCB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35 (74.47%)</w:t>
            </w:r>
          </w:p>
          <w:p w14:paraId="6161575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9 (19.15%)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F308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5863D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 (6.76%)</w:t>
            </w:r>
          </w:p>
          <w:p w14:paraId="11FB9C68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26 (35.14%)</w:t>
            </w:r>
          </w:p>
          <w:p w14:paraId="7CABFF1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43 (58.11%)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45B4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30077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0.9357</w:t>
            </w:r>
          </w:p>
          <w:p w14:paraId="0A9A8067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  <w:p w14:paraId="643C96A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5A3990" w14:paraId="1DB31AE1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1780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Delay in the anti-VEGF therapy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4106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98 (80.99%)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4D8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34 (72.34%)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554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64 (86.49%)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A76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0.0532</w:t>
            </w:r>
          </w:p>
        </w:tc>
      </w:tr>
      <w:tr w:rsidR="005A3990" w14:paraId="68AF8511" w14:textId="77777777" w:rsidTr="00D6294B"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DD36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Duration of anti-VEGF therapy delay (days)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58A7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2.92 ± 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D834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2.72 ± 2.30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456B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3.04 ± 1.96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DD88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0.4462</w:t>
            </w:r>
          </w:p>
        </w:tc>
      </w:tr>
    </w:tbl>
    <w:p w14:paraId="3090D523" w14:textId="77777777" w:rsidR="005A3990" w:rsidRDefault="005A3990" w:rsidP="005A39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F4D7223" w14:textId="77777777" w:rsidR="005A3990" w:rsidRPr="00057655" w:rsidRDefault="005A3990" w:rsidP="005A3990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057655">
        <w:rPr>
          <w:b/>
          <w:bCs/>
        </w:rPr>
        <w:t>Footnotes</w:t>
      </w:r>
    </w:p>
    <w:p w14:paraId="19207B10" w14:textId="77777777" w:rsidR="005A3990" w:rsidRDefault="005A3990" w:rsidP="005A399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r>
        <w:t>Data are presented as the n (%) or mean ± standard deviation.</w:t>
      </w:r>
    </w:p>
    <w:p w14:paraId="0E1DE032" w14:textId="77777777" w:rsidR="005A3990" w:rsidRDefault="005A3990" w:rsidP="005A399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</w:pPr>
      <w:r>
        <w:t>The percentages may not total 100.00% because of rounding.</w:t>
      </w:r>
    </w:p>
    <w:p w14:paraId="2B2E874D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96419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51E5BB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6F7D3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E18AA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C528C0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90306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5DCA3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802"/>
        <w:gridCol w:w="1697"/>
        <w:gridCol w:w="939"/>
      </w:tblGrid>
      <w:tr w:rsidR="005A3990" w14:paraId="5430D5E8" w14:textId="77777777" w:rsidTr="00D6294B"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42C9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Table 2</w:t>
            </w:r>
          </w:p>
          <w:p w14:paraId="0EB5169A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Clinical and economic outcomes</w:t>
            </w:r>
          </w:p>
        </w:tc>
      </w:tr>
      <w:tr w:rsidR="005A3990" w14:paraId="23C63307" w14:textId="77777777" w:rsidTr="00D629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574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4A9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</w:t>
            </w:r>
          </w:p>
          <w:p w14:paraId="32F66365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 (100.00%)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E4E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Bevacizumab</w:t>
            </w:r>
          </w:p>
          <w:p w14:paraId="610DF34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 (38.84%)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81F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Ranibizumab</w:t>
            </w:r>
          </w:p>
          <w:p w14:paraId="58F625B7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 (61.16%)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CBD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5A3990" w14:paraId="11040F75" w14:textId="77777777" w:rsidTr="00D629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5C4D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Retreatment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B7C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39 (32.23%)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79C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 (6.38%)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805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36 (48.65%)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197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5A3990" w14:paraId="20FA675A" w14:textId="77777777" w:rsidTr="00D629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BFFD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 to retreatment after anti-VEGF therapy (days)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278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22.51 ± 20.58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242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27.33 ± 14.77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DC8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22.11 ± 3.42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2AD8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0.7169</w:t>
            </w:r>
          </w:p>
        </w:tc>
      </w:tr>
      <w:tr w:rsidR="005A3990" w14:paraId="317B8CA5" w14:textId="77777777" w:rsidTr="00D629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BB17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Delay in retreatment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418F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3.27 ± 1.87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13D7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 (6.38%)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19EA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30 (40.54%)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F4C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5A3990" w14:paraId="74A74ECE" w14:textId="77777777" w:rsidTr="00D629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6B95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Duration of retreatment delay (days)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2493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33 (27.27%)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CF2D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4.00 ± 1.00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DEE4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3.20 ± 1.94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C019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0.4830</w:t>
            </w:r>
          </w:p>
        </w:tc>
      </w:tr>
      <w:tr w:rsidR="005A3990" w14:paraId="69B8D9AE" w14:textId="77777777" w:rsidTr="00D629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18DD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Follow-up appointments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C30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5.79 ± 3.06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ECB4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5.21 ± 2.84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B272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6.16 ± 3.16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9F65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0.0566</w:t>
            </w:r>
          </w:p>
        </w:tc>
      </w:tr>
      <w:tr w:rsidR="005A3990" w14:paraId="4E0C9294" w14:textId="77777777" w:rsidTr="00D629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C8F1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ROP-associated costs (USD)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B280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2,302.85 ± 790.16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902B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14025543"/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1,706.10 ± 375.64</w:t>
            </w:r>
            <w:bookmarkEnd w:id="0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C040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214025558"/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2,681.88 ± 750.01</w:t>
            </w:r>
            <w:bookmarkEnd w:id="1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3031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5A3990" w14:paraId="154D3238" w14:textId="77777777" w:rsidTr="00D6294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1C3E" w14:textId="77777777" w:rsidR="005A3990" w:rsidRPr="00C23BFD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QALYs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669E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0.39 ± 0.06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8B0D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0.39 ± 0.05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286C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0.38 ± 0.07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81A4" w14:textId="77777777" w:rsidR="005A3990" w:rsidRPr="00C23BFD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3BFD">
              <w:rPr>
                <w:rFonts w:ascii="Times New Roman" w:hAnsi="Times New Roman" w:cs="Times New Roman"/>
                <w:sz w:val="18"/>
                <w:szCs w:val="18"/>
              </w:rPr>
              <w:t>0.1828</w:t>
            </w:r>
          </w:p>
        </w:tc>
      </w:tr>
    </w:tbl>
    <w:p w14:paraId="4D8C4651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725F34" w14:textId="77777777" w:rsidR="005A3990" w:rsidRPr="00301E5E" w:rsidRDefault="005A3990" w:rsidP="005A39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E5E">
        <w:rPr>
          <w:rFonts w:ascii="Times New Roman" w:hAnsi="Times New Roman" w:cs="Times New Roman"/>
          <w:b/>
          <w:bCs/>
          <w:sz w:val="24"/>
          <w:szCs w:val="24"/>
        </w:rPr>
        <w:t>Footnotes</w:t>
      </w:r>
    </w:p>
    <w:p w14:paraId="53BB1632" w14:textId="77777777" w:rsidR="005A3990" w:rsidRPr="00301E5E" w:rsidRDefault="005A3990" w:rsidP="005A399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1E5E">
        <w:rPr>
          <w:rFonts w:ascii="Times New Roman" w:hAnsi="Times New Roman" w:cs="Times New Roman"/>
          <w:sz w:val="24"/>
          <w:szCs w:val="24"/>
        </w:rPr>
        <w:t>ROP: retinopathy of prematurity; QALY: quality-adjusted life-year; USD: United States dollar.</w:t>
      </w:r>
    </w:p>
    <w:p w14:paraId="4B4F60DE" w14:textId="77777777" w:rsidR="005A3990" w:rsidRDefault="005A3990" w:rsidP="005A399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1E5E">
        <w:rPr>
          <w:rFonts w:ascii="Times New Roman" w:hAnsi="Times New Roman" w:cs="Times New Roman"/>
          <w:sz w:val="24"/>
          <w:szCs w:val="24"/>
        </w:rPr>
        <w:t>Data are presented as the n (%) or mean ± standard deviation.</w:t>
      </w:r>
    </w:p>
    <w:p w14:paraId="3F440349" w14:textId="77777777" w:rsidR="005A3990" w:rsidRPr="00301E5E" w:rsidRDefault="005A3990" w:rsidP="005A399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1E5E">
        <w:rPr>
          <w:rFonts w:ascii="Times New Roman" w:hAnsi="Times New Roman" w:cs="Times New Roman"/>
          <w:sz w:val="24"/>
          <w:szCs w:val="24"/>
        </w:rPr>
        <w:t>Costs are reported in United States dollars (USD) for January 7, 2026.</w:t>
      </w:r>
    </w:p>
    <w:p w14:paraId="2F3ECACE" w14:textId="77777777" w:rsidR="005A3990" w:rsidRPr="00301E5E" w:rsidRDefault="005A3990" w:rsidP="005A399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1E5E">
        <w:rPr>
          <w:rFonts w:ascii="Times New Roman" w:hAnsi="Times New Roman" w:cs="Times New Roman"/>
          <w:sz w:val="24"/>
          <w:szCs w:val="24"/>
        </w:rPr>
        <w:t>Cost and QALYs were estimated over the 60-week postmenstrual-age horizon.</w:t>
      </w:r>
    </w:p>
    <w:p w14:paraId="16F71F06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DE905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1355E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B914BE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D7C57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7DBBE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5BC19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DEE24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259380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9866B8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A99D27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EA1C2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9058FB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2764B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09"/>
        <w:gridCol w:w="1543"/>
        <w:gridCol w:w="1045"/>
        <w:gridCol w:w="975"/>
        <w:gridCol w:w="1128"/>
        <w:gridCol w:w="1190"/>
        <w:gridCol w:w="1338"/>
      </w:tblGrid>
      <w:tr w:rsidR="005A3990" w14:paraId="5B427A62" w14:textId="77777777" w:rsidTr="00D6294B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DE4E" w14:textId="77777777" w:rsidR="005A3990" w:rsidRPr="00602921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Table 3</w:t>
            </w:r>
          </w:p>
          <w:p w14:paraId="1F0D45FB" w14:textId="77777777" w:rsidR="005A3990" w:rsidRPr="00602921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Deterministic and probabilistic estimates for cost-effectiveness evaluation.</w:t>
            </w:r>
          </w:p>
        </w:tc>
      </w:tr>
      <w:tr w:rsidR="005A3990" w14:paraId="3738B997" w14:textId="77777777" w:rsidTr="00D6294B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F764" w14:textId="77777777" w:rsidR="005A3990" w:rsidRPr="00602921" w:rsidRDefault="005A3990" w:rsidP="00D62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7F7C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Deterministic estimates</w:t>
            </w:r>
          </w:p>
        </w:tc>
        <w:tc>
          <w:tcPr>
            <w:tcW w:w="24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8ED1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Probabilistic estimates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A870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Relative change from deterministic to probabilistic forecast (%)</w:t>
            </w:r>
          </w:p>
        </w:tc>
      </w:tr>
      <w:tr w:rsidR="005A3990" w14:paraId="4210300F" w14:textId="77777777" w:rsidTr="00D6294B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94B9" w14:textId="77777777" w:rsidR="005A3990" w:rsidRPr="00602921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3FE4" w14:textId="77777777" w:rsidR="005A3990" w:rsidRPr="00602921" w:rsidRDefault="005A3990" w:rsidP="00D629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00FF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± SD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F127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600D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A85D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Standard error relative to mean (absolute value, %)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E93A" w14:textId="77777777" w:rsidR="005A3990" w:rsidRPr="00602921" w:rsidRDefault="005A3990" w:rsidP="00D629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A3990" w14:paraId="25428FD7" w14:textId="77777777" w:rsidTr="00D6294B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8F10" w14:textId="77777777" w:rsidR="005A3990" w:rsidRPr="00602921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ICER (USD per QALY)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0399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-95,578.00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D38F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214025611"/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-1,938.66 ± 307.12</w:t>
            </w:r>
            <w:bookmarkEnd w:id="2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F0A9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-1,939.70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69D3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-2,536.09 to -1,341.73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82BF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15.85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8A9E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+97.97</w:t>
            </w:r>
          </w:p>
        </w:tc>
      </w:tr>
      <w:tr w:rsidR="005A3990" w14:paraId="11F91E11" w14:textId="77777777" w:rsidTr="00D6294B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E6AD" w14:textId="77777777" w:rsidR="005A3990" w:rsidRPr="00602921" w:rsidRDefault="005A3990" w:rsidP="00D629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NMB (USD per infant)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3DD6" w14:textId="77777777" w:rsidR="005A3990" w:rsidRPr="00602921" w:rsidRDefault="005A3990" w:rsidP="00D629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</w:pPr>
            <w:r w:rsidRPr="00602921">
              <w:rPr>
                <w:rFonts w:ascii="Times New Roman" w:eastAsia="Times New Roman" w:hAnsi="Times New Roman" w:cs="Times New Roman"/>
                <w:sz w:val="18"/>
                <w:szCs w:val="18"/>
                <w:lang w:eastAsia="es-CO"/>
              </w:rPr>
              <w:t>1,027.59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FD0E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214025638"/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1,022.93 ± 3.00</w:t>
            </w:r>
            <w:bookmarkEnd w:id="3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D269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1,022.94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D531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1,017.10 to 1,028.81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AAD8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E5A0" w14:textId="77777777" w:rsidR="005A3990" w:rsidRPr="00602921" w:rsidRDefault="005A3990" w:rsidP="00D62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921">
              <w:rPr>
                <w:rFonts w:ascii="Times New Roman" w:hAnsi="Times New Roman" w:cs="Times New Roman"/>
                <w:sz w:val="18"/>
                <w:szCs w:val="18"/>
              </w:rPr>
              <w:t>-0.45</w:t>
            </w:r>
          </w:p>
        </w:tc>
      </w:tr>
    </w:tbl>
    <w:p w14:paraId="1D033E3B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771EEC" w14:textId="77777777" w:rsidR="005A3990" w:rsidRPr="00967952" w:rsidRDefault="005A3990" w:rsidP="005A39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7952">
        <w:rPr>
          <w:rFonts w:ascii="Times New Roman" w:hAnsi="Times New Roman" w:cs="Times New Roman"/>
          <w:b/>
          <w:bCs/>
          <w:sz w:val="24"/>
          <w:szCs w:val="24"/>
        </w:rPr>
        <w:t>Footnotes</w:t>
      </w:r>
    </w:p>
    <w:p w14:paraId="14EA1423" w14:textId="77777777" w:rsidR="005A3990" w:rsidRPr="00967952" w:rsidRDefault="005A3990" w:rsidP="005A399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7952">
        <w:rPr>
          <w:rFonts w:ascii="Times New Roman" w:hAnsi="Times New Roman" w:cs="Times New Roman"/>
          <w:sz w:val="24"/>
          <w:szCs w:val="24"/>
        </w:rPr>
        <w:t>CI: confidence interval; ICER: incremental cost-effectiveness ratio; NMB: net monetary benefit; QALY: quality-adjusted life-year; SD: standard deviation; USD: United States dollar.</w:t>
      </w:r>
    </w:p>
    <w:p w14:paraId="7313325E" w14:textId="77777777" w:rsidR="005A3990" w:rsidRPr="00967952" w:rsidRDefault="005A3990" w:rsidP="005A399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Probabilistic estimates show values derived from the probabilistic sensitivity analyses that included denominator filtering, winsorization, and </w:t>
      </w:r>
      <w:r>
        <w:rPr>
          <w:rFonts w:ascii="Times New Roman" w:eastAsia="Calibri" w:hAnsi="Times New Roman" w:cs="Times New Roman"/>
          <w:sz w:val="24"/>
          <w:szCs w:val="24"/>
        </w:rPr>
        <w:t>nonparametric</w:t>
      </w:r>
      <w:r>
        <w:rPr>
          <w:rFonts w:ascii="Times New Roman" w:hAnsi="Times New Roman" w:cs="Times New Roman"/>
          <w:sz w:val="24"/>
          <w:szCs w:val="24"/>
        </w:rPr>
        <w:t xml:space="preserve"> bootstrapping.</w:t>
      </w:r>
    </w:p>
    <w:p w14:paraId="42802E12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42DFF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57816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ACC5C6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C1857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AEB286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038E40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7529B4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DD35A" w14:textId="77777777" w:rsidR="005A3990" w:rsidRDefault="005A3990" w:rsidP="005A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2124A" w14:textId="77777777" w:rsidR="005A3990" w:rsidRDefault="005A3990" w:rsidP="005A39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s-CO"/>
        </w:rPr>
        <w:sectPr w:rsidR="005A3990" w:rsidSect="005A3990">
          <w:footerReference w:type="default" r:id="rId5"/>
          <w:pgSz w:w="12240" w:h="15840"/>
          <w:pgMar w:top="1417" w:right="1701" w:bottom="1417" w:left="1701" w:header="709" w:footer="709" w:gutter="0"/>
          <w:lnNumType w:countBy="1" w:restart="continuous"/>
          <w:cols w:space="720"/>
          <w:docGrid w:linePitch="299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"/>
        <w:gridCol w:w="846"/>
        <w:gridCol w:w="879"/>
        <w:gridCol w:w="1127"/>
        <w:gridCol w:w="917"/>
        <w:gridCol w:w="605"/>
        <w:gridCol w:w="630"/>
        <w:gridCol w:w="1026"/>
        <w:gridCol w:w="1018"/>
        <w:gridCol w:w="715"/>
        <w:gridCol w:w="1026"/>
        <w:gridCol w:w="1018"/>
        <w:gridCol w:w="630"/>
        <w:gridCol w:w="793"/>
        <w:gridCol w:w="793"/>
      </w:tblGrid>
      <w:tr w:rsidR="005A3990" w14:paraId="5EAA5627" w14:textId="77777777" w:rsidTr="00D6294B">
        <w:tc>
          <w:tcPr>
            <w:tcW w:w="0" w:type="auto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47E9F" w14:textId="77777777" w:rsidR="005A3990" w:rsidRDefault="005A3990" w:rsidP="00D6294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lastRenderedPageBreak/>
              <w:t>Table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br/>
              <w:t>Subgroup analyses</w:t>
            </w:r>
          </w:p>
        </w:tc>
      </w:tr>
      <w:tr w:rsidR="005A3990" w14:paraId="3528DC37" w14:textId="77777777" w:rsidTr="00D629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7FF71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Category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F73C1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Subgroup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8ADE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Proportion</w:t>
            </w:r>
          </w:p>
          <w:p w14:paraId="0155057D" w14:textId="77777777" w:rsidR="005A3990" w:rsidRPr="0035733F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 w:rsidRPr="0035733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  <w:t>121 (100.00%)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03C37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Retreatment</w:t>
            </w:r>
          </w:p>
        </w:tc>
        <w:tc>
          <w:tcPr>
            <w:tcW w:w="2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2DF7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ROP-associated costs (USD)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413E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QALYs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455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Probabilistic cost-effectiveness metrics</w:t>
            </w:r>
          </w:p>
        </w:tc>
      </w:tr>
      <w:tr w:rsidR="005A3990" w14:paraId="35DC4C8E" w14:textId="77777777" w:rsidTr="00D629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4EEC3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8A54E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A5B8E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7359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Ranibizumab</w:t>
            </w:r>
          </w:p>
          <w:p w14:paraId="347FEE59" w14:textId="77777777" w:rsidR="005A3990" w:rsidRPr="00A9154F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  <w:t>36/74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95E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Bevacizumab</w:t>
            </w:r>
          </w:p>
          <w:p w14:paraId="116EF3B9" w14:textId="77777777" w:rsidR="005A3990" w:rsidRPr="00A9154F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 w:rsidRPr="00A9154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3/47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8BF2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RR (95% CI)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9DE7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2"/>
                <w:szCs w:val="12"/>
                <w:lang w:eastAsia="es-CO"/>
              </w:rPr>
              <w:t>p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81D8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Ranibizumab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2650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Bevacizumab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B2107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2"/>
                <w:szCs w:val="12"/>
                <w:lang w:eastAsia="es-CO"/>
              </w:rPr>
              <w:t>p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ECEB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Ranibizumab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C9BF7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Bevacizumab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844F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2"/>
                <w:szCs w:val="12"/>
                <w:lang w:eastAsia="es-CO"/>
              </w:rPr>
              <w:t>p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BC48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ICER (USD per QALY)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2DD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NMB (USD per infant)</w:t>
            </w:r>
          </w:p>
        </w:tc>
      </w:tr>
      <w:tr w:rsidR="005A3990" w14:paraId="4CA1DF40" w14:textId="77777777" w:rsidTr="00D629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1B22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Gestational age at birth (weeks)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DA3A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&lt;28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CB4D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20 (16.53%)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3185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6 (30.00%)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9E57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 (0.00%)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F2AF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0.54 (0.33-0.89)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80B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0.0317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A07E1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2,654.07 ± 753.67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D384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1,608.29 ± 60.30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5BBA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0.0004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D2C7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0.45 ± 0.07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0BF68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0.47 ± 0.02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BC64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0.2613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1A4C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-4,130.40 ± 330.25 (95% CI: -4,789.24 to -3,485.26)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B0EC1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1,142.85 ± 2.68 (95% CI: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1,137.57 to 1,148.08)</w:t>
            </w:r>
          </w:p>
        </w:tc>
      </w:tr>
      <w:tr w:rsidR="005A3990" w14:paraId="52DB6B75" w14:textId="77777777" w:rsidTr="00D629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E6B9E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396A4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28 - 32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6F05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76 (62.81%)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FF10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26 (34.21%)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AFA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 (7.69%)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1A1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6.76 (1.74-26.28)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A146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0.0001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C664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2,729.19 ± 760.62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0BC0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1,723.96 ± 404.20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A9554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&lt;0.0001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F707F" w14:textId="77777777" w:rsidR="005A3990" w:rsidRDefault="005A3990" w:rsidP="00D6294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0.38 ± 0.06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BAA7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0.40 ± 0.04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67B3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0.0362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259A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-4,299.63 ± 362.61 (95% CI: -5,023.02 to -3,607.45)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73A7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1,103.86 ± 2.98 (95% CI: 1,098.08 to 1,109.70)</w:t>
            </w:r>
          </w:p>
        </w:tc>
      </w:tr>
      <w:tr w:rsidR="005A3990" w14:paraId="62CCDC1F" w14:textId="77777777" w:rsidTr="00D629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63B20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7096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&gt;32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F7E0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25 (20.66%)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3417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4 (16.00%)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43BE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 (4.00%)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B623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5.09 (0.66-39.31)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49D0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0.0698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8A128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2,499.68 ± 735.62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5B4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1,721.82 ± 421.15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A04F8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0.0001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D64D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0.35 ± 0.04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1DE7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0.36 ± 0.01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0B068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0.5128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C6791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-4,857.78 ± 482.04 (95% CI: -5,800.78 to -3,915.01)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DDAB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824.40 ± 2.77 (95% CI: 819.00 to 829.81)</w:t>
            </w:r>
          </w:p>
        </w:tc>
      </w:tr>
      <w:tr w:rsidR="005A3990" w14:paraId="48C8D892" w14:textId="77777777" w:rsidTr="00D629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5873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Birth weight (grams)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085A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&lt;1,000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2F34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22 (18.18%)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C1F2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8 (36.36%)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3C74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 (0.00%)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1AE5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0.43 (0.23-0.78)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F40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0.0074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FE2D7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2,811.57 ± 776.73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447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1,604.39 ± 66.92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4AA7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0.0002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BB9D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0.42 ± 0.07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66D6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0.46 ± 0.03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04757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0.0601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D812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-8,548.23 ± 320.68 (95% CI: -9,174.33 to -7,907.19)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EB32" w14:textId="77777777" w:rsidR="005A3990" w:rsidRDefault="005A3990" w:rsidP="00D6294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1,408.80 ± 2.79 (95% CI: 1,403.36 to 1,414.33)</w:t>
            </w:r>
          </w:p>
        </w:tc>
      </w:tr>
      <w:tr w:rsidR="005A3990" w14:paraId="797FC7C1" w14:textId="77777777" w:rsidTr="00D629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9392C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288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1,000 – 1,500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75B5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51 (42.15%)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85306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21 (41.18%)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60A64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 (3.92%)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3F7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4.38 (1.17-16.37)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DD3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0.0033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99D68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2,826.26 ± 743.67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7B3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1,796.59 ± 525.86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CD8E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&lt;0.0001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A1EE4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0.38 ± 0.07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FC5C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0.40 ± 0.05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4336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0.1363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589E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-4,140.09 ± 310.63 (95% CI: -4,762.92 to -3,526.98)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9452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1,130.40 ± 3.20 (95% CI: 1,124.22 to 1,136.71)</w:t>
            </w:r>
          </w:p>
        </w:tc>
      </w:tr>
      <w:tr w:rsidR="005A3990" w14:paraId="375734FE" w14:textId="77777777" w:rsidTr="00D629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F3358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1971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&gt;1,500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E9C01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48 (39.67%)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3D137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7 (14.58%)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E18A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 (2.08%)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57BB1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7.00 (0.93-52.63)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6FCC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0.0201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C696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2,389.64 ± 686.14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5ACE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1,683.44 ± 321.01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E5A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&lt;0.0001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109B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0.38 ± 0.05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D614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0.37 ± 0.03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8DCE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0.8443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00934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1,747.36 ± 336.67 (95% CI: 1,087.94 to 2,412.70)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DC91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649.87 ± 2.60 (95% CI: 644.82 to 655.00)</w:t>
            </w:r>
          </w:p>
        </w:tc>
      </w:tr>
      <w:tr w:rsidR="005A3990" w14:paraId="7E49B26D" w14:textId="77777777" w:rsidTr="00D629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98C75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  <w:t>Early-stage NSAID prophylaxis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54BD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No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B907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52 (42.98%)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2B7E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31 (72.09%)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6882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 (3.58%)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28C46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3.24 (0.94-11.17)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C2B2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0.0047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13DB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3,012.13 ± 699.34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912D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1,894.37 ± 693.58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54E0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&lt;0.0001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0112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0.36 ± 0.06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FDDF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0.40 ± 0.06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40974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0.1069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B791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-5,378.65 ± 316.46 (95% CI: -5,993.98 to -4,753.86)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21C6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1,326.41 ± 3.42 (95% CI: 1,319.54 to 1,333.00)</w:t>
            </w:r>
          </w:p>
        </w:tc>
      </w:tr>
      <w:tr w:rsidR="005A3990" w14:paraId="635D0752" w14:textId="77777777" w:rsidTr="00D629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EF336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542F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Ketorolac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6202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8 (6.61%)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C0A4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 (25.00%)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4042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 (12.50%)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0911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1.20 (0.17-8.24)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A9398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0.8504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CF43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2,617.67 ± 793.95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13B6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2,148.88 ± 844.06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056A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0.2330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8162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0.41 ± 0.07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6FB28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0.34 ± 0.05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E2CB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0.1436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518D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162.71 ± 189.62 (95% CI: -207.96 to 528.81)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756E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-363.61 ± 3.83 (95% CI: -371.04 to -356.15)</w:t>
            </w:r>
          </w:p>
        </w:tc>
      </w:tr>
      <w:tr w:rsidR="005A3990" w14:paraId="7300C584" w14:textId="77777777" w:rsidTr="00D629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ED24C" w14:textId="77777777" w:rsidR="005A3990" w:rsidRDefault="005A3990" w:rsidP="00D6294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s-CO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66A9A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CO"/>
              </w:rPr>
              <w:t>Nepafenac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46A3E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61 (50.41%)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CA44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3 (4.92%)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9315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 (0.00%)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5401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0.88 (0.77-1.02)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91D7B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0.0393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CD113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2,148.04 ± 485.00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D9422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1,619.73 ± 38.06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81BD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&lt;0.0001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2200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0.42 ± 0.06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33B09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0.40 ± 0.04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845C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0.2171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EB12F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2,011.86 ± 192.35 (95% CI: 1,639.11 to 2,393.43)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04A58" w14:textId="77777777" w:rsidR="005A3990" w:rsidRDefault="005A3990" w:rsidP="00D6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es-CO"/>
              </w:rPr>
              <w:t>421.85 ± 1.91 (95% CI: 418.08 to 425.60)</w:t>
            </w:r>
          </w:p>
        </w:tc>
      </w:tr>
    </w:tbl>
    <w:p w14:paraId="7FA657F4" w14:textId="77777777" w:rsidR="005A3990" w:rsidRDefault="005A3990" w:rsidP="005A399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892759" w14:textId="77777777" w:rsidR="005A3990" w:rsidRPr="00A9154F" w:rsidRDefault="005A3990" w:rsidP="005A399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154F">
        <w:rPr>
          <w:rFonts w:ascii="Times New Roman" w:hAnsi="Times New Roman" w:cs="Times New Roman"/>
          <w:b/>
          <w:bCs/>
          <w:sz w:val="20"/>
          <w:szCs w:val="20"/>
        </w:rPr>
        <w:lastRenderedPageBreak/>
        <w:t>Footnotes</w:t>
      </w:r>
    </w:p>
    <w:p w14:paraId="47B756FA" w14:textId="77777777" w:rsidR="005A3990" w:rsidRPr="008C30C3" w:rsidRDefault="005A3990" w:rsidP="005A399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30C3">
        <w:rPr>
          <w:rFonts w:ascii="Times New Roman" w:hAnsi="Times New Roman" w:cs="Times New Roman"/>
          <w:sz w:val="20"/>
          <w:szCs w:val="20"/>
        </w:rPr>
        <w:t>CI: confidence interval; ICER: incremental cost-effectiveness ratio; NMB: net monetary benefit; NSAID: nonsteroidal anti-inflammatory drug; QALY: quality-adjusted life year; ROP: retinopathy of prematurity; RR: relative risk; USD: United States dollar.</w:t>
      </w:r>
    </w:p>
    <w:p w14:paraId="5F907FE6" w14:textId="77777777" w:rsidR="005A3990" w:rsidRPr="008C30C3" w:rsidRDefault="005A3990" w:rsidP="005A399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Retreatment values are presented as the number and percentage of infants who progressed. The percentage indicates the proportion of infants in each subgroup (%).</w:t>
      </w:r>
    </w:p>
    <w:p w14:paraId="4587748B" w14:textId="77777777" w:rsidR="005A3990" w:rsidRPr="008C30C3" w:rsidRDefault="005A3990" w:rsidP="005A399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30C3">
        <w:rPr>
          <w:rFonts w:ascii="Times New Roman" w:hAnsi="Times New Roman" w:cs="Times New Roman"/>
          <w:sz w:val="20"/>
          <w:szCs w:val="20"/>
        </w:rPr>
        <w:t>The percentages within subgroup categories may not total 100.00% because of rounding.</w:t>
      </w:r>
    </w:p>
    <w:p w14:paraId="788ED81A" w14:textId="77777777" w:rsidR="005A3990" w:rsidRPr="008C30C3" w:rsidRDefault="005A3990" w:rsidP="005A399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  <w:sectPr w:rsidR="005A3990" w:rsidRPr="008C30C3" w:rsidSect="005A3990">
          <w:pgSz w:w="15840" w:h="12240" w:orient="landscape"/>
          <w:pgMar w:top="1701" w:right="1418" w:bottom="1701" w:left="1418" w:header="709" w:footer="709" w:gutter="0"/>
          <w:cols w:space="720"/>
        </w:sectPr>
      </w:pPr>
      <w:r>
        <w:rPr>
          <w:rFonts w:ascii="Times New Roman" w:hAnsi="Times New Roman" w:cs="Times New Roman"/>
          <w:sz w:val="20"/>
          <w:szCs w:val="20"/>
        </w:rPr>
        <w:t xml:space="preserve">For infants with a gestational age of less than 32 weeks and those with a birth weight of less than 1,000 grams, the RR is shown for </w:t>
      </w:r>
      <w:r>
        <w:rPr>
          <w:rFonts w:ascii="Times New Roman" w:eastAsia="Calibri" w:hAnsi="Times New Roman" w:cs="Times New Roman"/>
          <w:sz w:val="20"/>
          <w:szCs w:val="20"/>
        </w:rPr>
        <w:t>nonoccurrence</w:t>
      </w:r>
      <w:r>
        <w:rPr>
          <w:rFonts w:ascii="Times New Roman" w:hAnsi="Times New Roman" w:cs="Times New Roman"/>
          <w:sz w:val="20"/>
          <w:szCs w:val="20"/>
        </w:rPr>
        <w:t xml:space="preserve"> because no infant in the ranibizumab group needed an additional intervention in that subgroup.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56A077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26809043"/>
      <w:docPartObj>
        <w:docPartGallery w:val="Page Numbers (Bottom of Page)"/>
        <w:docPartUnique/>
      </w:docPartObj>
    </w:sdtPr>
    <w:sdtContent>
      <w:p w14:paraId="1B0554F5" w14:textId="77777777" w:rsidR="005A3990" w:rsidRPr="001D4E4F" w:rsidRDefault="005A399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D4E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4E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4E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D4E4F">
          <w:rPr>
            <w:rFonts w:ascii="Times New Roman" w:hAnsi="Times New Roman" w:cs="Times New Roman"/>
            <w:sz w:val="24"/>
            <w:szCs w:val="24"/>
          </w:rPr>
          <w:t>2</w:t>
        </w:r>
        <w:r w:rsidRPr="001D4E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990A0E" w14:textId="77777777" w:rsidR="005A3990" w:rsidRDefault="005A3990">
    <w:pPr>
      <w:pStyle w:val="Footer"/>
    </w:pPr>
  </w:p>
  <w:p w14:paraId="282386C4" w14:textId="77777777" w:rsidR="005A3990" w:rsidRDefault="005A3990"/>
  <w:p w14:paraId="75F5D236" w14:textId="77777777" w:rsidR="005A3990" w:rsidRDefault="005A3990"/>
  <w:p w14:paraId="728E469E" w14:textId="77777777" w:rsidR="005A3990" w:rsidRDefault="005A399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142A0"/>
    <w:multiLevelType w:val="hybridMultilevel"/>
    <w:tmpl w:val="5372A7E8"/>
    <w:lvl w:ilvl="0" w:tplc="A52C2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E828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A7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6C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08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04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6C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4D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1289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A771B"/>
    <w:multiLevelType w:val="hybridMultilevel"/>
    <w:tmpl w:val="1262AEEE"/>
    <w:lvl w:ilvl="0" w:tplc="50C4E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502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6A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62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62A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142B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2B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A10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A04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E6581"/>
    <w:multiLevelType w:val="hybridMultilevel"/>
    <w:tmpl w:val="C6BEEC30"/>
    <w:lvl w:ilvl="0" w:tplc="32A09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08F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9C1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C9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A7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D49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AE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E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B2A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579325">
    <w:abstractNumId w:val="1"/>
  </w:num>
  <w:num w:numId="2" w16cid:durableId="2078355242">
    <w:abstractNumId w:val="2"/>
  </w:num>
  <w:num w:numId="3" w16cid:durableId="1511025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90"/>
    <w:rsid w:val="000C4033"/>
    <w:rsid w:val="00173ED8"/>
    <w:rsid w:val="002F50B1"/>
    <w:rsid w:val="004B42CB"/>
    <w:rsid w:val="005A3990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2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9E06"/>
  <w15:chartTrackingRefBased/>
  <w15:docId w15:val="{72BD5E19-D6FF-41C1-A213-C20D94F6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90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9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A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Footer">
    <w:name w:val="footer"/>
    <w:basedOn w:val="Normal"/>
    <w:link w:val="FooterChar"/>
    <w:uiPriority w:val="99"/>
    <w:unhideWhenUsed/>
    <w:rsid w:val="005A39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990"/>
    <w:rPr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5A3990"/>
    <w:pPr>
      <w:spacing w:after="0" w:line="240" w:lineRule="auto"/>
    </w:pPr>
    <w:rPr>
      <w:kern w:val="0"/>
      <w:sz w:val="22"/>
      <w:szCs w:val="22"/>
      <w:lang w:val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A3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2026-08-19T10:07:00Z</dcterms:created>
  <dcterms:modified xsi:type="dcterms:W3CDTF">2026-08-19T10:08:00Z</dcterms:modified>
</cp:coreProperties>
</file>