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CD7EE4" w14:textId="77777777" w:rsidR="00FB4DC8" w:rsidRDefault="00000000">
      <w:pPr>
        <w:spacing w:after="80"/>
        <w:jc w:val="center"/>
      </w:pPr>
      <w:r>
        <w:rPr>
          <w:rFonts w:ascii="Calibri" w:eastAsia="Calibri" w:hAnsi="Calibri" w:cs="Calibri"/>
          <w:b/>
          <w:bCs/>
          <w:color w:val="1F4E79"/>
          <w:sz w:val="18"/>
          <w:szCs w:val="18"/>
        </w:rPr>
        <w:t>SUPPLEMENTARY INFORMATION</w:t>
      </w:r>
    </w:p>
    <w:p w14:paraId="4989C92B" w14:textId="77777777" w:rsidR="00FB4DC8" w:rsidRDefault="00000000">
      <w:pPr>
        <w:spacing w:after="80"/>
        <w:jc w:val="center"/>
      </w:pPr>
      <w:r>
        <w:rPr>
          <w:rFonts w:ascii="Calibri" w:eastAsia="Calibri" w:hAnsi="Calibri" w:cs="Calibri"/>
          <w:b/>
          <w:bCs/>
          <w:color w:val="1F4E79"/>
          <w:sz w:val="32"/>
          <w:szCs w:val="32"/>
        </w:rPr>
        <w:t>Whose Energy Transition?</w:t>
      </w:r>
    </w:p>
    <w:p w14:paraId="4FFA16CF" w14:textId="77777777" w:rsidR="00AD7BDA" w:rsidRDefault="00AD7BDA" w:rsidP="00AD7BDA">
      <w:pPr>
        <w:spacing w:after="60"/>
        <w:jc w:val="center"/>
      </w:pPr>
      <w:r>
        <w:t>Global renewable-capacity resilience masks country-level divergence after shocks</w:t>
      </w:r>
    </w:p>
    <w:p w14:paraId="3CB9A653" w14:textId="77777777" w:rsidR="00FB4DC8" w:rsidRDefault="00000000">
      <w:pPr>
        <w:spacing w:after="60"/>
        <w:jc w:val="center"/>
      </w:pPr>
      <w:r>
        <w:rPr>
          <w:b/>
          <w:bCs/>
        </w:rPr>
        <w:t>Saumitra Saxena and Bassam Dally</w:t>
      </w:r>
    </w:p>
    <w:p w14:paraId="392E84E3" w14:textId="77777777" w:rsidR="00FB4DC8" w:rsidRDefault="00000000">
      <w:pPr>
        <w:spacing w:after="40"/>
        <w:jc w:val="center"/>
      </w:pPr>
      <w:r>
        <w:rPr>
          <w:i/>
          <w:iCs/>
          <w:color w:val="5A5A5A"/>
          <w:sz w:val="18"/>
          <w:szCs w:val="18"/>
        </w:rPr>
        <w:t>Clean Energy Research Platform, Physical Science and Engineering Division (PSE),</w:t>
      </w:r>
    </w:p>
    <w:p w14:paraId="48ACBDEC" w14:textId="77777777" w:rsidR="00FB4DC8" w:rsidRDefault="00000000">
      <w:pPr>
        <w:spacing w:after="40"/>
        <w:jc w:val="center"/>
      </w:pPr>
      <w:r>
        <w:rPr>
          <w:i/>
          <w:iCs/>
          <w:color w:val="5A5A5A"/>
          <w:sz w:val="18"/>
          <w:szCs w:val="18"/>
        </w:rPr>
        <w:t>King Abdullah University of Science and Technology, Thuwal 23955-6900, Saudi Arabia</w:t>
      </w:r>
    </w:p>
    <w:p w14:paraId="25FEEF30" w14:textId="77777777" w:rsidR="00FB4DC8" w:rsidRDefault="00000000">
      <w:pPr>
        <w:spacing w:after="60"/>
        <w:jc w:val="center"/>
      </w:pPr>
      <w:r>
        <w:rPr>
          <w:i/>
          <w:iCs/>
          <w:color w:val="5A5A5A"/>
          <w:sz w:val="18"/>
          <w:szCs w:val="18"/>
        </w:rPr>
        <w:t>Corresponding author: saumitra.saxena@kaust.edu.sa</w:t>
      </w:r>
    </w:p>
    <w:p w14:paraId="402ABFDB" w14:textId="77777777" w:rsidR="00FB4DC8" w:rsidRDefault="00000000">
      <w:pPr>
        <w:spacing w:after="300"/>
        <w:jc w:val="center"/>
      </w:pPr>
      <w:r>
        <w:rPr>
          <w:i/>
          <w:iCs/>
          <w:color w:val="5A5A5A"/>
          <w:sz w:val="18"/>
          <w:szCs w:val="18"/>
        </w:rPr>
        <w:t>This file accompanies the main article (Saxena &amp; Dally, 2026) and is structured per Nature Energy supplementary information conventions: numbered Supplementary Notes, Supplementary Figures, Supplementary Tables and Supplementary References.</w:t>
      </w:r>
    </w:p>
    <w:p w14:paraId="430F0FF9" w14:textId="77777777" w:rsidR="00FB4DC8" w:rsidRDefault="00000000">
      <w:pPr>
        <w:pStyle w:val="Heading1"/>
        <w:keepNext/>
      </w:pPr>
      <w:r>
        <w:t>Contents</w:t>
      </w:r>
    </w:p>
    <w:p w14:paraId="33E48E03" w14:textId="77777777" w:rsidR="00FB4DC8" w:rsidRDefault="00000000">
      <w:pPr>
        <w:spacing w:after="140" w:line="320" w:lineRule="auto"/>
      </w:pPr>
      <w:r>
        <w:rPr>
          <w:b/>
          <w:bCs/>
          <w:color w:val="1F4E79"/>
        </w:rPr>
        <w:t xml:space="preserve">Supplementary Note 1  </w:t>
      </w:r>
      <w:r>
        <w:t>The 2026 Iran-war episode: structural context and observational indicators</w:t>
      </w:r>
    </w:p>
    <w:p w14:paraId="6228D8A9" w14:textId="77777777" w:rsidR="00FB4DC8" w:rsidRDefault="00000000">
      <w:pPr>
        <w:spacing w:after="140" w:line="320" w:lineRule="auto"/>
      </w:pPr>
      <w:r>
        <w:rPr>
          <w:b/>
          <w:bCs/>
          <w:color w:val="1F4E79"/>
        </w:rPr>
        <w:t xml:space="preserve">Supplementary Note 2  </w:t>
      </w:r>
      <w:r>
        <w:t>Data sources and provenance</w:t>
      </w:r>
    </w:p>
    <w:p w14:paraId="540CC7D9" w14:textId="77777777" w:rsidR="00FB4DC8" w:rsidRDefault="00000000">
      <w:pPr>
        <w:spacing w:after="140" w:line="320" w:lineRule="auto"/>
      </w:pPr>
      <w:r>
        <w:rPr>
          <w:b/>
          <w:bCs/>
          <w:color w:val="1F4E79"/>
        </w:rPr>
        <w:t xml:space="preserve">Supplementary Note 3  </w:t>
      </w:r>
      <w:r>
        <w:t>Data-processing pipeline</w:t>
      </w:r>
    </w:p>
    <w:p w14:paraId="095BC4B9" w14:textId="77777777" w:rsidR="00FB4DC8" w:rsidRDefault="00000000">
      <w:pPr>
        <w:spacing w:after="140" w:line="320" w:lineRule="auto"/>
      </w:pPr>
      <w:r>
        <w:rPr>
          <w:b/>
          <w:bCs/>
          <w:color w:val="1F4E79"/>
        </w:rPr>
        <w:t xml:space="preserve">Supplementary Note 4  </w:t>
      </w:r>
      <w:r>
        <w:t>Event-study procedure</w:t>
      </w:r>
    </w:p>
    <w:p w14:paraId="2096AE79" w14:textId="77777777" w:rsidR="00FB4DC8" w:rsidRDefault="00000000">
      <w:pPr>
        <w:spacing w:after="140" w:line="320" w:lineRule="auto"/>
      </w:pPr>
      <w:r>
        <w:rPr>
          <w:b/>
          <w:bCs/>
          <w:color w:val="1F4E79"/>
        </w:rPr>
        <w:t xml:space="preserve">Supplementary Note 5  </w:t>
      </w:r>
      <w:r>
        <w:t>Distributional measures and the G-based decomposition</w:t>
      </w:r>
    </w:p>
    <w:p w14:paraId="4FB01373" w14:textId="77777777" w:rsidR="00FB4DC8" w:rsidRDefault="00000000">
      <w:pPr>
        <w:spacing w:after="140" w:line="320" w:lineRule="auto"/>
      </w:pPr>
      <w:r>
        <w:rPr>
          <w:b/>
          <w:bCs/>
          <w:color w:val="1F4E79"/>
        </w:rPr>
        <w:t xml:space="preserve">Supplementary Note 6  </w:t>
      </w:r>
      <w:r>
        <w:t>Placebo benchmark</w:t>
      </w:r>
    </w:p>
    <w:p w14:paraId="30E70529" w14:textId="77777777" w:rsidR="00FB4DC8" w:rsidRDefault="00000000">
      <w:pPr>
        <w:spacing w:after="140" w:line="320" w:lineRule="auto"/>
      </w:pPr>
      <w:r>
        <w:rPr>
          <w:b/>
          <w:bCs/>
          <w:color w:val="1F4E79"/>
        </w:rPr>
        <w:t xml:space="preserve">Supplementary Note 7  </w:t>
      </w:r>
      <w:r>
        <w:t>Inverse-hyperbolic-sine specification</w:t>
      </w:r>
    </w:p>
    <w:p w14:paraId="29BDBC54" w14:textId="77777777" w:rsidR="00FB4DC8" w:rsidRDefault="00000000">
      <w:pPr>
        <w:spacing w:after="140" w:line="320" w:lineRule="auto"/>
      </w:pPr>
      <w:r>
        <w:rPr>
          <w:b/>
          <w:bCs/>
          <w:color w:val="1F4E79"/>
        </w:rPr>
        <w:t xml:space="preserve">Supplementary Note 8  </w:t>
      </w:r>
      <w:r>
        <w:t>Sign-restricted SVAR rotation exercise</w:t>
      </w:r>
    </w:p>
    <w:p w14:paraId="6EEEB276" w14:textId="77777777" w:rsidR="00FB4DC8" w:rsidRDefault="00000000">
      <w:pPr>
        <w:spacing w:after="140" w:line="320" w:lineRule="auto"/>
      </w:pPr>
      <w:r>
        <w:rPr>
          <w:b/>
          <w:bCs/>
          <w:color w:val="1F4E79"/>
        </w:rPr>
        <w:t xml:space="preserve">Supplementary Note 9  </w:t>
      </w:r>
      <w:r>
        <w:t>Subgroup heterogeneity tests</w:t>
      </w:r>
    </w:p>
    <w:p w14:paraId="564151CD" w14:textId="77777777" w:rsidR="00FB4DC8" w:rsidRDefault="00000000">
      <w:pPr>
        <w:spacing w:after="140" w:line="320" w:lineRule="auto"/>
      </w:pPr>
      <w:r>
        <w:rPr>
          <w:b/>
          <w:bCs/>
          <w:color w:val="1F4E79"/>
        </w:rPr>
        <w:t xml:space="preserve">Supplementary Note 10  </w:t>
      </w:r>
      <w:r>
        <w:t>Shock-specific leave-out test</w:t>
      </w:r>
    </w:p>
    <w:p w14:paraId="22EC05C2" w14:textId="77777777" w:rsidR="00FB4DC8" w:rsidRDefault="00000000">
      <w:pPr>
        <w:spacing w:after="140" w:line="320" w:lineRule="auto"/>
      </w:pPr>
      <w:r>
        <w:rPr>
          <w:b/>
          <w:bCs/>
          <w:color w:val="1F4E79"/>
        </w:rPr>
        <w:t xml:space="preserve">Supplementary Note 11  </w:t>
      </w:r>
      <w:r>
        <w:t>Related-literature compilation</w:t>
      </w:r>
    </w:p>
    <w:p w14:paraId="53A5A69D" w14:textId="77777777" w:rsidR="00FB4DC8" w:rsidRDefault="00000000">
      <w:pPr>
        <w:spacing w:after="140" w:line="320" w:lineRule="auto"/>
      </w:pPr>
      <w:r w:rsidRPr="00AD7BDA">
        <w:rPr>
          <w:b/>
          <w:bCs/>
          <w:color w:val="1F4E79"/>
        </w:rPr>
        <w:t>Supplementary Note 12</w:t>
      </w:r>
      <w:r>
        <w:t xml:space="preserve">  Household electrification and energy-affordability markers</w:t>
      </w:r>
    </w:p>
    <w:p w14:paraId="14F5A549" w14:textId="77777777" w:rsidR="00FB4DC8" w:rsidRDefault="00000000">
      <w:pPr>
        <w:spacing w:after="140" w:line="320" w:lineRule="auto"/>
      </w:pPr>
      <w:r w:rsidRPr="00AD7BDA">
        <w:rPr>
          <w:b/>
          <w:bCs/>
          <w:color w:val="1F4E79"/>
        </w:rPr>
        <w:t>Supplementary Note 13</w:t>
      </w:r>
      <w:r>
        <w:t xml:space="preserve">  Exploratory country-level correlates and robustness</w:t>
      </w:r>
    </w:p>
    <w:p w14:paraId="2ED2A99A" w14:textId="77777777" w:rsidR="00FB4DC8" w:rsidRDefault="00000000">
      <w:pPr>
        <w:spacing w:after="140" w:line="320" w:lineRule="auto"/>
      </w:pPr>
      <w:r w:rsidRPr="00AD7BDA">
        <w:rPr>
          <w:b/>
          <w:bCs/>
          <w:color w:val="1F4E79"/>
        </w:rPr>
        <w:t>Supplementary Note 14</w:t>
      </w:r>
      <w:r>
        <w:t xml:space="preserve">  Reproducibility</w:t>
      </w:r>
    </w:p>
    <w:p w14:paraId="62C148BE" w14:textId="77777777" w:rsidR="00FB4DC8" w:rsidRDefault="00000000">
      <w:pPr>
        <w:spacing w:after="140" w:line="320" w:lineRule="auto"/>
      </w:pPr>
      <w:r w:rsidRPr="00AD7BDA">
        <w:rPr>
          <w:b/>
          <w:bCs/>
          <w:color w:val="1F4E79"/>
        </w:rPr>
        <w:t>Supplementary Tables</w:t>
      </w:r>
      <w:r>
        <w:t xml:space="preserve">  Tables 1–6</w:t>
      </w:r>
    </w:p>
    <w:p w14:paraId="2C108C06" w14:textId="77777777" w:rsidR="00FB4DC8" w:rsidRDefault="00000000">
      <w:pPr>
        <w:spacing w:after="140" w:line="320" w:lineRule="auto"/>
      </w:pPr>
      <w:r w:rsidRPr="00AD7BDA">
        <w:rPr>
          <w:b/>
          <w:bCs/>
          <w:color w:val="1F4E79"/>
        </w:rPr>
        <w:t>Supplementary Figures</w:t>
      </w:r>
      <w:r>
        <w:t xml:space="preserve">  Figures 1–3</w:t>
      </w:r>
    </w:p>
    <w:p w14:paraId="11D88458" w14:textId="77777777" w:rsidR="00FB4DC8" w:rsidRDefault="00000000">
      <w:pPr>
        <w:spacing w:after="140" w:line="320" w:lineRule="auto"/>
      </w:pPr>
      <w:r>
        <w:rPr>
          <w:b/>
          <w:bCs/>
          <w:color w:val="1F4E79"/>
        </w:rPr>
        <w:t xml:space="preserve">Supplementary References  </w:t>
      </w:r>
      <w:r>
        <w:t>Referenced primary sources</w:t>
      </w:r>
    </w:p>
    <w:p w14:paraId="3A59E65B" w14:textId="77777777" w:rsidR="00FB4DC8" w:rsidRDefault="00000000">
      <w:pPr>
        <w:pStyle w:val="Heading1"/>
        <w:keepNext/>
      </w:pPr>
      <w:r>
        <w:lastRenderedPageBreak/>
        <w:t>Supplementary Note 1 | The 2026 Iran-war episode: structural context and observational indicators</w:t>
      </w:r>
    </w:p>
    <w:p w14:paraId="25E7085A" w14:textId="77777777" w:rsidR="00FB4DC8" w:rsidRDefault="00000000">
      <w:pPr>
        <w:spacing w:after="140" w:line="320" w:lineRule="auto"/>
        <w:jc w:val="both"/>
      </w:pPr>
      <w:r>
        <w:t>This note records contemporary context for the 2026 Iran-war episode. The main event-study panel ends in 2024, so none of the observations below is treated as an estimated response or as evidence extending the historical results.</w:t>
      </w:r>
    </w:p>
    <w:p w14:paraId="2B382FA0" w14:textId="77777777" w:rsidR="00FB4DC8" w:rsidRDefault="00000000">
      <w:pPr>
        <w:pStyle w:val="Heading2"/>
        <w:keepNext/>
      </w:pPr>
      <w:r>
        <w:t>Structural context</w:t>
      </w:r>
    </w:p>
    <w:p w14:paraId="2587D92E" w14:textId="77777777" w:rsidR="00FB4DC8" w:rsidRDefault="00000000">
      <w:pPr>
        <w:spacing w:after="140" w:line="320" w:lineRule="auto"/>
        <w:jc w:val="both"/>
      </w:pPr>
      <w:r>
        <w:t>Monthly Brent averaged approximately US$103 per barrel in March 2026 and US$117 in April 2026 in the FRED series</w:t>
      </w:r>
      <w:r>
        <w:rPr>
          <w:vertAlign w:val="superscript"/>
        </w:rPr>
        <w:t>23</w:t>
      </w:r>
      <w:r>
        <w:t>. The IEA’s March Oil Market Report projected an approximately 8 million barrel-per-day disruption; its April issue subsequently estimated a 10.1 million barrel-per-day March supply fall</w:t>
      </w:r>
      <w:r>
        <w:rPr>
          <w:vertAlign w:val="superscript"/>
        </w:rPr>
        <w:t>13</w:t>
      </w:r>
      <w:r>
        <w:t>. IEA member countries agreed on 11 March to make 400 million barrels of emergency stocks available</w:t>
      </w:r>
      <w:r>
        <w:rPr>
          <w:vertAlign w:val="superscript"/>
        </w:rPr>
        <w:t>14</w:t>
      </w:r>
      <w:r>
        <w:t>. UN Trade and Development documented a near halt in Strait of Hormuz shipping and heightened risks for energy, fertiliser and vulnerable importing economies</w:t>
      </w:r>
      <w:r>
        <w:rPr>
          <w:vertAlign w:val="superscript"/>
        </w:rPr>
        <w:t>16</w:t>
      </w:r>
      <w:r>
        <w:t>. These indicators establish the scale of the disruption; they do not measure a renewable-capacity response.</w:t>
      </w:r>
    </w:p>
    <w:p w14:paraId="67A37B32" w14:textId="77777777" w:rsidR="00FB4DC8" w:rsidRDefault="00000000">
      <w:pPr>
        <w:pStyle w:val="Heading2"/>
        <w:keepNext/>
      </w:pPr>
      <w:r>
        <w:t>Macroeconomic transmission</w:t>
      </w:r>
    </w:p>
    <w:p w14:paraId="05BA23EE" w14:textId="77777777" w:rsidR="00FB4DC8" w:rsidRDefault="00000000">
      <w:pPr>
        <w:spacing w:after="140" w:line="320" w:lineRule="auto"/>
        <w:jc w:val="both"/>
      </w:pPr>
      <w:r>
        <w:t>In the IMF’s April 2026 reference scenario, global growth was projected at 3.1% and global headline inflation at 4.4%</w:t>
      </w:r>
      <w:r>
        <w:rPr>
          <w:vertAlign w:val="superscript"/>
        </w:rPr>
        <w:t>15</w:t>
      </w:r>
      <w:r>
        <w:t>. These forecasts are scenario-dependent and should not be used to infer that clean-energy availability caused any difference from earlier oil shocks. The present paper makes no causal comparison between the 2026 episode and the 1970s.</w:t>
      </w:r>
    </w:p>
    <w:p w14:paraId="5101111D" w14:textId="77777777" w:rsidR="00FB4DC8" w:rsidRDefault="00000000">
      <w:pPr>
        <w:pStyle w:val="Heading2"/>
        <w:keepNext/>
      </w:pPr>
      <w:r>
        <w:t>Observational early-2026 demand indicators</w:t>
      </w:r>
    </w:p>
    <w:p w14:paraId="30FA7375" w14:textId="77777777" w:rsidR="00FB4DC8" w:rsidRDefault="00000000">
      <w:pPr>
        <w:spacing w:after="140" w:line="320" w:lineRule="auto"/>
        <w:jc w:val="both"/>
      </w:pPr>
      <w:r>
        <w:t>Ember reported unusually strong cleantech trade indicators in March 2026, including a doubling of Chinese solar PV exports from February, record monthly solar imports in 50 countries and a 141% year-on-year rise in India’s imports</w:t>
      </w:r>
      <w:r>
        <w:rPr>
          <w:vertAlign w:val="superscript"/>
        </w:rPr>
        <w:t>17</w:t>
      </w:r>
      <w:r>
        <w:t>. Octopus Energy reported increases of more than half in UK solar and heat-pump sales</w:t>
      </w:r>
      <w:r>
        <w:rPr>
          <w:vertAlign w:val="superscript"/>
        </w:rPr>
        <w:t>28</w:t>
      </w:r>
      <w:r>
        <w:t>. These are contemporaneous trade and company indicators, not annual installed-capacity outcomes. Country-level post-shock deviations can be assessed only after consistent 2026 and later IRENA releases become available.</w:t>
      </w:r>
    </w:p>
    <w:p w14:paraId="132C14E4" w14:textId="77777777" w:rsidR="00FB4DC8" w:rsidRDefault="00000000">
      <w:pPr>
        <w:pStyle w:val="Heading1"/>
        <w:keepNext/>
      </w:pPr>
      <w:r>
        <w:t>Supplementary Note 2 | Data sources and provenance</w:t>
      </w:r>
    </w:p>
    <w:p w14:paraId="1D2A29F3" w14:textId="77777777" w:rsidR="00FB4DC8" w:rsidRDefault="00000000">
      <w:pPr>
        <w:spacing w:after="140" w:line="320" w:lineRule="auto"/>
        <w:jc w:val="both"/>
      </w:pPr>
      <w:r>
        <w:t>The main analysis uses five core data families: Brent oil prices, the Caldara–Iacoviello geopolitical-risk index, IRENA renewable capacity, Ember electricity generation and World Bank oil rents. The World Bank Pink Sheet</w:t>
      </w:r>
      <w:r>
        <w:rPr>
          <w:vertAlign w:val="superscript"/>
        </w:rPr>
        <w:t>29</w:t>
      </w:r>
      <w:r>
        <w:t xml:space="preserve"> supplies copper prices for the supplementary SVAR. The repository also archives auxiliary global-capacity and UN-voting inputs</w:t>
      </w:r>
      <w:r>
        <w:rPr>
          <w:vertAlign w:val="superscript"/>
        </w:rPr>
        <w:t>30</w:t>
      </w:r>
      <w:r>
        <w:t xml:space="preserve"> that are not used in the reported headline results. All sources and their roles are identified in Supplementary Table 1.</w:t>
      </w:r>
    </w:p>
    <w:p w14:paraId="75980ED0" w14:textId="77777777" w:rsidR="00FB4DC8" w:rsidRDefault="00000000">
      <w:pPr>
        <w:pStyle w:val="Heading2"/>
        <w:keepNext/>
      </w:pPr>
      <w:r>
        <w:lastRenderedPageBreak/>
        <w:t>Supplementary Table 1 | Primary data sources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
        <w:gridCol w:w="1324"/>
        <w:gridCol w:w="728"/>
        <w:gridCol w:w="789"/>
        <w:gridCol w:w="4365"/>
        <w:gridCol w:w="3063"/>
      </w:tblGrid>
      <w:tr w:rsidR="00FB4DC8" w14:paraId="2F03F9C4" w14:textId="77777777">
        <w:tblPrEx>
          <w:tblCellMar>
            <w:top w:w="0" w:type="dxa"/>
            <w:bottom w:w="0" w:type="dxa"/>
          </w:tblCellMar>
        </w:tblPrEx>
        <w:trPr>
          <w:tblHeader/>
        </w:trPr>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657D42F6" w14:textId="77777777" w:rsidR="00FB4DC8" w:rsidRDefault="00000000">
            <w:pPr>
              <w:spacing w:line="260" w:lineRule="auto"/>
            </w:pPr>
            <w:r>
              <w:rPr>
                <w:rFonts w:ascii="Calibri" w:eastAsia="Calibri" w:hAnsi="Calibri" w:cs="Calibri"/>
                <w:b/>
                <w:bCs/>
                <w:color w:val="FFFFFF"/>
                <w:sz w:val="18"/>
                <w:szCs w:val="18"/>
              </w:rPr>
              <w:t>Source</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117ECBE2" w14:textId="77777777" w:rsidR="00FB4DC8" w:rsidRDefault="00000000">
            <w:pPr>
              <w:spacing w:line="260" w:lineRule="auto"/>
            </w:pPr>
            <w:r>
              <w:rPr>
                <w:rFonts w:ascii="Calibri" w:eastAsia="Calibri" w:hAnsi="Calibri" w:cs="Calibri"/>
                <w:b/>
                <w:bCs/>
                <w:color w:val="FFFFFF"/>
                <w:sz w:val="18"/>
                <w:szCs w:val="18"/>
              </w:rPr>
              <w:t>Variable</w:t>
            </w:r>
          </w:p>
        </w:tc>
        <w:tc>
          <w:tcPr>
            <w:tcW w:w="11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486061E3" w14:textId="77777777" w:rsidR="00FB4DC8" w:rsidRDefault="00000000">
            <w:pPr>
              <w:spacing w:line="260" w:lineRule="auto"/>
              <w:jc w:val="center"/>
            </w:pPr>
            <w:r>
              <w:rPr>
                <w:rFonts w:ascii="Calibri" w:eastAsia="Calibri" w:hAnsi="Calibri" w:cs="Calibri"/>
                <w:b/>
                <w:bCs/>
                <w:color w:val="FFFFFF"/>
                <w:sz w:val="18"/>
                <w:szCs w:val="18"/>
              </w:rPr>
              <w:t>Period</w:t>
            </w:r>
          </w:p>
        </w:tc>
        <w:tc>
          <w:tcPr>
            <w:tcW w:w="11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34981190" w14:textId="77777777" w:rsidR="00FB4DC8" w:rsidRDefault="00000000">
            <w:pPr>
              <w:spacing w:line="260" w:lineRule="auto"/>
              <w:jc w:val="center"/>
            </w:pPr>
            <w:r>
              <w:rPr>
                <w:rFonts w:ascii="Calibri" w:eastAsia="Calibri" w:hAnsi="Calibri" w:cs="Calibri"/>
                <w:b/>
                <w:bCs/>
                <w:color w:val="FFFFFF"/>
                <w:sz w:val="18"/>
                <w:szCs w:val="18"/>
              </w:rPr>
              <w:t>Licence</w:t>
            </w:r>
          </w:p>
        </w:tc>
        <w:tc>
          <w:tcPr>
            <w:tcW w:w="2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48E6A1D2" w14:textId="77777777" w:rsidR="00FB4DC8" w:rsidRDefault="00000000">
            <w:pPr>
              <w:spacing w:line="260" w:lineRule="auto"/>
            </w:pPr>
            <w:r>
              <w:rPr>
                <w:rFonts w:ascii="Calibri" w:eastAsia="Calibri" w:hAnsi="Calibri" w:cs="Calibri"/>
                <w:b/>
                <w:bCs/>
                <w:color w:val="FFFFFF"/>
                <w:sz w:val="18"/>
                <w:szCs w:val="18"/>
              </w:rPr>
              <w:t>URL</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52DACD54" w14:textId="77777777" w:rsidR="00FB4DC8" w:rsidRDefault="00000000">
            <w:pPr>
              <w:spacing w:line="260" w:lineRule="auto"/>
            </w:pPr>
            <w:r>
              <w:rPr>
                <w:rFonts w:ascii="Calibri" w:eastAsia="Calibri" w:hAnsi="Calibri" w:cs="Calibri"/>
                <w:b/>
                <w:bCs/>
                <w:color w:val="FFFFFF"/>
                <w:sz w:val="18"/>
                <w:szCs w:val="18"/>
              </w:rPr>
              <w:t>File</w:t>
            </w:r>
          </w:p>
        </w:tc>
      </w:tr>
      <w:tr w:rsidR="00FB4DC8" w14:paraId="612E5507"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919D68" w14:textId="77777777" w:rsidR="00FB4DC8" w:rsidRDefault="00000000">
            <w:pPr>
              <w:spacing w:line="260" w:lineRule="auto"/>
            </w:pPr>
            <w:r>
              <w:rPr>
                <w:rFonts w:ascii="Calibri" w:eastAsia="Calibri" w:hAnsi="Calibri" w:cs="Calibri"/>
                <w:sz w:val="18"/>
                <w:szCs w:val="18"/>
              </w:rPr>
              <w:t>U.S. EIA via FRED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508A60" w14:textId="77777777" w:rsidR="00FB4DC8" w:rsidRDefault="00000000">
            <w:pPr>
              <w:spacing w:line="260" w:lineRule="auto"/>
            </w:pPr>
            <w:r>
              <w:rPr>
                <w:rFonts w:ascii="Calibri" w:eastAsia="Calibri" w:hAnsi="Calibri" w:cs="Calibri"/>
                <w:sz w:val="18"/>
                <w:szCs w:val="18"/>
              </w:rPr>
              <w:t>Brent crude monthly</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D97EC9" w14:textId="77777777" w:rsidR="00FB4DC8" w:rsidRDefault="00000000">
            <w:pPr>
              <w:spacing w:line="260" w:lineRule="auto"/>
              <w:jc w:val="center"/>
            </w:pPr>
            <w:r>
              <w:rPr>
                <w:rFonts w:ascii="Calibri" w:eastAsia="Calibri" w:hAnsi="Calibri" w:cs="Calibri"/>
                <w:sz w:val="18"/>
                <w:szCs w:val="18"/>
              </w:rPr>
              <w:t>1987–2026</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1E1ACCE" w14:textId="77777777" w:rsidR="00FB4DC8" w:rsidRDefault="00000000">
            <w:pPr>
              <w:spacing w:line="260" w:lineRule="auto"/>
              <w:jc w:val="center"/>
            </w:pPr>
            <w:r>
              <w:rPr>
                <w:rFonts w:ascii="Calibri" w:eastAsia="Calibri" w:hAnsi="Calibri" w:cs="Calibri"/>
                <w:sz w:val="18"/>
                <w:szCs w:val="18"/>
              </w:rPr>
              <w:t>Public</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9AF0EC2" w14:textId="77777777" w:rsidR="00FB4DC8" w:rsidRDefault="00000000">
            <w:pPr>
              <w:spacing w:line="260" w:lineRule="auto"/>
            </w:pPr>
            <w:r>
              <w:rPr>
                <w:rFonts w:ascii="Calibri" w:eastAsia="Calibri" w:hAnsi="Calibri" w:cs="Calibri"/>
                <w:sz w:val="18"/>
                <w:szCs w:val="18"/>
              </w:rPr>
              <w:t>fred.stlouisfed.org/series/MCOILBRENTEU</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D623F4" w14:textId="77777777" w:rsidR="00FB4DC8" w:rsidRDefault="00000000">
            <w:pPr>
              <w:spacing w:line="260" w:lineRule="auto"/>
            </w:pPr>
            <w:r>
              <w:rPr>
                <w:rFonts w:ascii="Calibri" w:eastAsia="Calibri" w:hAnsi="Calibri" w:cs="Calibri"/>
                <w:sz w:val="18"/>
                <w:szCs w:val="18"/>
              </w:rPr>
              <w:t>MCOILBRENTEU.csv</w:t>
            </w:r>
          </w:p>
        </w:tc>
      </w:tr>
      <w:tr w:rsidR="00FB4DC8" w14:paraId="265616D7"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80E474" w14:textId="77777777" w:rsidR="00FB4DC8" w:rsidRDefault="00000000">
            <w:pPr>
              <w:spacing w:line="260" w:lineRule="auto"/>
            </w:pPr>
            <w:r>
              <w:rPr>
                <w:rFonts w:ascii="Calibri" w:eastAsia="Calibri" w:hAnsi="Calibri" w:cs="Calibri"/>
                <w:sz w:val="18"/>
                <w:szCs w:val="18"/>
              </w:rPr>
              <w:t>Caldara–Iacoviello</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C91A18" w14:textId="77777777" w:rsidR="00FB4DC8" w:rsidRDefault="00000000">
            <w:pPr>
              <w:spacing w:line="260" w:lineRule="auto"/>
            </w:pPr>
            <w:r>
              <w:rPr>
                <w:rFonts w:ascii="Calibri" w:eastAsia="Calibri" w:hAnsi="Calibri" w:cs="Calibri"/>
                <w:sz w:val="18"/>
                <w:szCs w:val="18"/>
              </w:rPr>
              <w:t>GPR monthly</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FAF065" w14:textId="77777777" w:rsidR="00FB4DC8" w:rsidRDefault="00000000">
            <w:pPr>
              <w:spacing w:line="260" w:lineRule="auto"/>
              <w:jc w:val="center"/>
            </w:pPr>
            <w:r>
              <w:rPr>
                <w:rFonts w:ascii="Calibri" w:eastAsia="Calibri" w:hAnsi="Calibri" w:cs="Calibri"/>
                <w:sz w:val="18"/>
                <w:szCs w:val="18"/>
              </w:rPr>
              <w:t>1900–2026</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E53F43" w14:textId="77777777" w:rsidR="00FB4DC8" w:rsidRDefault="00000000">
            <w:pPr>
              <w:spacing w:line="260" w:lineRule="auto"/>
              <w:jc w:val="center"/>
            </w:pPr>
            <w:r>
              <w:rPr>
                <w:rFonts w:ascii="Calibri" w:eastAsia="Calibri" w:hAnsi="Calibri" w:cs="Calibri"/>
                <w:sz w:val="18"/>
                <w:szCs w:val="18"/>
              </w:rPr>
              <w:t>Public</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BB8CED2" w14:textId="77777777" w:rsidR="00FB4DC8" w:rsidRDefault="00000000">
            <w:pPr>
              <w:spacing w:line="260" w:lineRule="auto"/>
            </w:pPr>
            <w:r>
              <w:rPr>
                <w:rFonts w:ascii="Calibri" w:eastAsia="Calibri" w:hAnsi="Calibri" w:cs="Calibri"/>
                <w:sz w:val="18"/>
                <w:szCs w:val="18"/>
              </w:rPr>
              <w:t>matteoiacoviello.com/gpr.htm</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BE33432" w14:textId="77777777" w:rsidR="00FB4DC8" w:rsidRDefault="00000000">
            <w:pPr>
              <w:spacing w:line="260" w:lineRule="auto"/>
            </w:pPr>
            <w:r>
              <w:rPr>
                <w:rFonts w:ascii="Calibri" w:eastAsia="Calibri" w:hAnsi="Calibri" w:cs="Calibri"/>
                <w:sz w:val="18"/>
                <w:szCs w:val="18"/>
              </w:rPr>
              <w:t>data_gpr_export.xls</w:t>
            </w:r>
          </w:p>
        </w:tc>
      </w:tr>
      <w:tr w:rsidR="00FB4DC8" w14:paraId="56A85EB4"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FB7042E" w14:textId="77777777" w:rsidR="00FB4DC8" w:rsidRDefault="00000000">
            <w:pPr>
              <w:spacing w:line="260" w:lineRule="auto"/>
            </w:pPr>
            <w:r>
              <w:rPr>
                <w:rFonts w:ascii="Calibri" w:eastAsia="Calibri" w:hAnsi="Calibri" w:cs="Calibri"/>
                <w:sz w:val="18"/>
                <w:szCs w:val="18"/>
              </w:rPr>
              <w:t>World Bank Pink Sheet</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283CE4" w14:textId="77777777" w:rsidR="00FB4DC8" w:rsidRDefault="00000000">
            <w:pPr>
              <w:spacing w:line="260" w:lineRule="auto"/>
            </w:pPr>
            <w:r>
              <w:rPr>
                <w:rFonts w:ascii="Calibri" w:eastAsia="Calibri" w:hAnsi="Calibri" w:cs="Calibri"/>
                <w:sz w:val="18"/>
                <w:szCs w:val="18"/>
              </w:rPr>
              <w:t>Commodity prices</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1B4CB0D" w14:textId="77777777" w:rsidR="00FB4DC8" w:rsidRDefault="00000000">
            <w:pPr>
              <w:spacing w:line="260" w:lineRule="auto"/>
              <w:jc w:val="center"/>
            </w:pPr>
            <w:r>
              <w:rPr>
                <w:rFonts w:ascii="Calibri" w:eastAsia="Calibri" w:hAnsi="Calibri" w:cs="Calibri"/>
                <w:sz w:val="18"/>
                <w:szCs w:val="18"/>
              </w:rPr>
              <w:t>1960–2024</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FDE6B7E" w14:textId="77777777" w:rsidR="00FB4DC8" w:rsidRDefault="00000000">
            <w:pPr>
              <w:spacing w:line="260" w:lineRule="auto"/>
              <w:jc w:val="center"/>
            </w:pPr>
            <w:r>
              <w:rPr>
                <w:rFonts w:ascii="Calibri" w:eastAsia="Calibri" w:hAnsi="Calibri" w:cs="Calibri"/>
                <w:sz w:val="18"/>
                <w:szCs w:val="18"/>
              </w:rPr>
              <w:t>Public</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CE9C55" w14:textId="77777777" w:rsidR="00FB4DC8" w:rsidRDefault="00000000">
            <w:pPr>
              <w:spacing w:line="260" w:lineRule="auto"/>
            </w:pPr>
            <w:r>
              <w:rPr>
                <w:rFonts w:ascii="Calibri" w:eastAsia="Calibri" w:hAnsi="Calibri" w:cs="Calibri"/>
                <w:sz w:val="18"/>
                <w:szCs w:val="18"/>
              </w:rPr>
              <w:t>thedocs.worldbank.org/…/CMO-Historical-Data-Monthly.xlsx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5067BB" w14:textId="77777777" w:rsidR="00FB4DC8" w:rsidRDefault="00000000">
            <w:pPr>
              <w:spacing w:line="260" w:lineRule="auto"/>
            </w:pPr>
            <w:r>
              <w:rPr>
                <w:rFonts w:ascii="Calibri" w:eastAsia="Calibri" w:hAnsi="Calibri" w:cs="Calibri"/>
                <w:sz w:val="18"/>
                <w:szCs w:val="18"/>
              </w:rPr>
              <w:t>CMO-Historical-Data-Monthly.xlsx</w:t>
            </w:r>
          </w:p>
        </w:tc>
      </w:tr>
      <w:tr w:rsidR="00FB4DC8" w14:paraId="772FD758"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45FD47" w14:textId="77777777" w:rsidR="00FB4DC8" w:rsidRDefault="00000000">
            <w:pPr>
              <w:spacing w:line="260" w:lineRule="auto"/>
            </w:pPr>
            <w:r>
              <w:rPr>
                <w:rFonts w:ascii="Calibri" w:eastAsia="Calibri" w:hAnsi="Calibri" w:cs="Calibri"/>
                <w:sz w:val="18"/>
                <w:szCs w:val="18"/>
              </w:rPr>
              <w:t>Ember MED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12571F" w14:textId="77777777" w:rsidR="00FB4DC8" w:rsidRDefault="00000000">
            <w:pPr>
              <w:spacing w:line="260" w:lineRule="auto"/>
            </w:pPr>
            <w:r>
              <w:rPr>
                <w:rFonts w:ascii="Calibri" w:eastAsia="Calibri" w:hAnsi="Calibri" w:cs="Calibri"/>
                <w:sz w:val="18"/>
                <w:szCs w:val="18"/>
              </w:rPr>
              <w:t>Country-month electricity</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A5214B" w14:textId="77777777" w:rsidR="00FB4DC8" w:rsidRDefault="00000000">
            <w:pPr>
              <w:spacing w:line="260" w:lineRule="auto"/>
              <w:jc w:val="center"/>
            </w:pPr>
            <w:r>
              <w:rPr>
                <w:rFonts w:ascii="Calibri" w:eastAsia="Calibri" w:hAnsi="Calibri" w:cs="Calibri"/>
                <w:sz w:val="18"/>
                <w:szCs w:val="18"/>
              </w:rPr>
              <w:t>1999–2026</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FB1CB4" w14:textId="77777777" w:rsidR="00FB4DC8" w:rsidRDefault="00000000">
            <w:pPr>
              <w:spacing w:line="260" w:lineRule="auto"/>
              <w:jc w:val="center"/>
            </w:pPr>
            <w:r>
              <w:rPr>
                <w:rFonts w:ascii="Calibri" w:eastAsia="Calibri" w:hAnsi="Calibri" w:cs="Calibri"/>
                <w:sz w:val="18"/>
                <w:szCs w:val="18"/>
              </w:rPr>
              <w:t>CC-BY-4.0</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88F2CC" w14:textId="77777777" w:rsidR="00FB4DC8" w:rsidRDefault="00000000">
            <w:pPr>
              <w:spacing w:line="260" w:lineRule="auto"/>
            </w:pPr>
            <w:r>
              <w:rPr>
                <w:rFonts w:ascii="Calibri" w:eastAsia="Calibri" w:hAnsi="Calibri" w:cs="Calibri"/>
                <w:sz w:val="18"/>
                <w:szCs w:val="18"/>
              </w:rPr>
              <w:t>ember-energy.org/data/monthly-electricity-data</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D72193" w14:textId="77777777" w:rsidR="00FB4DC8" w:rsidRDefault="00000000">
            <w:pPr>
              <w:spacing w:line="260" w:lineRule="auto"/>
            </w:pPr>
            <w:r>
              <w:rPr>
                <w:rFonts w:ascii="Calibri" w:eastAsia="Calibri" w:hAnsi="Calibri" w:cs="Calibri"/>
                <w:sz w:val="18"/>
                <w:szCs w:val="18"/>
              </w:rPr>
              <w:t>monthly_full_release_long_format.csv</w:t>
            </w:r>
          </w:p>
        </w:tc>
      </w:tr>
      <w:tr w:rsidR="00FB4DC8" w14:paraId="7CEF47BE"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1654E19" w14:textId="77777777" w:rsidR="00FB4DC8" w:rsidRDefault="00000000">
            <w:pPr>
              <w:spacing w:line="260" w:lineRule="auto"/>
            </w:pPr>
            <w:r>
              <w:rPr>
                <w:rFonts w:ascii="Calibri" w:eastAsia="Calibri" w:hAnsi="Calibri" w:cs="Calibri"/>
                <w:sz w:val="18"/>
                <w:szCs w:val="18"/>
              </w:rPr>
              <w:t>IRENA RES 2025 via OWID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71C39D" w14:textId="77777777" w:rsidR="00FB4DC8" w:rsidRDefault="00000000">
            <w:pPr>
              <w:spacing w:line="260" w:lineRule="auto"/>
            </w:pPr>
            <w:r>
              <w:rPr>
                <w:rFonts w:ascii="Calibri" w:eastAsia="Calibri" w:hAnsi="Calibri" w:cs="Calibri"/>
                <w:sz w:val="18"/>
                <w:szCs w:val="18"/>
              </w:rPr>
              <w:t>Solar total capacity (country×year)</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6A3028" w14:textId="77777777" w:rsidR="00FB4DC8" w:rsidRDefault="00000000">
            <w:pPr>
              <w:spacing w:line="260" w:lineRule="auto"/>
              <w:jc w:val="center"/>
            </w:pPr>
            <w:r>
              <w:rPr>
                <w:rFonts w:ascii="Calibri" w:eastAsia="Calibri" w:hAnsi="Calibri" w:cs="Calibri"/>
                <w:sz w:val="18"/>
                <w:szCs w:val="18"/>
              </w:rPr>
              <w:t>2000–2024</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C656DF" w14:textId="77777777" w:rsidR="00FB4DC8" w:rsidRDefault="00000000">
            <w:pPr>
              <w:spacing w:line="260" w:lineRule="auto"/>
              <w:jc w:val="center"/>
            </w:pPr>
            <w:r>
              <w:rPr>
                <w:rFonts w:ascii="Calibri" w:eastAsia="Calibri" w:hAnsi="Calibri" w:cs="Calibri"/>
                <w:sz w:val="18"/>
                <w:szCs w:val="18"/>
              </w:rPr>
              <w:t>CC-BY-4.0</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4FF6D20" w14:textId="77777777" w:rsidR="00FB4DC8" w:rsidRDefault="00000000">
            <w:pPr>
              <w:spacing w:line="260" w:lineRule="auto"/>
            </w:pPr>
            <w:r>
              <w:rPr>
                <w:rFonts w:ascii="Calibri" w:eastAsia="Calibri" w:hAnsi="Calibri" w:cs="Calibri"/>
                <w:sz w:val="18"/>
                <w:szCs w:val="18"/>
              </w:rPr>
              <w:t>ourworldindata.org/grapher/installed-solar-pv-capacity</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0A1C5E" w14:textId="77777777" w:rsidR="00FB4DC8" w:rsidRDefault="00000000">
            <w:pPr>
              <w:spacing w:line="260" w:lineRule="auto"/>
            </w:pPr>
            <w:r>
              <w:rPr>
                <w:rFonts w:ascii="Calibri" w:eastAsia="Calibri" w:hAnsi="Calibri" w:cs="Calibri"/>
                <w:sz w:val="18"/>
                <w:szCs w:val="18"/>
              </w:rPr>
              <w:t>installed-solar-pv-capacity.csv</w:t>
            </w:r>
          </w:p>
        </w:tc>
      </w:tr>
      <w:tr w:rsidR="00FB4DC8" w14:paraId="5A723890"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A03F22" w14:textId="77777777" w:rsidR="00FB4DC8" w:rsidRDefault="00000000">
            <w:pPr>
              <w:spacing w:line="260" w:lineRule="auto"/>
            </w:pPr>
            <w:r>
              <w:rPr>
                <w:rFonts w:ascii="Calibri" w:eastAsia="Calibri" w:hAnsi="Calibri" w:cs="Calibri"/>
                <w:sz w:val="18"/>
                <w:szCs w:val="18"/>
              </w:rPr>
              <w:t>IRENA RES 2025 via OWID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A2BF9C" w14:textId="77777777" w:rsidR="00FB4DC8" w:rsidRDefault="00000000">
            <w:pPr>
              <w:spacing w:line="260" w:lineRule="auto"/>
            </w:pPr>
            <w:r>
              <w:rPr>
                <w:rFonts w:ascii="Calibri" w:eastAsia="Calibri" w:hAnsi="Calibri" w:cs="Calibri"/>
                <w:sz w:val="18"/>
                <w:szCs w:val="18"/>
              </w:rPr>
              <w:t>Wind capacity (country×year)</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9DAFB8" w14:textId="77777777" w:rsidR="00FB4DC8" w:rsidRDefault="00000000">
            <w:pPr>
              <w:spacing w:line="260" w:lineRule="auto"/>
              <w:jc w:val="center"/>
            </w:pPr>
            <w:r>
              <w:rPr>
                <w:rFonts w:ascii="Calibri" w:eastAsia="Calibri" w:hAnsi="Calibri" w:cs="Calibri"/>
                <w:sz w:val="18"/>
                <w:szCs w:val="18"/>
              </w:rPr>
              <w:t>2000–2024</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6B13D7" w14:textId="77777777" w:rsidR="00FB4DC8" w:rsidRDefault="00000000">
            <w:pPr>
              <w:spacing w:line="260" w:lineRule="auto"/>
              <w:jc w:val="center"/>
            </w:pPr>
            <w:r>
              <w:rPr>
                <w:rFonts w:ascii="Calibri" w:eastAsia="Calibri" w:hAnsi="Calibri" w:cs="Calibri"/>
                <w:sz w:val="18"/>
                <w:szCs w:val="18"/>
              </w:rPr>
              <w:t>CC-BY-4.0</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8E4EB76" w14:textId="77777777" w:rsidR="00FB4DC8" w:rsidRDefault="00000000">
            <w:pPr>
              <w:spacing w:line="260" w:lineRule="auto"/>
            </w:pPr>
            <w:r>
              <w:rPr>
                <w:rFonts w:ascii="Calibri" w:eastAsia="Calibri" w:hAnsi="Calibri" w:cs="Calibri"/>
                <w:sz w:val="18"/>
                <w:szCs w:val="18"/>
              </w:rPr>
              <w:t>ourworldindata.org/grapher/cumulative-installed-wind-energy-capacity-gigawatts</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129C4DE" w14:textId="77777777" w:rsidR="00FB4DC8" w:rsidRDefault="00000000">
            <w:pPr>
              <w:spacing w:line="260" w:lineRule="auto"/>
            </w:pPr>
            <w:r>
              <w:rPr>
                <w:rFonts w:ascii="Calibri" w:eastAsia="Calibri" w:hAnsi="Calibri" w:cs="Calibri"/>
                <w:sz w:val="18"/>
                <w:szCs w:val="18"/>
              </w:rPr>
              <w:t>cumulative-installed-wind-energy-capacity-gigawatts.csv</w:t>
            </w:r>
          </w:p>
        </w:tc>
      </w:tr>
      <w:tr w:rsidR="00FB4DC8" w14:paraId="63B6A4A2"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F0C3D4" w14:textId="77777777" w:rsidR="00FB4DC8" w:rsidRDefault="00000000">
            <w:pPr>
              <w:spacing w:line="260" w:lineRule="auto"/>
            </w:pPr>
            <w:r>
              <w:rPr>
                <w:rFonts w:ascii="Calibri" w:eastAsia="Calibri" w:hAnsi="Calibri" w:cs="Calibri"/>
                <w:sz w:val="18"/>
                <w:szCs w:val="18"/>
              </w:rPr>
              <w:t>IRENA RES 2025 via OWID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1957BDA" w14:textId="77777777" w:rsidR="00FB4DC8" w:rsidRDefault="00000000">
            <w:pPr>
              <w:spacing w:line="260" w:lineRule="auto"/>
            </w:pPr>
            <w:r>
              <w:rPr>
                <w:rFonts w:ascii="Calibri" w:eastAsia="Calibri" w:hAnsi="Calibri" w:cs="Calibri"/>
                <w:sz w:val="18"/>
                <w:szCs w:val="18"/>
              </w:rPr>
              <w:t>Global renewables by tech</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BD19F5" w14:textId="77777777" w:rsidR="00FB4DC8" w:rsidRDefault="00000000">
            <w:pPr>
              <w:spacing w:line="260" w:lineRule="auto"/>
              <w:jc w:val="center"/>
            </w:pPr>
            <w:r>
              <w:rPr>
                <w:rFonts w:ascii="Calibri" w:eastAsia="Calibri" w:hAnsi="Calibri" w:cs="Calibri"/>
                <w:sz w:val="18"/>
                <w:szCs w:val="18"/>
              </w:rPr>
              <w:t>2000–2024</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99BBF2" w14:textId="77777777" w:rsidR="00FB4DC8" w:rsidRDefault="00000000">
            <w:pPr>
              <w:spacing w:line="260" w:lineRule="auto"/>
              <w:jc w:val="center"/>
            </w:pPr>
            <w:r>
              <w:rPr>
                <w:rFonts w:ascii="Calibri" w:eastAsia="Calibri" w:hAnsi="Calibri" w:cs="Calibri"/>
                <w:sz w:val="18"/>
                <w:szCs w:val="18"/>
              </w:rPr>
              <w:t>CC-BY-4.0</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CC1AFD" w14:textId="77777777" w:rsidR="00FB4DC8" w:rsidRDefault="00000000">
            <w:pPr>
              <w:spacing w:line="260" w:lineRule="auto"/>
            </w:pPr>
            <w:r>
              <w:rPr>
                <w:rFonts w:ascii="Calibri" w:eastAsia="Calibri" w:hAnsi="Calibri" w:cs="Calibri"/>
                <w:sz w:val="18"/>
                <w:szCs w:val="18"/>
              </w:rPr>
              <w:t>ourworldindata.org/grapher/installed-global-renewable-energy-capacity-by-technology</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344138" w14:textId="77777777" w:rsidR="00FB4DC8" w:rsidRDefault="00000000">
            <w:pPr>
              <w:spacing w:line="260" w:lineRule="auto"/>
            </w:pPr>
            <w:r>
              <w:rPr>
                <w:rFonts w:ascii="Calibri" w:eastAsia="Calibri" w:hAnsi="Calibri" w:cs="Calibri"/>
                <w:sz w:val="18"/>
                <w:szCs w:val="18"/>
              </w:rPr>
              <w:t>installed-global-renewable-energy-capacity-by-technology.csv</w:t>
            </w:r>
          </w:p>
        </w:tc>
      </w:tr>
      <w:tr w:rsidR="00FB4DC8" w14:paraId="296D10E4"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D6C9E5" w14:textId="77777777" w:rsidR="00FB4DC8" w:rsidRDefault="00000000">
            <w:pPr>
              <w:spacing w:line="260" w:lineRule="auto"/>
            </w:pPr>
            <w:r>
              <w:rPr>
                <w:rFonts w:ascii="Calibri" w:eastAsia="Calibri" w:hAnsi="Calibri" w:cs="Calibri"/>
                <w:sz w:val="18"/>
                <w:szCs w:val="18"/>
              </w:rPr>
              <w:t>Harvard Dataverse</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0C375F" w14:textId="77777777" w:rsidR="00FB4DC8" w:rsidRDefault="00000000">
            <w:r>
              <w:t>UN voting ideal points (auxiliary; not used in reported results)</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B527FB" w14:textId="77777777" w:rsidR="00FB4DC8" w:rsidRDefault="00000000">
            <w:pPr>
              <w:spacing w:line="260" w:lineRule="auto"/>
              <w:jc w:val="center"/>
            </w:pPr>
            <w:r>
              <w:rPr>
                <w:rFonts w:ascii="Calibri" w:eastAsia="Calibri" w:hAnsi="Calibri" w:cs="Calibri"/>
                <w:sz w:val="18"/>
                <w:szCs w:val="18"/>
              </w:rPr>
              <w:t>1946–2025</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CB9463" w14:textId="77777777" w:rsidR="00FB4DC8" w:rsidRDefault="00000000">
            <w:pPr>
              <w:spacing w:line="260" w:lineRule="auto"/>
              <w:jc w:val="center"/>
            </w:pPr>
            <w:r>
              <w:rPr>
                <w:rFonts w:ascii="Calibri" w:eastAsia="Calibri" w:hAnsi="Calibri" w:cs="Calibri"/>
                <w:sz w:val="18"/>
                <w:szCs w:val="18"/>
              </w:rPr>
              <w:t>Public</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086963" w14:textId="77777777" w:rsidR="00FB4DC8" w:rsidRDefault="00000000">
            <w:pPr>
              <w:spacing w:line="260" w:lineRule="auto"/>
            </w:pPr>
            <w:r>
              <w:rPr>
                <w:rFonts w:ascii="Calibri" w:eastAsia="Calibri" w:hAnsi="Calibri" w:cs="Calibri"/>
                <w:sz w:val="18"/>
                <w:szCs w:val="18"/>
              </w:rPr>
              <w:t>dataverse.harvard.edu  doi:10.7910/DVN/LEJUQZ</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BFE97C" w14:textId="77777777" w:rsidR="00FB4DC8" w:rsidRDefault="00000000">
            <w:pPr>
              <w:spacing w:line="260" w:lineRule="auto"/>
            </w:pPr>
            <w:r>
              <w:rPr>
                <w:rFonts w:ascii="Calibri" w:eastAsia="Calibri" w:hAnsi="Calibri" w:cs="Calibri"/>
                <w:sz w:val="18"/>
                <w:szCs w:val="18"/>
              </w:rPr>
              <w:t>Idealpointestimates1946-2025.csv</w:t>
            </w:r>
          </w:p>
        </w:tc>
      </w:tr>
      <w:tr w:rsidR="00FB4DC8" w14:paraId="7B12EE1A" w14:textId="77777777">
        <w:tblPrEx>
          <w:tblCellMar>
            <w:top w:w="0" w:type="dxa"/>
            <w:bottom w:w="0" w:type="dxa"/>
          </w:tblCellMar>
        </w:tblPrEx>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2DC24F" w14:textId="77777777" w:rsidR="00FB4DC8" w:rsidRDefault="00000000">
            <w:pPr>
              <w:spacing w:line="260" w:lineRule="auto"/>
            </w:pPr>
            <w:r>
              <w:rPr>
                <w:rFonts w:ascii="Calibri" w:eastAsia="Calibri" w:hAnsi="Calibri" w:cs="Calibri"/>
                <w:sz w:val="18"/>
                <w:szCs w:val="18"/>
              </w:rPr>
              <w:t>WB Changing Wealth via OWID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84357A" w14:textId="77777777" w:rsidR="00FB4DC8" w:rsidRDefault="00000000">
            <w:pPr>
              <w:spacing w:line="260" w:lineRule="auto"/>
            </w:pPr>
            <w:r>
              <w:rPr>
                <w:rFonts w:ascii="Calibri" w:eastAsia="Calibri" w:hAnsi="Calibri" w:cs="Calibri"/>
                <w:sz w:val="18"/>
                <w:szCs w:val="18"/>
              </w:rPr>
              <w:t>Oil rents % of GDP</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1046EEC" w14:textId="77777777" w:rsidR="00FB4DC8" w:rsidRDefault="00000000">
            <w:pPr>
              <w:spacing w:line="260" w:lineRule="auto"/>
              <w:jc w:val="center"/>
            </w:pPr>
            <w:r>
              <w:rPr>
                <w:rFonts w:ascii="Calibri" w:eastAsia="Calibri" w:hAnsi="Calibri" w:cs="Calibri"/>
                <w:sz w:val="18"/>
                <w:szCs w:val="18"/>
              </w:rPr>
              <w:t>1970–2021</w:t>
            </w:r>
          </w:p>
        </w:tc>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203944" w14:textId="77777777" w:rsidR="00FB4DC8" w:rsidRDefault="00000000">
            <w:pPr>
              <w:spacing w:line="260" w:lineRule="auto"/>
              <w:jc w:val="center"/>
            </w:pPr>
            <w:r>
              <w:rPr>
                <w:rFonts w:ascii="Calibri" w:eastAsia="Calibri" w:hAnsi="Calibri" w:cs="Calibri"/>
                <w:sz w:val="18"/>
                <w:szCs w:val="18"/>
              </w:rPr>
              <w:t>CC-BY-4.0</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419DE7" w14:textId="77777777" w:rsidR="00FB4DC8" w:rsidRDefault="00000000">
            <w:pPr>
              <w:spacing w:line="260" w:lineRule="auto"/>
            </w:pPr>
            <w:r>
              <w:rPr>
                <w:rFonts w:ascii="Calibri" w:eastAsia="Calibri" w:hAnsi="Calibri" w:cs="Calibri"/>
                <w:sz w:val="18"/>
                <w:szCs w:val="18"/>
              </w:rPr>
              <w:t>ourworldindata.org/grapher/oil-rents-as-a-share-of-gdp</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553633D" w14:textId="77777777" w:rsidR="00FB4DC8" w:rsidRDefault="00000000">
            <w:pPr>
              <w:spacing w:line="260" w:lineRule="auto"/>
            </w:pPr>
            <w:r>
              <w:rPr>
                <w:rFonts w:ascii="Calibri" w:eastAsia="Calibri" w:hAnsi="Calibri" w:cs="Calibri"/>
                <w:sz w:val="18"/>
                <w:szCs w:val="18"/>
              </w:rPr>
              <w:t>oil-rents-as-a-share-of-gdp.csv</w:t>
            </w:r>
          </w:p>
        </w:tc>
      </w:tr>
      <w:tr w:rsidR="00FB4DC8" w14:paraId="5277217B" w14:textId="77777777">
        <w:tblPrEx>
          <w:tblCellMar>
            <w:top w:w="0" w:type="dxa"/>
            <w:bottom w:w="0" w:type="dxa"/>
          </w:tblCellMar>
        </w:tblPrEx>
        <w:tc>
          <w:tcPr>
            <w:tcW w:w="1800" w:type="dxa"/>
          </w:tcPr>
          <w:p w14:paraId="20455E92" w14:textId="77777777" w:rsidR="00FB4DC8" w:rsidRDefault="00000000">
            <w:r>
              <w:rPr>
                <w:sz w:val="16"/>
              </w:rPr>
              <w:t>World Bank Country and Lending Groups</w:t>
            </w:r>
          </w:p>
        </w:tc>
        <w:tc>
          <w:tcPr>
            <w:tcW w:w="1500" w:type="dxa"/>
          </w:tcPr>
          <w:p w14:paraId="2049DBEF" w14:textId="77777777" w:rsidR="00FB4DC8" w:rsidRDefault="00000000">
            <w:r>
              <w:rPr>
                <w:sz w:val="16"/>
              </w:rPr>
              <w:t>FY2026 income group and region</w:t>
            </w:r>
          </w:p>
        </w:tc>
        <w:tc>
          <w:tcPr>
            <w:tcW w:w="1100" w:type="dxa"/>
          </w:tcPr>
          <w:p w14:paraId="4C8731F2" w14:textId="77777777" w:rsidR="00FB4DC8" w:rsidRDefault="00000000">
            <w:r>
              <w:rPr>
                <w:sz w:val="16"/>
              </w:rPr>
              <w:t>FY2026</w:t>
            </w:r>
          </w:p>
        </w:tc>
        <w:tc>
          <w:tcPr>
            <w:tcW w:w="1100" w:type="dxa"/>
          </w:tcPr>
          <w:p w14:paraId="7993EDBF" w14:textId="77777777" w:rsidR="00FB4DC8" w:rsidRDefault="00000000">
            <w:r>
              <w:rPr>
                <w:sz w:val="16"/>
              </w:rPr>
              <w:t>Public</w:t>
            </w:r>
          </w:p>
        </w:tc>
        <w:tc>
          <w:tcPr>
            <w:tcW w:w="2360" w:type="dxa"/>
          </w:tcPr>
          <w:p w14:paraId="3B14BA9D" w14:textId="77777777" w:rsidR="00FB4DC8" w:rsidRDefault="00000000">
            <w:r>
              <w:rPr>
                <w:sz w:val="16"/>
              </w:rPr>
              <w:t>datahelpdesk.worldbank.org/knowledgebase/articles/906519-world-bank-country-and-lending-groups</w:t>
            </w:r>
          </w:p>
        </w:tc>
        <w:tc>
          <w:tcPr>
            <w:tcW w:w="1500" w:type="dxa"/>
          </w:tcPr>
          <w:p w14:paraId="2547E70A" w14:textId="77777777" w:rsidR="00FB4DC8" w:rsidRDefault="00000000">
            <w:r>
              <w:rPr>
                <w:sz w:val="16"/>
              </w:rPr>
              <w:t>income_classification_fy26.csv</w:t>
            </w:r>
          </w:p>
        </w:tc>
      </w:tr>
      <w:tr w:rsidR="00FB4DC8" w14:paraId="1F0DFF86" w14:textId="77777777">
        <w:tblPrEx>
          <w:tblCellMar>
            <w:top w:w="0" w:type="dxa"/>
            <w:bottom w:w="0" w:type="dxa"/>
          </w:tblCellMar>
        </w:tblPrEx>
        <w:tc>
          <w:tcPr>
            <w:tcW w:w="1800" w:type="dxa"/>
          </w:tcPr>
          <w:p w14:paraId="3F4C4406" w14:textId="77777777" w:rsidR="00FB4DC8" w:rsidRDefault="00000000">
            <w:r>
              <w:rPr>
                <w:sz w:val="16"/>
              </w:rPr>
              <w:t>International Energy Agency</w:t>
            </w:r>
          </w:p>
        </w:tc>
        <w:tc>
          <w:tcPr>
            <w:tcW w:w="1500" w:type="dxa"/>
          </w:tcPr>
          <w:p w14:paraId="6BDA79F0" w14:textId="77777777" w:rsidR="00FB4DC8" w:rsidRDefault="00000000">
            <w:r>
              <w:rPr>
                <w:sz w:val="16"/>
              </w:rPr>
              <w:t>Household electrification and affordability markers</w:t>
            </w:r>
          </w:p>
        </w:tc>
        <w:tc>
          <w:tcPr>
            <w:tcW w:w="1100" w:type="dxa"/>
          </w:tcPr>
          <w:p w14:paraId="3784CB46" w14:textId="77777777" w:rsidR="00FB4DC8" w:rsidRDefault="00000000">
            <w:r>
              <w:rPr>
                <w:sz w:val="16"/>
              </w:rPr>
              <w:t>2000, 2019, 2024</w:t>
            </w:r>
          </w:p>
        </w:tc>
        <w:tc>
          <w:tcPr>
            <w:tcW w:w="1100" w:type="dxa"/>
          </w:tcPr>
          <w:p w14:paraId="7C77033C" w14:textId="77777777" w:rsidR="00FB4DC8" w:rsidRDefault="00000000">
            <w:r>
              <w:rPr>
                <w:sz w:val="16"/>
              </w:rPr>
              <w:t>Public</w:t>
            </w:r>
          </w:p>
        </w:tc>
        <w:tc>
          <w:tcPr>
            <w:tcW w:w="2360" w:type="dxa"/>
          </w:tcPr>
          <w:p w14:paraId="7CC40795" w14:textId="77777777" w:rsidR="00FB4DC8" w:rsidRDefault="00000000">
            <w:r>
              <w:rPr>
                <w:sz w:val="16"/>
              </w:rPr>
              <w:t>iea.org/reports/household-energy-affordability</w:t>
            </w:r>
          </w:p>
        </w:tc>
        <w:tc>
          <w:tcPr>
            <w:tcW w:w="1500" w:type="dxa"/>
          </w:tcPr>
          <w:p w14:paraId="0763E9D3" w14:textId="77777777" w:rsidR="00FB4DC8" w:rsidRDefault="00000000">
            <w:r>
              <w:rPr>
                <w:sz w:val="16"/>
              </w:rPr>
              <w:t>published contextual values; no raw series used</w:t>
            </w:r>
          </w:p>
        </w:tc>
      </w:tr>
    </w:tbl>
    <w:p w14:paraId="7710702C" w14:textId="77777777" w:rsidR="00FB4DC8" w:rsidRDefault="00000000">
      <w:pPr>
        <w:spacing w:after="140" w:line="320" w:lineRule="auto"/>
        <w:jc w:val="both"/>
      </w:pPr>
      <w:r>
        <w:t xml:space="preserve"> </w:t>
      </w:r>
    </w:p>
    <w:p w14:paraId="4CAC468A" w14:textId="77777777" w:rsidR="00FB4DC8" w:rsidRDefault="00000000">
      <w:pPr>
        <w:pStyle w:val="Heading1"/>
        <w:keepNext/>
      </w:pPr>
      <w:r>
        <w:lastRenderedPageBreak/>
        <w:t>Supplementary Note 3 | Data-processing pipeline</w:t>
      </w:r>
    </w:p>
    <w:p w14:paraId="081AEE08" w14:textId="77777777" w:rsidR="00FB4DC8" w:rsidRDefault="00000000">
      <w:pPr>
        <w:spacing w:after="140" w:line="320" w:lineRule="auto"/>
        <w:jc w:val="both"/>
      </w:pPr>
      <w:r>
        <w:t>The archived pipeline reads nine raw files and produces five processed files in /01_data/processed/. Auxiliary files retained for provenance are distinguished below from inputs used in the reported results:</w:t>
      </w:r>
    </w:p>
    <w:p w14:paraId="0C2A70D7" w14:textId="77777777" w:rsidR="00FB4DC8" w:rsidRDefault="00000000">
      <w:pPr>
        <w:pStyle w:val="ListParagraph"/>
        <w:numPr>
          <w:ilvl w:val="0"/>
          <w:numId w:val="2"/>
        </w:numPr>
        <w:spacing w:after="60" w:line="280" w:lineRule="auto"/>
      </w:pPr>
      <w:r>
        <w:rPr>
          <w:sz w:val="20"/>
          <w:szCs w:val="20"/>
        </w:rPr>
        <w:t>monthly_panel.csv — 316 monthly observations (2000-01 to 2026-04) × 40 columns merging Brent, GPR (aggregate plus country decompositions), copper/nickel/iron-ore/aluminium and globally-aggregated solar+wind generation.</w:t>
      </w:r>
    </w:p>
    <w:p w14:paraId="5337A9F7" w14:textId="77777777" w:rsidR="00FB4DC8" w:rsidRDefault="00000000">
      <w:pPr>
        <w:pStyle w:val="ListParagraph"/>
        <w:numPr>
          <w:ilvl w:val="0"/>
          <w:numId w:val="2"/>
        </w:numPr>
        <w:spacing w:after="60" w:line="280" w:lineRule="auto"/>
      </w:pPr>
      <w:r>
        <w:rPr>
          <w:sz w:val="20"/>
          <w:szCs w:val="20"/>
        </w:rPr>
        <w:t>country_year_capacity.csv — country×year Solar (total) + Wind (total) installed-capacity panel: 222 ISO-coded entities and 4,269 non-missing country-year observations (2000–2024). The 222×25 product equals 5,550, so the panel is unbalanced; rows with missing or zero stock are dropped before event-study fitting.</w:t>
      </w:r>
    </w:p>
    <w:p w14:paraId="19805BF9" w14:textId="77777777" w:rsidR="00FB4DC8" w:rsidRDefault="00000000">
      <w:pPr>
        <w:pStyle w:val="ListParagraph"/>
        <w:numPr>
          <w:ilvl w:val="0"/>
          <w:numId w:val="2"/>
        </w:numPr>
        <w:spacing w:after="60" w:line="280" w:lineRule="auto"/>
      </w:pPr>
      <w:r>
        <w:rPr>
          <w:sz w:val="20"/>
          <w:szCs w:val="20"/>
        </w:rPr>
        <w:t>country_quarter.csv — full Ember country×quarter solar+wind generation panel.</w:t>
      </w:r>
    </w:p>
    <w:p w14:paraId="6C5520DE" w14:textId="77777777" w:rsidR="00FB4DC8" w:rsidRDefault="00000000">
      <w:pPr>
        <w:pStyle w:val="ListParagraph"/>
        <w:numPr>
          <w:ilvl w:val="0"/>
          <w:numId w:val="2"/>
        </w:numPr>
        <w:spacing w:after="60" w:line="280" w:lineRule="auto"/>
      </w:pPr>
      <w:r>
        <w:t>alignment_scores.csv — archived UN-voting ideal-point scores; retained as an auxiliary provenance file but not used in the reported v3.5 results.</w:t>
      </w:r>
    </w:p>
    <w:p w14:paraId="18DAD472" w14:textId="77777777" w:rsidR="00FB4DC8" w:rsidRDefault="00000000">
      <w:pPr>
        <w:pStyle w:val="ListParagraph"/>
        <w:numPr>
          <w:ilvl w:val="0"/>
          <w:numId w:val="2"/>
        </w:numPr>
        <w:spacing w:after="60" w:line="280" w:lineRule="auto"/>
      </w:pPr>
      <w:r>
        <w:rPr>
          <w:sz w:val="20"/>
          <w:szCs w:val="20"/>
        </w:rPr>
        <w:t>oil_rents.csv — World Bank Oil rents (% of GDP) by country×year.</w:t>
      </w:r>
    </w:p>
    <w:p w14:paraId="1E14CD31" w14:textId="77777777" w:rsidR="00FB4DC8" w:rsidRDefault="00000000">
      <w:pPr>
        <w:pStyle w:val="Heading1"/>
        <w:keepNext/>
      </w:pPr>
      <w:r>
        <w:t>Supplementary Note 4 | Event-study procedure</w:t>
      </w:r>
    </w:p>
    <w:p w14:paraId="1F1097FC" w14:textId="77777777" w:rsidR="00FB4DC8" w:rsidRDefault="00000000">
      <w:pPr>
        <w:spacing w:after="140" w:line="320" w:lineRule="auto"/>
        <w:jc w:val="both"/>
      </w:pPr>
      <w:r>
        <w:t>For each shock year T ∈ {2008, 2014, 2020, 2022} and country c with at least 50 MW of solar plus wind capacity at T−1, we fit a log-linear trend to the available non-zero observations in the four-year window T−4,…,T−1, requiring at least three observations, and project the trend to h ∈ {0,1,2}. The percentage gap is:</w:t>
      </w:r>
    </w:p>
    <w:p w14:paraId="5AA36773" w14:textId="77777777" w:rsidR="00FB4DC8" w:rsidRDefault="00000000">
      <w:pPr>
        <w:spacing w:after="60"/>
      </w:pPr>
      <w:r>
        <w:t>gap</w:t>
      </w:r>
      <w:r>
        <w:rPr>
          <w:vertAlign w:val="subscript"/>
        </w:rPr>
        <w:t>c,T+h</w:t>
      </w:r>
      <w:r>
        <w:t xml:space="preserve"> = 100 × (K</w:t>
      </w:r>
      <w:r>
        <w:rPr>
          <w:vertAlign w:val="subscript"/>
        </w:rPr>
        <w:t>c,T+h</w:t>
      </w:r>
      <w:r>
        <w:t xml:space="preserve"> − K̂</w:t>
      </w:r>
      <w:r>
        <w:rPr>
          <w:vertAlign w:val="subscript"/>
        </w:rPr>
        <w:t>c,T+h</w:t>
      </w:r>
      <w:r>
        <w:t>) / K̂</w:t>
      </w:r>
      <w:r>
        <w:rPr>
          <w:vertAlign w:val="subscript"/>
        </w:rPr>
        <w:t>c,T+h</w:t>
      </w:r>
    </w:p>
    <w:p w14:paraId="49C49CDD" w14:textId="77777777" w:rsidR="00FB4DC8" w:rsidRDefault="00000000">
      <w:pPr>
        <w:spacing w:after="140" w:line="320" w:lineRule="auto"/>
        <w:jc w:val="both"/>
      </w:pPr>
      <w:r>
        <w:t>where K̂</w:t>
      </w:r>
      <w:r>
        <w:rPr>
          <w:vertAlign w:val="subscript"/>
        </w:rPr>
        <w:t>c,T+h</w:t>
      </w:r>
      <w:r>
        <w:t xml:space="preserve"> = exp(α̂</w:t>
      </w:r>
      <w:r>
        <w:rPr>
          <w:vertAlign w:val="subscript"/>
        </w:rPr>
        <w:t>c</w:t>
      </w:r>
      <w:r>
        <w:t xml:space="preserve"> + β̂</w:t>
      </w:r>
      <w:r>
        <w:rPr>
          <w:vertAlign w:val="subscript"/>
        </w:rPr>
        <w:t>c</w:t>
      </w:r>
      <w:r>
        <w:t>(T+h)) is the projected value from the country-specific fit. The use of available non-zero observations, rather than requiring exactly four observations, is necessary for three included country–shock cases.</w:t>
      </w:r>
    </w:p>
    <w:p w14:paraId="16C2AE51" w14:textId="77777777" w:rsidR="00FB4DC8" w:rsidRDefault="00000000">
      <w:pPr>
        <w:pStyle w:val="Heading2"/>
        <w:keepNext/>
      </w:pPr>
      <w:r>
        <w:t>Pre-window completeness</w:t>
      </w:r>
    </w:p>
    <w:p w14:paraId="45A61FB5" w14:textId="77777777" w:rsidR="00FB4DC8" w:rsidRDefault="00000000">
      <w:r>
        <w:t>All included country–shock cases use four pre-shock observations except Dominican Republic for the 2014 shock, and Hong Kong and Montenegro for the 2020 shock; each of these has three valid non-zero observations. Excluding these three cases does not change the rounded headline medians or aggregate conclusions. This implementation detail is now stated explicitly because it is required to reproduce the published values.</w:t>
      </w:r>
    </w:p>
    <w:p w14:paraId="111B4B22" w14:textId="77777777" w:rsidR="00FB4DC8" w:rsidRDefault="00000000">
      <w:pPr>
        <w:pStyle w:val="Heading2"/>
        <w:keepNext/>
      </w:pPr>
      <w:r>
        <w:t>Shock identification</w:t>
      </w:r>
    </w:p>
    <w:p w14:paraId="5F1E0BCD" w14:textId="77777777" w:rsidR="00FB4DC8" w:rsidRDefault="00000000">
      <w:pPr>
        <w:spacing w:after="140" w:line="320" w:lineRule="auto"/>
        <w:jc w:val="both"/>
      </w:pPr>
      <w:r>
        <w:t>Each named shock is treated as a common global episode rather than as a unit-level treatment. The dates are chosen from widely documented financial, oil-market, pandemic and geopolitical events. Because all countries are exposed and there is no untreated donor pool, the design is not a difference-in-differences or synthetic-control estimator</w:t>
      </w:r>
      <w:r>
        <w:rPr>
          <w:vertAlign w:val="superscript"/>
        </w:rPr>
        <w:t>31,32,21,22</w:t>
      </w:r>
      <w:r>
        <w:t>.</w:t>
      </w:r>
    </w:p>
    <w:p w14:paraId="1EB79702" w14:textId="77777777" w:rsidR="00FB4DC8" w:rsidRDefault="00000000">
      <w:pPr>
        <w:pStyle w:val="Heading2"/>
        <w:keepNext/>
      </w:pPr>
      <w:r>
        <w:lastRenderedPageBreak/>
        <w:t>The ≥50 MW filter</w:t>
      </w:r>
    </w:p>
    <w:p w14:paraId="0428F1E9" w14:textId="77777777" w:rsidR="00FB4DC8" w:rsidRDefault="00000000">
      <w:pPr>
        <w:spacing w:after="140" w:line="320" w:lineRule="auto"/>
        <w:jc w:val="both"/>
      </w:pPr>
      <w:r>
        <w:t>Countries below 50 MW of pre-shock solar plus wind capacity are excluded from the primary specification to avoid unstable percentage gaps from very small projected denominators. This creates an established-adopter sample. The IHS analysis in Supplementary Note 7 removes this threshold.</w:t>
      </w:r>
    </w:p>
    <w:p w14:paraId="31D52461" w14:textId="77777777" w:rsidR="00FB4DC8" w:rsidRDefault="00000000">
      <w:pPr>
        <w:pStyle w:val="Heading1"/>
        <w:keepNext/>
      </w:pPr>
      <w:r>
        <w:t>Supplementary Note 5 | Distributional measures and the G-based decomposition</w:t>
      </w:r>
    </w:p>
    <w:p w14:paraId="58E16192" w14:textId="77777777" w:rsidR="00FB4DC8" w:rsidRDefault="00000000">
      <w:pPr>
        <w:spacing w:after="140" w:line="320" w:lineRule="auto"/>
        <w:jc w:val="both"/>
      </w:pPr>
      <w:r>
        <w:t>The true aggregate gap G_{T+h} is the deviation of the sum of observed capacities from the sum of projected capacities:</w:t>
      </w:r>
    </w:p>
    <w:p w14:paraId="5969110E" w14:textId="77777777" w:rsidR="00FB4DC8" w:rsidRDefault="00000000">
      <w:pPr>
        <w:spacing w:after="60"/>
      </w:pPr>
      <w:r>
        <w:rPr>
          <w:rFonts w:ascii="Consolas" w:eastAsia="Consolas" w:hAnsi="Consolas" w:cs="Consolas"/>
          <w:sz w:val="18"/>
          <w:szCs w:val="18"/>
        </w:rPr>
        <w:t xml:space="preserve">    G_{T+h} = 100 × (Σ_c K_{c,T+h} − Σ_c K̂_{c,T+h}) / Σ_c K̂_{c,T+h}</w:t>
      </w:r>
    </w:p>
    <w:p w14:paraId="2EC018F5" w14:textId="77777777" w:rsidR="00FB4DC8" w:rsidRDefault="00000000">
      <w:pPr>
        <w:spacing w:after="140" w:line="320" w:lineRule="auto"/>
        <w:jc w:val="both"/>
      </w:pPr>
      <w:r>
        <w:t>This is the conventional aggregate deviation and equals the projected-capacity-weighted mean of country percentage gaps. Other weighted means, including pre-shock-stock weighting, are mathematically different and are not used as substitutes for G.</w:t>
      </w:r>
    </w:p>
    <w:p w14:paraId="1A8A44CD" w14:textId="77777777" w:rsidR="00FB4DC8" w:rsidRDefault="00000000">
      <w:pPr>
        <w:pStyle w:val="Heading2"/>
        <w:keepNext/>
      </w:pPr>
      <w:r>
        <w:t>Unweighted country mean and country median</w:t>
      </w:r>
    </w:p>
    <w:p w14:paraId="457E1F20" w14:textId="77777777" w:rsidR="00FB4DC8" w:rsidRDefault="00000000">
      <w:pPr>
        <w:spacing w:after="140" w:line="320" w:lineRule="auto"/>
        <w:jc w:val="both"/>
      </w:pPr>
      <w:r>
        <w:t>The unweighted mean μ</w:t>
      </w:r>
      <w:r>
        <w:rPr>
          <w:vertAlign w:val="subscript"/>
        </w:rPr>
        <w:t>T+h</w:t>
      </w:r>
      <w:r>
        <w:t xml:space="preserve"> gives each country equal weight. The median m</w:t>
      </w:r>
      <w:r>
        <w:rPr>
          <w:vertAlign w:val="subscript"/>
        </w:rPr>
        <w:t>T+h</w:t>
      </w:r>
      <w:r>
        <w:t xml:space="preserve"> is the 50th percentile of the country-gap distribution. Two-sided 95% percentile-bootstrap confidence intervals use 10,000 country-resampling draws with fixed random seed 20260618. The fixed seed resolves small endpoint differences that arose across earlier unfixed bootstrap runs.</w:t>
      </w:r>
    </w:p>
    <w:p w14:paraId="127CE060" w14:textId="77777777" w:rsidR="00FB4DC8" w:rsidRDefault="00000000">
      <w:pPr>
        <w:pStyle w:val="Heading2"/>
        <w:keepNext/>
      </w:pPr>
      <w:r>
        <w:t>G-based decomposition</w:t>
      </w:r>
    </w:p>
    <w:p w14:paraId="5BB87CDE" w14:textId="77777777" w:rsidR="00FB4DC8" w:rsidRDefault="00000000">
      <w:pPr>
        <w:spacing w:after="140" w:line="320" w:lineRule="auto"/>
        <w:jc w:val="both"/>
      </w:pPr>
      <w:r>
        <w:t>The difference between the aggregate and median can be written G − m = (G − μ) + (μ − m). The term G − μ describes the contribution of projected-capacity weighting, while μ − m describes distributional asymmetry. A positive G − μ means countries with greater projected capacity have, on average, less-negative gaps than the equal-country mean. The leave-out test, rather than this algebraic decomposition alone, is the primary evidence on which countries shape the aggregate.</w:t>
      </w:r>
    </w:p>
    <w:p w14:paraId="4F9B411D" w14:textId="77777777" w:rsidR="00FB4DC8" w:rsidRDefault="00000000">
      <w:pPr>
        <w:spacing w:after="60"/>
      </w:pPr>
      <w:r>
        <w:rPr>
          <w:rFonts w:ascii="Consolas" w:eastAsia="Consolas" w:hAnsi="Consolas" w:cs="Consolas"/>
          <w:sz w:val="18"/>
          <w:szCs w:val="18"/>
        </w:rPr>
        <w:t xml:space="preserve">    G − m = (G − μ) + (μ − m)</w:t>
      </w:r>
    </w:p>
    <w:p w14:paraId="121DE807" w14:textId="77777777" w:rsidR="00FB4DC8" w:rsidRDefault="00000000">
      <w:pPr>
        <w:spacing w:after="60"/>
      </w:pPr>
      <w:r>
        <w:rPr>
          <w:rFonts w:ascii="Consolas" w:eastAsia="Consolas" w:hAnsi="Consolas" w:cs="Consolas"/>
          <w:sz w:val="18"/>
          <w:szCs w:val="18"/>
        </w:rPr>
        <w:t xml:space="preserve">              ↑           ↑</w:t>
      </w:r>
    </w:p>
    <w:p w14:paraId="205B1D00" w14:textId="77777777" w:rsidR="00FB4DC8" w:rsidRDefault="00000000">
      <w:pPr>
        <w:spacing w:after="60"/>
      </w:pPr>
      <w:r>
        <w:rPr>
          <w:rFonts w:ascii="Consolas" w:eastAsia="Consolas" w:hAnsi="Consolas" w:cs="Consolas"/>
          <w:sz w:val="18"/>
          <w:szCs w:val="18"/>
        </w:rPr>
        <w:t xml:space="preserve">     concentration  skewness</w:t>
      </w:r>
    </w:p>
    <w:p w14:paraId="62745546" w14:textId="77777777" w:rsidR="00FB4DC8" w:rsidRDefault="00000000">
      <w:pPr>
        <w:spacing w:after="140" w:line="320" w:lineRule="auto"/>
        <w:jc w:val="both"/>
      </w:pPr>
      <w:r>
        <w:t>The concentration component (G − μ) captures the contribution of size-weighting: it is positive when the largest pre-shock-capacity economies experienced more favourable conditions than the average country. The skewness component (μ − m) captures the contribution of distributional tails.</w:t>
      </w:r>
    </w:p>
    <w:p w14:paraId="23F85B30" w14:textId="77777777" w:rsidR="00FB4DC8" w:rsidRDefault="00000000">
      <w:pPr>
        <w:pStyle w:val="Heading2"/>
        <w:keepNext/>
      </w:pPr>
      <w:r>
        <w:t>Supplementary Table 2 | G-based decomposition at t+0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900"/>
        <w:gridCol w:w="1300"/>
        <w:gridCol w:w="1300"/>
        <w:gridCol w:w="1300"/>
        <w:gridCol w:w="1480"/>
        <w:gridCol w:w="1080"/>
      </w:tblGrid>
      <w:tr w:rsidR="00FB4DC8" w14:paraId="40B7B91C" w14:textId="77777777">
        <w:tblPrEx>
          <w:tblCellMar>
            <w:top w:w="0" w:type="dxa"/>
            <w:bottom w:w="0" w:type="dxa"/>
          </w:tblCellMar>
        </w:tblPrEx>
        <w:trPr>
          <w:tblHeader/>
        </w:trPr>
        <w:tc>
          <w:tcPr>
            <w:tcW w:w="2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09CF047A" w14:textId="77777777" w:rsidR="00FB4DC8" w:rsidRDefault="00000000">
            <w:pPr>
              <w:spacing w:line="260" w:lineRule="auto"/>
            </w:pPr>
            <w:r>
              <w:rPr>
                <w:rFonts w:ascii="Calibri" w:eastAsia="Calibri" w:hAnsi="Calibri" w:cs="Calibri"/>
                <w:b/>
                <w:bCs/>
                <w:color w:val="FFFFFF"/>
                <w:sz w:val="18"/>
                <w:szCs w:val="18"/>
              </w:rPr>
              <w:t>Shock</w:t>
            </w:r>
          </w:p>
        </w:tc>
        <w:tc>
          <w:tcPr>
            <w:tcW w:w="9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65EB6D19" w14:textId="77777777" w:rsidR="00FB4DC8" w:rsidRDefault="00000000">
            <w:pPr>
              <w:spacing w:line="260" w:lineRule="auto"/>
              <w:jc w:val="center"/>
            </w:pPr>
            <w:r>
              <w:rPr>
                <w:rFonts w:ascii="Calibri" w:eastAsia="Calibri" w:hAnsi="Calibri" w:cs="Calibri"/>
                <w:b/>
                <w:bCs/>
                <w:color w:val="FFFFFF"/>
                <w:sz w:val="18"/>
                <w:szCs w:val="18"/>
              </w:rPr>
              <w:t>n</w:t>
            </w:r>
          </w:p>
        </w:tc>
        <w:tc>
          <w:tcPr>
            <w:tcW w:w="13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13C53B71" w14:textId="77777777" w:rsidR="00FB4DC8" w:rsidRDefault="00000000">
            <w:pPr>
              <w:spacing w:line="260" w:lineRule="auto"/>
              <w:jc w:val="center"/>
            </w:pPr>
            <w:r>
              <w:rPr>
                <w:rFonts w:ascii="Calibri" w:eastAsia="Calibri" w:hAnsi="Calibri" w:cs="Calibri"/>
                <w:b/>
                <w:bCs/>
                <w:color w:val="FFFFFF"/>
                <w:sz w:val="18"/>
                <w:szCs w:val="18"/>
              </w:rPr>
              <w:t>True agg G</w:t>
            </w:r>
          </w:p>
        </w:tc>
        <w:tc>
          <w:tcPr>
            <w:tcW w:w="13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10860BFC" w14:textId="77777777" w:rsidR="00FB4DC8" w:rsidRDefault="00000000">
            <w:pPr>
              <w:spacing w:line="260" w:lineRule="auto"/>
              <w:jc w:val="center"/>
            </w:pPr>
            <w:r>
              <w:rPr>
                <w:rFonts w:ascii="Calibri" w:eastAsia="Calibri" w:hAnsi="Calibri" w:cs="Calibri"/>
                <w:b/>
                <w:bCs/>
                <w:color w:val="FFFFFF"/>
                <w:sz w:val="18"/>
                <w:szCs w:val="18"/>
              </w:rPr>
              <w:t>Unweighted μ</w:t>
            </w:r>
          </w:p>
        </w:tc>
        <w:tc>
          <w:tcPr>
            <w:tcW w:w="13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0186834A" w14:textId="77777777" w:rsidR="00FB4DC8" w:rsidRDefault="00000000">
            <w:pPr>
              <w:spacing w:line="260" w:lineRule="auto"/>
              <w:jc w:val="center"/>
            </w:pPr>
            <w:r>
              <w:rPr>
                <w:rFonts w:ascii="Calibri" w:eastAsia="Calibri" w:hAnsi="Calibri" w:cs="Calibri"/>
                <w:b/>
                <w:bCs/>
                <w:color w:val="FFFFFF"/>
                <w:sz w:val="18"/>
                <w:szCs w:val="18"/>
              </w:rPr>
              <w:t>Median m</w:t>
            </w:r>
          </w:p>
        </w:tc>
        <w:tc>
          <w:tcPr>
            <w:tcW w:w="148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20675EF7" w14:textId="77777777" w:rsidR="00FB4DC8" w:rsidRDefault="00000000">
            <w:pPr>
              <w:spacing w:line="260" w:lineRule="auto"/>
              <w:jc w:val="center"/>
            </w:pPr>
            <w:r>
              <w:rPr>
                <w:rFonts w:ascii="Calibri" w:eastAsia="Calibri" w:hAnsi="Calibri" w:cs="Calibri"/>
                <w:b/>
                <w:bCs/>
                <w:color w:val="FFFFFF"/>
                <w:sz w:val="18"/>
                <w:szCs w:val="18"/>
              </w:rPr>
              <w:t>G − μ (concentration)</w:t>
            </w:r>
          </w:p>
        </w:tc>
        <w:tc>
          <w:tcPr>
            <w:tcW w:w="108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38B2DC3C" w14:textId="77777777" w:rsidR="00FB4DC8" w:rsidRDefault="00000000">
            <w:pPr>
              <w:spacing w:line="260" w:lineRule="auto"/>
              <w:jc w:val="center"/>
            </w:pPr>
            <w:r>
              <w:rPr>
                <w:rFonts w:ascii="Calibri" w:eastAsia="Calibri" w:hAnsi="Calibri" w:cs="Calibri"/>
                <w:b/>
                <w:bCs/>
                <w:color w:val="FFFFFF"/>
                <w:sz w:val="18"/>
                <w:szCs w:val="18"/>
              </w:rPr>
              <w:t>μ − m (skewness)</w:t>
            </w:r>
          </w:p>
        </w:tc>
      </w:tr>
      <w:tr w:rsidR="00FB4DC8" w14:paraId="75E50DCD"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453818" w14:textId="77777777" w:rsidR="00FB4DC8" w:rsidRDefault="00000000">
            <w:pPr>
              <w:spacing w:line="260" w:lineRule="auto"/>
            </w:pPr>
            <w:r>
              <w:rPr>
                <w:rFonts w:ascii="Calibri" w:eastAsia="Calibri" w:hAnsi="Calibri" w:cs="Calibri"/>
                <w:sz w:val="18"/>
                <w:szCs w:val="18"/>
              </w:rPr>
              <w:t>2008 GFC</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185D126" w14:textId="77777777" w:rsidR="00FB4DC8" w:rsidRDefault="00000000">
            <w:pPr>
              <w:spacing w:line="260" w:lineRule="auto"/>
              <w:jc w:val="center"/>
            </w:pPr>
            <w:r>
              <w:rPr>
                <w:rFonts w:ascii="Calibri" w:eastAsia="Calibri" w:hAnsi="Calibri" w:cs="Calibri"/>
                <w:sz w:val="18"/>
                <w:szCs w:val="18"/>
              </w:rPr>
              <w:t>37</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5B5963E" w14:textId="77777777" w:rsidR="00FB4DC8" w:rsidRDefault="00000000">
            <w:pPr>
              <w:spacing w:line="260" w:lineRule="auto"/>
              <w:jc w:val="center"/>
            </w:pPr>
            <w:r>
              <w:rPr>
                <w:rFonts w:ascii="Calibri" w:eastAsia="Calibri" w:hAnsi="Calibri" w:cs="Calibri"/>
                <w:sz w:val="18"/>
                <w:szCs w:val="18"/>
              </w:rPr>
              <w:t>−0.3%</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2519088" w14:textId="77777777" w:rsidR="00FB4DC8" w:rsidRDefault="00000000">
            <w:pPr>
              <w:spacing w:line="260" w:lineRule="auto"/>
              <w:jc w:val="center"/>
            </w:pPr>
            <w:r>
              <w:rPr>
                <w:rFonts w:ascii="Calibri" w:eastAsia="Calibri" w:hAnsi="Calibri" w:cs="Calibri"/>
                <w:sz w:val="18"/>
                <w:szCs w:val="18"/>
              </w:rPr>
              <w:t>−7.9%</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E227A3C" w14:textId="77777777" w:rsidR="00FB4DC8" w:rsidRDefault="00000000">
            <w:pPr>
              <w:spacing w:line="260" w:lineRule="auto"/>
              <w:jc w:val="center"/>
            </w:pPr>
            <w:r>
              <w:rPr>
                <w:rFonts w:ascii="Calibri" w:eastAsia="Calibri" w:hAnsi="Calibri" w:cs="Calibri"/>
                <w:sz w:val="18"/>
                <w:szCs w:val="18"/>
              </w:rPr>
              <w:t>−3.9%</w:t>
            </w:r>
          </w:p>
        </w:tc>
        <w:tc>
          <w:tcPr>
            <w:tcW w:w="14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B83EEA" w14:textId="77777777" w:rsidR="00FB4DC8" w:rsidRDefault="00000000">
            <w:pPr>
              <w:spacing w:line="260" w:lineRule="auto"/>
              <w:jc w:val="center"/>
            </w:pPr>
            <w:r>
              <w:rPr>
                <w:rFonts w:ascii="Calibri" w:eastAsia="Calibri" w:hAnsi="Calibri" w:cs="Calibri"/>
                <w:b/>
                <w:bCs/>
                <w:sz w:val="18"/>
                <w:szCs w:val="18"/>
              </w:rPr>
              <w:t>+7.6 pp</w:t>
            </w:r>
          </w:p>
        </w:tc>
        <w:tc>
          <w:tcPr>
            <w:tcW w:w="10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6527F29" w14:textId="77777777" w:rsidR="00FB4DC8" w:rsidRDefault="00000000">
            <w:pPr>
              <w:spacing w:line="260" w:lineRule="auto"/>
              <w:jc w:val="center"/>
            </w:pPr>
            <w:r>
              <w:rPr>
                <w:rFonts w:ascii="Calibri" w:eastAsia="Calibri" w:hAnsi="Calibri" w:cs="Calibri"/>
                <w:sz w:val="18"/>
                <w:szCs w:val="18"/>
              </w:rPr>
              <w:t>−4.0 pp</w:t>
            </w:r>
          </w:p>
        </w:tc>
      </w:tr>
      <w:tr w:rsidR="00FB4DC8" w14:paraId="5DD71857"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4F5D5E" w14:textId="77777777" w:rsidR="00FB4DC8" w:rsidRDefault="00000000">
            <w:pPr>
              <w:spacing w:line="260" w:lineRule="auto"/>
            </w:pPr>
            <w:r>
              <w:rPr>
                <w:rFonts w:ascii="Calibri" w:eastAsia="Calibri" w:hAnsi="Calibri" w:cs="Calibri"/>
                <w:sz w:val="18"/>
                <w:szCs w:val="18"/>
              </w:rPr>
              <w:t>2014 oil crash</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BDCE91" w14:textId="77777777" w:rsidR="00FB4DC8" w:rsidRDefault="00000000">
            <w:pPr>
              <w:spacing w:line="260" w:lineRule="auto"/>
              <w:jc w:val="center"/>
            </w:pPr>
            <w:r>
              <w:rPr>
                <w:rFonts w:ascii="Calibri" w:eastAsia="Calibri" w:hAnsi="Calibri" w:cs="Calibri"/>
                <w:sz w:val="18"/>
                <w:szCs w:val="18"/>
              </w:rPr>
              <w:t>70</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6AA6E69" w14:textId="77777777" w:rsidR="00FB4DC8" w:rsidRDefault="00000000">
            <w:pPr>
              <w:spacing w:line="260" w:lineRule="auto"/>
              <w:jc w:val="center"/>
            </w:pPr>
            <w:r>
              <w:rPr>
                <w:rFonts w:ascii="Calibri" w:eastAsia="Calibri" w:hAnsi="Calibri" w:cs="Calibri"/>
                <w:sz w:val="18"/>
                <w:szCs w:val="18"/>
              </w:rPr>
              <w:t>−12.4%</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5A94E6" w14:textId="77777777" w:rsidR="00FB4DC8" w:rsidRDefault="00000000">
            <w:pPr>
              <w:spacing w:line="260" w:lineRule="auto"/>
              <w:jc w:val="center"/>
            </w:pPr>
            <w:r>
              <w:rPr>
                <w:rFonts w:ascii="Calibri" w:eastAsia="Calibri" w:hAnsi="Calibri" w:cs="Calibri"/>
                <w:sz w:val="18"/>
                <w:szCs w:val="18"/>
              </w:rPr>
              <w:t>−4.7%</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50F24D5" w14:textId="77777777" w:rsidR="00FB4DC8" w:rsidRDefault="00000000">
            <w:pPr>
              <w:spacing w:line="260" w:lineRule="auto"/>
              <w:jc w:val="center"/>
            </w:pPr>
            <w:r>
              <w:rPr>
                <w:rFonts w:ascii="Calibri" w:eastAsia="Calibri" w:hAnsi="Calibri" w:cs="Calibri"/>
                <w:sz w:val="18"/>
                <w:szCs w:val="18"/>
              </w:rPr>
              <w:t>−11.2%</w:t>
            </w:r>
          </w:p>
        </w:tc>
        <w:tc>
          <w:tcPr>
            <w:tcW w:w="14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104BAB9" w14:textId="77777777" w:rsidR="00FB4DC8" w:rsidRDefault="00000000">
            <w:pPr>
              <w:spacing w:line="260" w:lineRule="auto"/>
              <w:jc w:val="center"/>
            </w:pPr>
            <w:r>
              <w:rPr>
                <w:rFonts w:ascii="Calibri" w:eastAsia="Calibri" w:hAnsi="Calibri" w:cs="Calibri"/>
                <w:b/>
                <w:bCs/>
                <w:sz w:val="18"/>
                <w:szCs w:val="18"/>
              </w:rPr>
              <w:t>−7.7 pp</w:t>
            </w:r>
          </w:p>
        </w:tc>
        <w:tc>
          <w:tcPr>
            <w:tcW w:w="10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7C1FA7" w14:textId="77777777" w:rsidR="00FB4DC8" w:rsidRDefault="00000000">
            <w:pPr>
              <w:spacing w:line="260" w:lineRule="auto"/>
              <w:jc w:val="center"/>
            </w:pPr>
            <w:r>
              <w:rPr>
                <w:rFonts w:ascii="Calibri" w:eastAsia="Calibri" w:hAnsi="Calibri" w:cs="Calibri"/>
                <w:sz w:val="18"/>
                <w:szCs w:val="18"/>
              </w:rPr>
              <w:t>+6.5 pp</w:t>
            </w:r>
          </w:p>
        </w:tc>
      </w:tr>
      <w:tr w:rsidR="00FB4DC8" w14:paraId="606E094E"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FCDB72C" w14:textId="77777777" w:rsidR="00FB4DC8" w:rsidRDefault="00000000">
            <w:pPr>
              <w:spacing w:line="260" w:lineRule="auto"/>
            </w:pPr>
            <w:r>
              <w:rPr>
                <w:rFonts w:ascii="Calibri" w:eastAsia="Calibri" w:hAnsi="Calibri" w:cs="Calibri"/>
                <w:sz w:val="18"/>
                <w:szCs w:val="18"/>
              </w:rPr>
              <w:lastRenderedPageBreak/>
              <w:t>2020 COVID</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1F8C63D" w14:textId="77777777" w:rsidR="00FB4DC8" w:rsidRDefault="00000000">
            <w:pPr>
              <w:spacing w:line="260" w:lineRule="auto"/>
              <w:jc w:val="center"/>
            </w:pPr>
            <w:r>
              <w:rPr>
                <w:rFonts w:ascii="Calibri" w:eastAsia="Calibri" w:hAnsi="Calibri" w:cs="Calibri"/>
                <w:sz w:val="18"/>
                <w:szCs w:val="18"/>
              </w:rPr>
              <w:t>116</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FD9CEEE" w14:textId="77777777" w:rsidR="00FB4DC8" w:rsidRDefault="00000000">
            <w:pPr>
              <w:spacing w:line="260" w:lineRule="auto"/>
              <w:jc w:val="center"/>
            </w:pPr>
            <w:r>
              <w:rPr>
                <w:rFonts w:ascii="Calibri" w:eastAsia="Calibri" w:hAnsi="Calibri" w:cs="Calibri"/>
                <w:sz w:val="18"/>
                <w:szCs w:val="18"/>
              </w:rPr>
              <w:t>+0.4%</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1E43FD9" w14:textId="77777777" w:rsidR="00FB4DC8" w:rsidRDefault="00000000">
            <w:pPr>
              <w:spacing w:line="260" w:lineRule="auto"/>
              <w:jc w:val="center"/>
            </w:pPr>
            <w:r>
              <w:rPr>
                <w:rFonts w:ascii="Calibri" w:eastAsia="Calibri" w:hAnsi="Calibri" w:cs="Calibri"/>
                <w:sz w:val="18"/>
                <w:szCs w:val="18"/>
              </w:rPr>
              <w:t>−6.0%</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725B4C" w14:textId="77777777" w:rsidR="00FB4DC8" w:rsidRDefault="00000000">
            <w:pPr>
              <w:spacing w:line="260" w:lineRule="auto"/>
              <w:jc w:val="center"/>
            </w:pPr>
            <w:r>
              <w:rPr>
                <w:rFonts w:ascii="Calibri" w:eastAsia="Calibri" w:hAnsi="Calibri" w:cs="Calibri"/>
                <w:sz w:val="18"/>
                <w:szCs w:val="18"/>
              </w:rPr>
              <w:t>−3.4%</w:t>
            </w:r>
          </w:p>
        </w:tc>
        <w:tc>
          <w:tcPr>
            <w:tcW w:w="14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2548EE" w14:textId="77777777" w:rsidR="00FB4DC8" w:rsidRDefault="00000000">
            <w:pPr>
              <w:spacing w:line="260" w:lineRule="auto"/>
              <w:jc w:val="center"/>
            </w:pPr>
            <w:r>
              <w:rPr>
                <w:rFonts w:ascii="Calibri" w:eastAsia="Calibri" w:hAnsi="Calibri" w:cs="Calibri"/>
                <w:b/>
                <w:bCs/>
                <w:sz w:val="18"/>
                <w:szCs w:val="18"/>
              </w:rPr>
              <w:t>+6.4 pp</w:t>
            </w:r>
          </w:p>
        </w:tc>
        <w:tc>
          <w:tcPr>
            <w:tcW w:w="10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6B8F87" w14:textId="77777777" w:rsidR="00FB4DC8" w:rsidRDefault="00000000">
            <w:pPr>
              <w:spacing w:line="260" w:lineRule="auto"/>
              <w:jc w:val="center"/>
            </w:pPr>
            <w:r>
              <w:rPr>
                <w:rFonts w:ascii="Calibri" w:eastAsia="Calibri" w:hAnsi="Calibri" w:cs="Calibri"/>
                <w:sz w:val="18"/>
                <w:szCs w:val="18"/>
              </w:rPr>
              <w:t>−2.6 pp</w:t>
            </w:r>
          </w:p>
        </w:tc>
      </w:tr>
      <w:tr w:rsidR="00FB4DC8" w14:paraId="545B77B7" w14:textId="77777777">
        <w:tblPrEx>
          <w:tblCellMar>
            <w:top w:w="0" w:type="dxa"/>
            <w:bottom w:w="0" w:type="dxa"/>
          </w:tblCellMar>
        </w:tblPrEx>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67D850" w14:textId="77777777" w:rsidR="00FB4DC8" w:rsidRDefault="00000000">
            <w:pPr>
              <w:spacing w:line="260" w:lineRule="auto"/>
            </w:pPr>
            <w:r>
              <w:rPr>
                <w:rFonts w:ascii="Calibri" w:eastAsia="Calibri" w:hAnsi="Calibri" w:cs="Calibri"/>
                <w:sz w:val="18"/>
                <w:szCs w:val="18"/>
              </w:rPr>
              <w:t>2022 R–U</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2E2733E" w14:textId="77777777" w:rsidR="00FB4DC8" w:rsidRDefault="00000000">
            <w:pPr>
              <w:spacing w:line="260" w:lineRule="auto"/>
              <w:jc w:val="center"/>
            </w:pPr>
            <w:r>
              <w:rPr>
                <w:rFonts w:ascii="Calibri" w:eastAsia="Calibri" w:hAnsi="Calibri" w:cs="Calibri"/>
                <w:sz w:val="18"/>
                <w:szCs w:val="18"/>
              </w:rPr>
              <w:t>124</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6BE6DF" w14:textId="77777777" w:rsidR="00FB4DC8" w:rsidRDefault="00000000">
            <w:pPr>
              <w:spacing w:line="260" w:lineRule="auto"/>
              <w:jc w:val="center"/>
            </w:pPr>
            <w:r>
              <w:rPr>
                <w:rFonts w:ascii="Calibri" w:eastAsia="Calibri" w:hAnsi="Calibri" w:cs="Calibri"/>
                <w:sz w:val="18"/>
                <w:szCs w:val="18"/>
              </w:rPr>
              <w:t>−8.0%</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84A838" w14:textId="77777777" w:rsidR="00FB4DC8" w:rsidRDefault="00000000">
            <w:pPr>
              <w:spacing w:line="260" w:lineRule="auto"/>
              <w:jc w:val="center"/>
            </w:pPr>
            <w:r>
              <w:rPr>
                <w:rFonts w:ascii="Calibri" w:eastAsia="Calibri" w:hAnsi="Calibri" w:cs="Calibri"/>
                <w:sz w:val="18"/>
                <w:szCs w:val="18"/>
              </w:rPr>
              <w:t>−1.3%</w:t>
            </w:r>
          </w:p>
        </w:tc>
        <w:tc>
          <w:tcPr>
            <w:tcW w:w="1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E363075" w14:textId="77777777" w:rsidR="00FB4DC8" w:rsidRDefault="00000000">
            <w:pPr>
              <w:spacing w:line="260" w:lineRule="auto"/>
              <w:jc w:val="center"/>
            </w:pPr>
            <w:r>
              <w:rPr>
                <w:rFonts w:ascii="Calibri" w:eastAsia="Calibri" w:hAnsi="Calibri" w:cs="Calibri"/>
                <w:sz w:val="18"/>
                <w:szCs w:val="18"/>
              </w:rPr>
              <w:t>−1.5%</w:t>
            </w:r>
          </w:p>
        </w:tc>
        <w:tc>
          <w:tcPr>
            <w:tcW w:w="14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FEDB040" w14:textId="77777777" w:rsidR="00FB4DC8" w:rsidRDefault="00000000">
            <w:pPr>
              <w:spacing w:line="260" w:lineRule="auto"/>
              <w:jc w:val="center"/>
            </w:pPr>
            <w:r>
              <w:rPr>
                <w:rFonts w:ascii="Calibri" w:eastAsia="Calibri" w:hAnsi="Calibri" w:cs="Calibri"/>
                <w:b/>
                <w:bCs/>
                <w:sz w:val="18"/>
                <w:szCs w:val="18"/>
              </w:rPr>
              <w:t>−6.7 pp</w:t>
            </w:r>
          </w:p>
        </w:tc>
        <w:tc>
          <w:tcPr>
            <w:tcW w:w="10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C8F667B" w14:textId="77777777" w:rsidR="00FB4DC8" w:rsidRDefault="00000000">
            <w:pPr>
              <w:spacing w:line="260" w:lineRule="auto"/>
              <w:jc w:val="center"/>
            </w:pPr>
            <w:r>
              <w:rPr>
                <w:rFonts w:ascii="Calibri" w:eastAsia="Calibri" w:hAnsi="Calibri" w:cs="Calibri"/>
                <w:sz w:val="18"/>
                <w:szCs w:val="18"/>
              </w:rPr>
              <w:t>+0.2 pp</w:t>
            </w:r>
          </w:p>
        </w:tc>
      </w:tr>
    </w:tbl>
    <w:p w14:paraId="540C8B0F" w14:textId="77777777" w:rsidR="00FB4DC8" w:rsidRDefault="00000000">
      <w:pPr>
        <w:spacing w:after="140" w:line="320" w:lineRule="auto"/>
        <w:jc w:val="both"/>
      </w:pPr>
      <w:r>
        <w:t xml:space="preserve"> </w:t>
      </w:r>
    </w:p>
    <w:p w14:paraId="003FA7A7" w14:textId="77777777" w:rsidR="00FB4DC8" w:rsidRDefault="00000000">
      <w:pPr>
        <w:pStyle w:val="Heading1"/>
        <w:keepNext/>
      </w:pPr>
      <w:r>
        <w:t>Supplementary Note 6 | Placebo benchmark</w:t>
      </w:r>
    </w:p>
    <w:p w14:paraId="250F660B" w14:textId="77777777" w:rsidR="00FB4DC8" w:rsidRDefault="00000000">
      <w:pPr>
        <w:spacing w:after="140" w:line="320" w:lineRule="auto"/>
        <w:jc w:val="both"/>
      </w:pPr>
      <w:r>
        <w:t>Because the short-window log-linear extrapolation produces non-zero deviations even in non-shock years, we benchmark each real-shock country median against an empirical placebo band. We report two specifications side by side:</w:t>
      </w:r>
    </w:p>
    <w:p w14:paraId="5ACA8C90" w14:textId="77777777" w:rsidR="00FB4DC8" w:rsidRDefault="00000000">
      <w:pPr>
        <w:pStyle w:val="Heading2"/>
        <w:keepNext/>
      </w:pPr>
      <w:r>
        <w:t>Strict 2-year buffer specification (n = 4)</w:t>
      </w:r>
    </w:p>
    <w:p w14:paraId="277F4D00" w14:textId="77777777" w:rsidR="00FB4DC8" w:rsidRDefault="00000000">
      <w:pPr>
        <w:spacing w:after="140" w:line="320" w:lineRule="auto"/>
        <w:jc w:val="both"/>
      </w:pPr>
      <w:r>
        <w:t>Placebo years 2004, 2005, 2011, 2017. Defined as years at least two calendar years from any real shock. n = 4 placebo medians.</w:t>
      </w:r>
    </w:p>
    <w:p w14:paraId="59B9C6ED" w14:textId="77777777" w:rsidR="00FB4DC8" w:rsidRDefault="00000000">
      <w:pPr>
        <w:pStyle w:val="Heading2"/>
        <w:keepNext/>
      </w:pPr>
      <w:r>
        <w:t>Window-clean specification (n = 2)</w:t>
      </w:r>
    </w:p>
    <w:p w14:paraId="47114857" w14:textId="77777777" w:rsidR="00FB4DC8" w:rsidRDefault="00000000">
      <w:pPr>
        <w:spacing w:after="140" w:line="320" w:lineRule="auto"/>
        <w:jc w:val="both"/>
      </w:pPr>
      <w:r>
        <w:t>Placebo years 2004, 2005. Defined as years whose full event-study window [T−4, T+2] does not overlap any of the four real shocks. n = 2 placebo medians.</w:t>
      </w:r>
    </w:p>
    <w:p w14:paraId="7D110E10" w14:textId="77777777" w:rsidR="00FB4DC8" w:rsidRDefault="00000000">
      <w:pPr>
        <w:pStyle w:val="Heading2"/>
        <w:keepNext/>
      </w:pPr>
      <w:r>
        <w:t>Horizon-specific bands</w:t>
      </w:r>
    </w:p>
    <w:p w14:paraId="12558190" w14:textId="77777777" w:rsidR="00FB4DC8" w:rsidRDefault="00000000">
      <w:pPr>
        <w:spacing w:after="140" w:line="320" w:lineRule="auto"/>
        <w:jc w:val="both"/>
      </w:pPr>
      <w:r>
        <w:t>Both specifications are reported at all three horizons:</w:t>
      </w:r>
    </w:p>
    <w:p w14:paraId="75582DA0" w14:textId="77777777" w:rsidR="00FB4DC8" w:rsidRDefault="00000000">
      <w:pPr>
        <w:spacing w:after="60"/>
      </w:pPr>
      <w:r>
        <w:rPr>
          <w:rFonts w:ascii="Consolas" w:eastAsia="Consolas" w:hAnsi="Consolas" w:cs="Consolas"/>
          <w:sz w:val="18"/>
          <w:szCs w:val="18"/>
        </w:rPr>
        <w:t xml:space="preserve">    Strict 2-yr buffer (n=4):  t+0 [−9.1%, −1.8%]   t+1 [−17.0%, −0.5%]   t+2 [−29.5%, −5.8%]</w:t>
      </w:r>
    </w:p>
    <w:p w14:paraId="52DB5BCB" w14:textId="77777777" w:rsidR="00FB4DC8" w:rsidRDefault="00000000">
      <w:pPr>
        <w:spacing w:after="60"/>
      </w:pPr>
      <w:r>
        <w:rPr>
          <w:rFonts w:ascii="Consolas" w:eastAsia="Consolas" w:hAnsi="Consolas" w:cs="Consolas"/>
          <w:sz w:val="18"/>
          <w:szCs w:val="18"/>
        </w:rPr>
        <w:t xml:space="preserve">    Window-clean (n=2):        t+0 [−5.6%, −1.8%]   t+1 [−11.5%, −0.5%]   t+2 [−15.9%, −5.8%]</w:t>
      </w:r>
    </w:p>
    <w:p w14:paraId="445D6093" w14:textId="77777777" w:rsidR="00FB4DC8" w:rsidRDefault="00000000">
      <w:pPr>
        <w:spacing w:after="140" w:line="320" w:lineRule="auto"/>
        <w:jc w:val="both"/>
      </w:pPr>
      <w:r>
        <w:t>The systematically negative bands are consistent with the underlying technology-adoption curve decelerating relative to the fitted log-linear extrapolation. We use 'empirical placebo band' rather than '95% confidence interval' to reflect the small number of placebo observations.</w:t>
      </w:r>
    </w:p>
    <w:p w14:paraId="4D4EBB79" w14:textId="77777777" w:rsidR="00FB4DC8" w:rsidRDefault="00000000">
      <w:pPr>
        <w:spacing w:before="200" w:after="80"/>
        <w:jc w:val="center"/>
      </w:pPr>
      <w:r>
        <w:rPr>
          <w:noProof/>
        </w:rPr>
        <w:lastRenderedPageBreak/>
        <w:drawing>
          <wp:inline distT="0" distB="0" distL="0" distR="0" wp14:anchorId="2E70190E" wp14:editId="1D7DFB6A">
            <wp:extent cx="5524500" cy="2762250"/>
            <wp:effectExtent l="0" t="0" r="0" b="0"/>
            <wp:docPr id="1" name="fig3_placebo.png" descr="Supplementary Fig. 1 | Placebo benchmark — horizon-specific bands and two placebo specifications, reproduction of main-article Fig. 2." title="fig3_place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524500" cy="2762250"/>
                    </a:xfrm>
                    <a:prstGeom prst="rect">
                      <a:avLst/>
                    </a:prstGeom>
                  </pic:spPr>
                </pic:pic>
              </a:graphicData>
            </a:graphic>
          </wp:inline>
        </w:drawing>
      </w:r>
    </w:p>
    <w:p w14:paraId="607AE327" w14:textId="77777777" w:rsidR="00FB4DC8" w:rsidRDefault="00000000">
      <w:pPr>
        <w:spacing w:after="200"/>
        <w:jc w:val="center"/>
      </w:pPr>
      <w:r>
        <w:rPr>
          <w:i/>
          <w:iCs/>
          <w:color w:val="5A5A5A"/>
          <w:sz w:val="18"/>
          <w:szCs w:val="18"/>
        </w:rPr>
        <w:t>Supplementary Fig. 1 | Placebo benchmark — horizon-specific bands and two placebo specifications, reproduction of main-article Fig. 2.</w:t>
      </w:r>
    </w:p>
    <w:p w14:paraId="656932F8" w14:textId="77777777" w:rsidR="00FB4DC8" w:rsidRDefault="00000000">
      <w:pPr>
        <w:pStyle w:val="Heading1"/>
        <w:keepNext/>
      </w:pPr>
      <w:r>
        <w:t>Supplementary Note 7 | Inverse-hyperbolic-sine specification</w:t>
      </w:r>
    </w:p>
    <w:p w14:paraId="0FD55234" w14:textId="77777777" w:rsidR="00FB4DC8" w:rsidRDefault="00000000">
      <w:pPr>
        <w:spacing w:after="140" w:line="320" w:lineRule="auto"/>
        <w:jc w:val="both"/>
      </w:pPr>
      <w:r>
        <w:t>The IHS transformation IHS(x) = ln(x + √(x²+1)) is defined at zero and permits a broader sample. For each country with at least two non-zero pre-shock observations, we fit IHS(K</w:t>
      </w:r>
      <w:r>
        <w:rPr>
          <w:vertAlign w:val="subscript"/>
        </w:rPr>
        <w:t>c,t</w:t>
      </w:r>
      <w:r>
        <w:t>) = α</w:t>
      </w:r>
      <w:r>
        <w:rPr>
          <w:vertAlign w:val="subscript"/>
        </w:rPr>
        <w:t>c</w:t>
      </w:r>
      <w:r>
        <w:t xml:space="preserve"> + β</w:t>
      </w:r>
      <w:r>
        <w:rPr>
          <w:vertAlign w:val="subscript"/>
        </w:rPr>
        <w:t>c</w:t>
      </w:r>
      <w:r>
        <w:t>t over the same four-year window, project forward, back-transform with K̂</w:t>
      </w:r>
      <w:r>
        <w:rPr>
          <w:vertAlign w:val="subscript"/>
        </w:rPr>
        <w:t>c,T+h</w:t>
      </w:r>
      <w:r>
        <w:t xml:space="preserve"> = sinh(α̂</w:t>
      </w:r>
      <w:r>
        <w:rPr>
          <w:vertAlign w:val="subscript"/>
        </w:rPr>
        <w:t>c</w:t>
      </w:r>
      <w:r>
        <w:t xml:space="preserve"> + β̂</w:t>
      </w:r>
      <w:r>
        <w:rPr>
          <w:vertAlign w:val="subscript"/>
        </w:rPr>
        <w:t>c</w:t>
      </w:r>
      <w:r>
        <w:t>(T+h)), and calculate the capacity gap using the same percentage formula. Because percentage gaps can still be unstable when the back-transformed projection is close to zero, the IHS analysis is interpreted as a sample-selection robustness check rather than as the preferred estimand.</w:t>
      </w:r>
    </w:p>
    <w:p w14:paraId="05BF3CE8" w14:textId="77777777" w:rsidR="00FB4DC8" w:rsidRDefault="00000000">
      <w:pPr>
        <w:pStyle w:val="Heading2"/>
        <w:keepNext/>
      </w:pPr>
      <w:r>
        <w:t>Supplementary Table 3 | IHS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900"/>
        <w:gridCol w:w="800"/>
        <w:gridCol w:w="1500"/>
        <w:gridCol w:w="1500"/>
        <w:gridCol w:w="2460"/>
      </w:tblGrid>
      <w:tr w:rsidR="00FB4DC8" w14:paraId="2C2A7FFA" w14:textId="77777777">
        <w:tblPrEx>
          <w:tblCellMar>
            <w:top w:w="0" w:type="dxa"/>
            <w:bottom w:w="0" w:type="dxa"/>
          </w:tblCellMar>
        </w:tblPrEx>
        <w:trPr>
          <w:tblHeader/>
        </w:trPr>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1490439C" w14:textId="77777777" w:rsidR="00FB4DC8" w:rsidRDefault="00000000">
            <w:pPr>
              <w:spacing w:line="260" w:lineRule="auto"/>
            </w:pPr>
            <w:r>
              <w:rPr>
                <w:rFonts w:ascii="Calibri" w:eastAsia="Calibri" w:hAnsi="Calibri" w:cs="Calibri"/>
                <w:b/>
                <w:bCs/>
                <w:color w:val="FFFFFF"/>
                <w:sz w:val="18"/>
                <w:szCs w:val="18"/>
              </w:rPr>
              <w:t>Year</w:t>
            </w:r>
          </w:p>
        </w:tc>
        <w:tc>
          <w:tcPr>
            <w:tcW w:w="9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D7E7B67" w14:textId="77777777" w:rsidR="00FB4DC8" w:rsidRDefault="00000000">
            <w:pPr>
              <w:spacing w:line="260" w:lineRule="auto"/>
              <w:jc w:val="center"/>
            </w:pPr>
            <w:r>
              <w:rPr>
                <w:rFonts w:ascii="Calibri" w:eastAsia="Calibri" w:hAnsi="Calibri" w:cs="Calibri"/>
                <w:b/>
                <w:bCs/>
                <w:color w:val="FFFFFF"/>
                <w:sz w:val="18"/>
                <w:szCs w:val="18"/>
              </w:rPr>
              <w:t>Type</w:t>
            </w:r>
          </w:p>
        </w:tc>
        <w:tc>
          <w:tcPr>
            <w:tcW w:w="8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8512669" w14:textId="77777777" w:rsidR="00FB4DC8" w:rsidRDefault="00000000">
            <w:pPr>
              <w:spacing w:line="260" w:lineRule="auto"/>
              <w:jc w:val="center"/>
            </w:pPr>
            <w:r>
              <w:rPr>
                <w:rFonts w:ascii="Calibri" w:eastAsia="Calibri" w:hAnsi="Calibri" w:cs="Calibri"/>
                <w:b/>
                <w:bCs/>
                <w:color w:val="FFFFFF"/>
                <w:sz w:val="18"/>
                <w:szCs w:val="18"/>
              </w:rPr>
              <w:t>n</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5C3B7E0F" w14:textId="77777777" w:rsidR="00FB4DC8" w:rsidRDefault="00000000">
            <w:pPr>
              <w:spacing w:line="260" w:lineRule="auto"/>
              <w:jc w:val="center"/>
            </w:pPr>
            <w:r>
              <w:rPr>
                <w:rFonts w:ascii="Calibri" w:eastAsia="Calibri" w:hAnsi="Calibri" w:cs="Calibri"/>
                <w:b/>
                <w:bCs/>
                <w:color w:val="FFFFFF"/>
                <w:sz w:val="18"/>
                <w:szCs w:val="18"/>
              </w:rPr>
              <w:t>Median %</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15FDF49" w14:textId="77777777" w:rsidR="00FB4DC8" w:rsidRDefault="00000000">
            <w:pPr>
              <w:spacing w:line="260" w:lineRule="auto"/>
              <w:jc w:val="center"/>
            </w:pPr>
            <w:r>
              <w:rPr>
                <w:rFonts w:ascii="Calibri" w:eastAsia="Calibri" w:hAnsi="Calibri" w:cs="Calibri"/>
                <w:b/>
                <w:bCs/>
                <w:color w:val="FFFFFF"/>
                <w:sz w:val="18"/>
                <w:szCs w:val="18"/>
              </w:rPr>
              <w:t>95% CI</w:t>
            </w:r>
          </w:p>
        </w:tc>
        <w:tc>
          <w:tcPr>
            <w:tcW w:w="24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0605EB8F" w14:textId="77777777" w:rsidR="00FB4DC8" w:rsidRDefault="00000000">
            <w:pPr>
              <w:spacing w:line="260" w:lineRule="auto"/>
            </w:pPr>
            <w:r>
              <w:rPr>
                <w:rFonts w:ascii="Calibri" w:eastAsia="Calibri" w:hAnsi="Calibri" w:cs="Calibri"/>
                <w:b/>
                <w:bCs/>
                <w:color w:val="FFFFFF"/>
                <w:sz w:val="18"/>
                <w:szCs w:val="18"/>
              </w:rPr>
              <w:t>Note</w:t>
            </w:r>
          </w:p>
        </w:tc>
      </w:tr>
      <w:tr w:rsidR="00FB4DC8" w14:paraId="06D1232E"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7C680B" w14:textId="77777777" w:rsidR="00FB4DC8" w:rsidRDefault="00000000">
            <w:pPr>
              <w:spacing w:line="260" w:lineRule="auto"/>
            </w:pPr>
            <w:r>
              <w:rPr>
                <w:rFonts w:ascii="Calibri" w:eastAsia="Calibri" w:hAnsi="Calibri" w:cs="Calibri"/>
                <w:sz w:val="18"/>
                <w:szCs w:val="18"/>
              </w:rPr>
              <w:t>2008 GFC</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0B0601D" w14:textId="77777777" w:rsidR="00FB4DC8" w:rsidRDefault="00000000">
            <w:pPr>
              <w:spacing w:line="260" w:lineRule="auto"/>
              <w:jc w:val="center"/>
            </w:pPr>
            <w:r>
              <w:rPr>
                <w:rFonts w:ascii="Calibri" w:eastAsia="Calibri" w:hAnsi="Calibri" w:cs="Calibri"/>
                <w:b/>
                <w:bCs/>
                <w:sz w:val="18"/>
                <w:szCs w:val="18"/>
              </w:rPr>
              <w:t>real</w:t>
            </w:r>
          </w:p>
        </w:tc>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640496" w14:textId="77777777" w:rsidR="00FB4DC8" w:rsidRDefault="00000000">
            <w:pPr>
              <w:spacing w:line="260" w:lineRule="auto"/>
              <w:jc w:val="center"/>
            </w:pPr>
            <w:r>
              <w:rPr>
                <w:rFonts w:ascii="Calibri" w:eastAsia="Calibri" w:hAnsi="Calibri" w:cs="Calibri"/>
                <w:sz w:val="18"/>
                <w:szCs w:val="18"/>
              </w:rPr>
              <w:t>117</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10D658" w14:textId="77777777" w:rsidR="00FB4DC8" w:rsidRDefault="00000000">
            <w:pPr>
              <w:spacing w:line="260" w:lineRule="auto"/>
              <w:jc w:val="center"/>
            </w:pPr>
            <w:r>
              <w:rPr>
                <w:rFonts w:ascii="Calibri" w:eastAsia="Calibri" w:hAnsi="Calibri" w:cs="Calibri"/>
                <w:b/>
                <w:bCs/>
                <w:sz w:val="18"/>
                <w:szCs w:val="18"/>
              </w:rPr>
              <w:t>+1.6</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FBBE5E" w14:textId="77777777" w:rsidR="00FB4DC8" w:rsidRDefault="00000000">
            <w:pPr>
              <w:spacing w:line="260" w:lineRule="auto"/>
              <w:jc w:val="center"/>
            </w:pPr>
            <w:r>
              <w:rPr>
                <w:rFonts w:ascii="Calibri" w:eastAsia="Calibri" w:hAnsi="Calibri" w:cs="Calibri"/>
                <w:b/>
                <w:bCs/>
                <w:sz w:val="18"/>
                <w:szCs w:val="18"/>
              </w:rPr>
              <w:t>[+0.0, +6.8]</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9C2F22B" w14:textId="77777777" w:rsidR="00FB4DC8" w:rsidRDefault="00000000">
            <w:pPr>
              <w:spacing w:line="260" w:lineRule="auto"/>
            </w:pPr>
            <w:r>
              <w:rPr>
                <w:rFonts w:ascii="Calibri" w:eastAsia="Calibri" w:hAnsi="Calibri" w:cs="Calibri"/>
                <w:sz w:val="18"/>
                <w:szCs w:val="18"/>
              </w:rPr>
              <w:t>within placebo band</w:t>
            </w:r>
          </w:p>
        </w:tc>
      </w:tr>
      <w:tr w:rsidR="00FB4DC8" w14:paraId="0EA828DA"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3F6119" w14:textId="77777777" w:rsidR="00FB4DC8" w:rsidRDefault="00000000">
            <w:pPr>
              <w:spacing w:line="260" w:lineRule="auto"/>
            </w:pPr>
            <w:r>
              <w:rPr>
                <w:rFonts w:ascii="Calibri" w:eastAsia="Calibri" w:hAnsi="Calibri" w:cs="Calibri"/>
                <w:sz w:val="18"/>
                <w:szCs w:val="18"/>
              </w:rPr>
              <w:t>2014 oil crash</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7CB733" w14:textId="77777777" w:rsidR="00FB4DC8" w:rsidRDefault="00000000">
            <w:pPr>
              <w:spacing w:line="260" w:lineRule="auto"/>
              <w:jc w:val="center"/>
            </w:pPr>
            <w:r>
              <w:rPr>
                <w:rFonts w:ascii="Calibri" w:eastAsia="Calibri" w:hAnsi="Calibri" w:cs="Calibri"/>
                <w:b/>
                <w:bCs/>
                <w:sz w:val="18"/>
                <w:szCs w:val="18"/>
              </w:rPr>
              <w:t>real</w:t>
            </w:r>
          </w:p>
        </w:tc>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D8D056E" w14:textId="77777777" w:rsidR="00FB4DC8" w:rsidRDefault="00000000">
            <w:pPr>
              <w:spacing w:line="260" w:lineRule="auto"/>
              <w:jc w:val="center"/>
            </w:pPr>
            <w:r>
              <w:rPr>
                <w:rFonts w:ascii="Calibri" w:eastAsia="Calibri" w:hAnsi="Calibri" w:cs="Calibri"/>
                <w:sz w:val="18"/>
                <w:szCs w:val="18"/>
              </w:rPr>
              <w:t>180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6162801" w14:textId="77777777" w:rsidR="00FB4DC8" w:rsidRDefault="00000000">
            <w:pPr>
              <w:spacing w:line="260" w:lineRule="auto"/>
              <w:jc w:val="center"/>
            </w:pPr>
            <w:r>
              <w:rPr>
                <w:rFonts w:ascii="Calibri" w:eastAsia="Calibri" w:hAnsi="Calibri" w:cs="Calibri"/>
                <w:b/>
                <w:bCs/>
                <w:sz w:val="18"/>
                <w:szCs w:val="18"/>
              </w:rPr>
              <w:t>+1.7</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095614" w14:textId="77777777" w:rsidR="00FB4DC8" w:rsidRDefault="00000000">
            <w:pPr>
              <w:spacing w:line="260" w:lineRule="auto"/>
              <w:jc w:val="center"/>
            </w:pPr>
            <w:r>
              <w:rPr>
                <w:rFonts w:ascii="Calibri" w:eastAsia="Calibri" w:hAnsi="Calibri" w:cs="Calibri"/>
                <w:b/>
                <w:bCs/>
                <w:sz w:val="18"/>
                <w:szCs w:val="18"/>
              </w:rPr>
              <w:t>[−0.4, +6.8]</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037FB15" w14:textId="77777777" w:rsidR="00FB4DC8" w:rsidRDefault="00000000">
            <w:pPr>
              <w:spacing w:line="260" w:lineRule="auto"/>
            </w:pPr>
            <w:r>
              <w:rPr>
                <w:rFonts w:ascii="Calibri" w:eastAsia="Calibri" w:hAnsi="Calibri" w:cs="Calibri"/>
                <w:sz w:val="18"/>
                <w:szCs w:val="18"/>
              </w:rPr>
              <w:t>within placebo band</w:t>
            </w:r>
          </w:p>
        </w:tc>
      </w:tr>
      <w:tr w:rsidR="00FB4DC8" w14:paraId="6A7B5C04"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433ECF7" w14:textId="77777777" w:rsidR="00FB4DC8" w:rsidRDefault="00000000">
            <w:pPr>
              <w:spacing w:line="260" w:lineRule="auto"/>
            </w:pPr>
            <w:r>
              <w:rPr>
                <w:rFonts w:ascii="Calibri" w:eastAsia="Calibri" w:hAnsi="Calibri" w:cs="Calibri"/>
                <w:sz w:val="18"/>
                <w:szCs w:val="18"/>
              </w:rPr>
              <w:t>2020 COVID</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7169B4B" w14:textId="77777777" w:rsidR="00FB4DC8" w:rsidRDefault="00000000">
            <w:pPr>
              <w:spacing w:line="260" w:lineRule="auto"/>
              <w:jc w:val="center"/>
            </w:pPr>
            <w:r>
              <w:rPr>
                <w:rFonts w:ascii="Calibri" w:eastAsia="Calibri" w:hAnsi="Calibri" w:cs="Calibri"/>
                <w:b/>
                <w:bCs/>
                <w:sz w:val="18"/>
                <w:szCs w:val="18"/>
              </w:rPr>
              <w:t>real</w:t>
            </w:r>
          </w:p>
        </w:tc>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5064BC" w14:textId="77777777" w:rsidR="00FB4DC8" w:rsidRDefault="00000000">
            <w:pPr>
              <w:spacing w:line="260" w:lineRule="auto"/>
              <w:jc w:val="center"/>
            </w:pPr>
            <w:r>
              <w:rPr>
                <w:rFonts w:ascii="Calibri" w:eastAsia="Calibri" w:hAnsi="Calibri" w:cs="Calibri"/>
                <w:sz w:val="18"/>
                <w:szCs w:val="18"/>
              </w:rPr>
              <w:t>215</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356DFF" w14:textId="77777777" w:rsidR="00FB4DC8" w:rsidRDefault="00000000">
            <w:pPr>
              <w:spacing w:line="260" w:lineRule="auto"/>
              <w:jc w:val="center"/>
            </w:pPr>
            <w:r>
              <w:rPr>
                <w:rFonts w:ascii="Calibri" w:eastAsia="Calibri" w:hAnsi="Calibri" w:cs="Calibri"/>
                <w:b/>
                <w:bCs/>
                <w:sz w:val="18"/>
                <w:szCs w:val="18"/>
              </w:rPr>
              <w:t>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8C9801D" w14:textId="77777777" w:rsidR="00FB4DC8" w:rsidRDefault="00000000">
            <w:pPr>
              <w:spacing w:line="260" w:lineRule="auto"/>
              <w:jc w:val="center"/>
            </w:pPr>
            <w:r>
              <w:rPr>
                <w:rFonts w:ascii="Calibri" w:eastAsia="Calibri" w:hAnsi="Calibri" w:cs="Calibri"/>
                <w:b/>
                <w:bCs/>
                <w:sz w:val="18"/>
                <w:szCs w:val="18"/>
              </w:rPr>
              <w:t>[−1.9, +0.9]</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44C661" w14:textId="77777777" w:rsidR="00FB4DC8" w:rsidRDefault="00000000">
            <w:pPr>
              <w:spacing w:line="260" w:lineRule="auto"/>
            </w:pPr>
            <w:r>
              <w:rPr>
                <w:rFonts w:ascii="Calibri" w:eastAsia="Calibri" w:hAnsi="Calibri" w:cs="Calibri"/>
                <w:sz w:val="18"/>
                <w:szCs w:val="18"/>
              </w:rPr>
              <w:t>within placebo band</w:t>
            </w:r>
          </w:p>
        </w:tc>
      </w:tr>
      <w:tr w:rsidR="00FB4DC8" w14:paraId="2C185EFA"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85EB22" w14:textId="77777777" w:rsidR="00FB4DC8" w:rsidRDefault="00000000">
            <w:pPr>
              <w:spacing w:line="260" w:lineRule="auto"/>
            </w:pPr>
            <w:r>
              <w:rPr>
                <w:rFonts w:ascii="Calibri" w:eastAsia="Calibri" w:hAnsi="Calibri" w:cs="Calibri"/>
                <w:sz w:val="18"/>
                <w:szCs w:val="18"/>
              </w:rPr>
              <w:t>2022 R–U</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9A3D7C" w14:textId="77777777" w:rsidR="00FB4DC8" w:rsidRDefault="00000000">
            <w:pPr>
              <w:spacing w:line="260" w:lineRule="auto"/>
              <w:jc w:val="center"/>
            </w:pPr>
            <w:r>
              <w:rPr>
                <w:rFonts w:ascii="Calibri" w:eastAsia="Calibri" w:hAnsi="Calibri" w:cs="Calibri"/>
                <w:b/>
                <w:bCs/>
                <w:sz w:val="18"/>
                <w:szCs w:val="18"/>
              </w:rPr>
              <w:t>real</w:t>
            </w:r>
          </w:p>
        </w:tc>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535987C" w14:textId="77777777" w:rsidR="00FB4DC8" w:rsidRDefault="00000000">
            <w:pPr>
              <w:spacing w:line="260" w:lineRule="auto"/>
              <w:jc w:val="center"/>
            </w:pPr>
            <w:r>
              <w:rPr>
                <w:rFonts w:ascii="Calibri" w:eastAsia="Calibri" w:hAnsi="Calibri" w:cs="Calibri"/>
                <w:sz w:val="18"/>
                <w:szCs w:val="18"/>
              </w:rPr>
              <w:t>218</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27B01B" w14:textId="77777777" w:rsidR="00FB4DC8" w:rsidRDefault="00000000">
            <w:pPr>
              <w:spacing w:line="260" w:lineRule="auto"/>
              <w:jc w:val="center"/>
            </w:pPr>
            <w:r>
              <w:rPr>
                <w:rFonts w:ascii="Calibri" w:eastAsia="Calibri" w:hAnsi="Calibri" w:cs="Calibri"/>
                <w:b/>
                <w:bCs/>
                <w:sz w:val="18"/>
                <w:szCs w:val="18"/>
              </w:rPr>
              <w:t>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19BB43C" w14:textId="77777777" w:rsidR="00FB4DC8" w:rsidRDefault="00000000">
            <w:pPr>
              <w:spacing w:line="260" w:lineRule="auto"/>
              <w:jc w:val="center"/>
            </w:pPr>
            <w:r>
              <w:rPr>
                <w:rFonts w:ascii="Calibri" w:eastAsia="Calibri" w:hAnsi="Calibri" w:cs="Calibri"/>
                <w:b/>
                <w:bCs/>
                <w:sz w:val="18"/>
                <w:szCs w:val="18"/>
              </w:rPr>
              <w:t>[−1.0, +1.5]</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D5E0CA8" w14:textId="77777777" w:rsidR="00FB4DC8" w:rsidRDefault="00000000">
            <w:pPr>
              <w:spacing w:line="260" w:lineRule="auto"/>
            </w:pPr>
            <w:r>
              <w:rPr>
                <w:rFonts w:ascii="Calibri" w:eastAsia="Calibri" w:hAnsi="Calibri" w:cs="Calibri"/>
                <w:sz w:val="18"/>
                <w:szCs w:val="18"/>
              </w:rPr>
              <w:t>within placebo band</w:t>
            </w:r>
          </w:p>
        </w:tc>
      </w:tr>
      <w:tr w:rsidR="00FB4DC8" w14:paraId="752AD254"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E0068DF" w14:textId="77777777" w:rsidR="00FB4DC8" w:rsidRDefault="00000000">
            <w:pPr>
              <w:spacing w:line="260" w:lineRule="auto"/>
            </w:pPr>
            <w:r>
              <w:rPr>
                <w:rFonts w:ascii="Calibri" w:eastAsia="Calibri" w:hAnsi="Calibri" w:cs="Calibri"/>
                <w:sz w:val="18"/>
                <w:szCs w:val="18"/>
              </w:rPr>
              <w:t>Placebo distribution</w:t>
            </w:r>
          </w:p>
        </w:tc>
        <w:tc>
          <w:tcPr>
            <w:tcW w:w="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0C41ADD" w14:textId="77777777" w:rsidR="00FB4DC8" w:rsidRDefault="00FB4DC8">
            <w:pPr>
              <w:spacing w:line="260" w:lineRule="auto"/>
              <w:jc w:val="center"/>
            </w:pPr>
          </w:p>
        </w:tc>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4760AE" w14:textId="77777777" w:rsidR="00FB4DC8" w:rsidRDefault="00000000">
            <w:pPr>
              <w:spacing w:line="260" w:lineRule="auto"/>
              <w:jc w:val="center"/>
            </w:pPr>
            <w:r>
              <w:rPr>
                <w:rFonts w:ascii="Calibri" w:eastAsia="Calibri" w:hAnsi="Calibri" w:cs="Calibri"/>
                <w:sz w:val="18"/>
                <w:szCs w:val="18"/>
              </w:rPr>
              <w:t>8 yrs</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354EF98" w14:textId="77777777" w:rsidR="00FB4DC8" w:rsidRDefault="00000000">
            <w:pPr>
              <w:spacing w:line="260" w:lineRule="auto"/>
              <w:jc w:val="center"/>
            </w:pPr>
            <w:r>
              <w:rPr>
                <w:rFonts w:ascii="Calibri" w:eastAsia="Calibri" w:hAnsi="Calibri" w:cs="Calibri"/>
                <w:sz w:val="18"/>
                <w:szCs w:val="18"/>
              </w:rPr>
              <w:t>mean +0.7</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C7861C7" w14:textId="77777777" w:rsidR="00FB4DC8" w:rsidRDefault="00000000">
            <w:pPr>
              <w:spacing w:line="260" w:lineRule="auto"/>
              <w:jc w:val="center"/>
            </w:pPr>
            <w:r>
              <w:rPr>
                <w:rFonts w:ascii="Calibri" w:eastAsia="Calibri" w:hAnsi="Calibri" w:cs="Calibri"/>
                <w:sz w:val="18"/>
                <w:szCs w:val="18"/>
              </w:rPr>
              <w:t>range [−0.7, +3.8]</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14BD4AE" w14:textId="77777777" w:rsidR="00FB4DC8" w:rsidRDefault="00000000">
            <w:pPr>
              <w:spacing w:line="260" w:lineRule="auto"/>
            </w:pPr>
            <w:r>
              <w:rPr>
                <w:rFonts w:ascii="Calibri" w:eastAsia="Calibri" w:hAnsi="Calibri" w:cs="Calibri"/>
                <w:sz w:val="18"/>
                <w:szCs w:val="18"/>
              </w:rPr>
              <w:t>all four real shocks within band</w:t>
            </w:r>
          </w:p>
        </w:tc>
      </w:tr>
    </w:tbl>
    <w:p w14:paraId="06D3C66C" w14:textId="77777777" w:rsidR="00FB4DC8" w:rsidRDefault="00000000">
      <w:pPr>
        <w:spacing w:after="140" w:line="320" w:lineRule="auto"/>
        <w:jc w:val="both"/>
      </w:pPr>
      <w:r>
        <w:t xml:space="preserve"> </w:t>
      </w:r>
    </w:p>
    <w:p w14:paraId="056FD1EA" w14:textId="77777777" w:rsidR="00FB4DC8" w:rsidRDefault="00000000">
      <w:pPr>
        <w:pStyle w:val="Heading1"/>
        <w:keepNext/>
      </w:pPr>
      <w:r>
        <w:t>Supplementary Note 8 | Sign-restricted SVAR rotation exercise</w:t>
      </w:r>
    </w:p>
    <w:p w14:paraId="2DD4A5B9" w14:textId="77777777" w:rsidR="00FB4DC8" w:rsidRDefault="00000000">
      <w:pPr>
        <w:spacing w:after="140" w:line="320" w:lineRule="auto"/>
        <w:jc w:val="both"/>
      </w:pPr>
      <w:r>
        <w:t xml:space="preserve">We report a sign-restricted vector autoregression as supplementary evidence. The four monthly variables are first differences of log Brent, log GPR, log copper and log global solar-plus-wind </w:t>
      </w:r>
      <w:r>
        <w:lastRenderedPageBreak/>
        <w:t>generation. The reported specification uses three monthly lags and the sample January 2001–December 2024 (287 monthly differences). A standard AIC calculation on this differenced sample selects one lag, not three; both specifications are therefore reported as a sensitivity check below.</w:t>
      </w:r>
    </w:p>
    <w:p w14:paraId="51E66806" w14:textId="77777777" w:rsidR="00FB4DC8" w:rsidRDefault="00000000">
      <w:pPr>
        <w:pStyle w:val="Heading2"/>
        <w:keepNext/>
      </w:pPr>
      <w:r>
        <w:t>Supplementary Table 4 | Sign restrictions on the contemporaneous impact matrix</w:t>
      </w:r>
    </w:p>
    <w:p w14:paraId="0F318267" w14:textId="77777777" w:rsidR="00FB4DC8" w:rsidRDefault="00000000">
      <w:pPr>
        <w:spacing w:after="140" w:line="320" w:lineRule="auto"/>
        <w:jc w:val="both"/>
      </w:pPr>
      <w:r>
        <w:t>Sign restrictions identify four shocks (renewable response unrestricted for oil-supply, geopolitical and industrial-demand shocks; sign-restricted positive only for the renewable-tech shock):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740"/>
        <w:gridCol w:w="1740"/>
        <w:gridCol w:w="1740"/>
        <w:gridCol w:w="1740"/>
      </w:tblGrid>
      <w:tr w:rsidR="00FB4DC8" w14:paraId="7DB21539" w14:textId="77777777">
        <w:tblPrEx>
          <w:tblCellMar>
            <w:top w:w="0" w:type="dxa"/>
            <w:bottom w:w="0" w:type="dxa"/>
          </w:tblCellMar>
        </w:tblPrEx>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964632F" w14:textId="77777777" w:rsidR="00FB4DC8" w:rsidRDefault="00000000">
            <w:pPr>
              <w:spacing w:line="260" w:lineRule="auto"/>
            </w:pPr>
            <w:r>
              <w:rPr>
                <w:rFonts w:ascii="Calibri" w:eastAsia="Calibri" w:hAnsi="Calibri" w:cs="Calibri"/>
                <w:b/>
                <w:bCs/>
                <w:color w:val="FFFFFF"/>
                <w:sz w:val="18"/>
                <w:szCs w:val="18"/>
              </w:rPr>
              <w:t>Shock</w:t>
            </w:r>
          </w:p>
        </w:tc>
        <w:tc>
          <w:tcPr>
            <w:tcW w:w="174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1B3E0401" w14:textId="77777777" w:rsidR="00FB4DC8" w:rsidRDefault="00000000">
            <w:pPr>
              <w:spacing w:line="260" w:lineRule="auto"/>
              <w:jc w:val="center"/>
            </w:pPr>
            <w:r>
              <w:rPr>
                <w:rFonts w:ascii="Calibri" w:eastAsia="Calibri" w:hAnsi="Calibri" w:cs="Calibri"/>
                <w:b/>
                <w:bCs/>
                <w:color w:val="FFFFFF"/>
                <w:sz w:val="18"/>
                <w:szCs w:val="18"/>
              </w:rPr>
              <w:t>Brent</w:t>
            </w:r>
          </w:p>
        </w:tc>
        <w:tc>
          <w:tcPr>
            <w:tcW w:w="174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352C4C7E" w14:textId="77777777" w:rsidR="00FB4DC8" w:rsidRDefault="00000000">
            <w:pPr>
              <w:spacing w:line="260" w:lineRule="auto"/>
              <w:jc w:val="center"/>
            </w:pPr>
            <w:r>
              <w:rPr>
                <w:rFonts w:ascii="Calibri" w:eastAsia="Calibri" w:hAnsi="Calibri" w:cs="Calibri"/>
                <w:b/>
                <w:bCs/>
                <w:color w:val="FFFFFF"/>
                <w:sz w:val="18"/>
                <w:szCs w:val="18"/>
              </w:rPr>
              <w:t>GPR</w:t>
            </w:r>
          </w:p>
        </w:tc>
        <w:tc>
          <w:tcPr>
            <w:tcW w:w="174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F7F451A" w14:textId="77777777" w:rsidR="00FB4DC8" w:rsidRDefault="00000000">
            <w:pPr>
              <w:spacing w:line="260" w:lineRule="auto"/>
              <w:jc w:val="center"/>
            </w:pPr>
            <w:r>
              <w:rPr>
                <w:rFonts w:ascii="Calibri" w:eastAsia="Calibri" w:hAnsi="Calibri" w:cs="Calibri"/>
                <w:b/>
                <w:bCs/>
                <w:color w:val="FFFFFF"/>
                <w:sz w:val="18"/>
                <w:szCs w:val="18"/>
              </w:rPr>
              <w:t>Copper</w:t>
            </w:r>
          </w:p>
        </w:tc>
        <w:tc>
          <w:tcPr>
            <w:tcW w:w="174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508AF3A6" w14:textId="77777777" w:rsidR="00FB4DC8" w:rsidRDefault="00000000">
            <w:pPr>
              <w:spacing w:line="260" w:lineRule="auto"/>
              <w:jc w:val="center"/>
            </w:pPr>
            <w:r>
              <w:rPr>
                <w:rFonts w:ascii="Calibri" w:eastAsia="Calibri" w:hAnsi="Calibri" w:cs="Calibri"/>
                <w:b/>
                <w:bCs/>
                <w:color w:val="FFFFFF"/>
                <w:sz w:val="18"/>
                <w:szCs w:val="18"/>
              </w:rPr>
              <w:t>Renewables</w:t>
            </w:r>
          </w:p>
        </w:tc>
      </w:tr>
      <w:tr w:rsidR="00FB4DC8" w14:paraId="01183E34"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3E51774" w14:textId="77777777" w:rsidR="00FB4DC8" w:rsidRDefault="00000000">
            <w:pPr>
              <w:spacing w:line="260" w:lineRule="auto"/>
            </w:pPr>
            <w:r>
              <w:rPr>
                <w:rFonts w:ascii="Calibri" w:eastAsia="Calibri" w:hAnsi="Calibri" w:cs="Calibri"/>
                <w:sz w:val="18"/>
                <w:szCs w:val="18"/>
              </w:rPr>
              <w:t>Oil-supply</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C19E9F" w14:textId="77777777" w:rsidR="00FB4DC8" w:rsidRDefault="00000000">
            <w:pPr>
              <w:spacing w:line="260" w:lineRule="auto"/>
              <w:jc w:val="center"/>
            </w:pPr>
            <w:r>
              <w:rPr>
                <w:rFonts w:ascii="Calibri" w:eastAsia="Calibri" w:hAnsi="Calibri" w:cs="Calibri"/>
                <w:b/>
                <w:bCs/>
                <w:sz w:val="18"/>
                <w:szCs w:val="18"/>
              </w:rPr>
              <w:t>+</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EF1FA9" w14:textId="77777777" w:rsidR="00FB4DC8" w:rsidRDefault="00000000">
            <w:pPr>
              <w:spacing w:line="260" w:lineRule="auto"/>
              <w:jc w:val="center"/>
            </w:pPr>
            <w:r>
              <w:rPr>
                <w:rFonts w:ascii="Calibri" w:eastAsia="Calibri" w:hAnsi="Calibri" w:cs="Calibri"/>
                <w:sz w:val="18"/>
                <w:szCs w:val="18"/>
              </w:rPr>
              <w:t>unrestricted</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9E97CB" w14:textId="77777777" w:rsidR="00FB4DC8" w:rsidRDefault="00000000">
            <w:pPr>
              <w:spacing w:line="260" w:lineRule="auto"/>
              <w:jc w:val="center"/>
            </w:pPr>
            <w:r>
              <w:rPr>
                <w:rFonts w:ascii="Calibri" w:eastAsia="Calibri" w:hAnsi="Calibri" w:cs="Calibri"/>
                <w:b/>
                <w:bCs/>
                <w:sz w:val="18"/>
                <w:szCs w:val="18"/>
              </w:rPr>
              <w:t>−</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323B42" w14:textId="77777777" w:rsidR="00FB4DC8" w:rsidRDefault="00000000">
            <w:pPr>
              <w:spacing w:line="260" w:lineRule="auto"/>
              <w:jc w:val="center"/>
            </w:pPr>
            <w:r>
              <w:rPr>
                <w:rFonts w:ascii="Calibri" w:eastAsia="Calibri" w:hAnsi="Calibri" w:cs="Calibri"/>
                <w:sz w:val="18"/>
                <w:szCs w:val="18"/>
              </w:rPr>
              <w:t>unrestricted</w:t>
            </w:r>
          </w:p>
        </w:tc>
      </w:tr>
      <w:tr w:rsidR="00FB4DC8" w14:paraId="16818194"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1701AC" w14:textId="77777777" w:rsidR="00FB4DC8" w:rsidRDefault="00000000">
            <w:pPr>
              <w:spacing w:line="260" w:lineRule="auto"/>
            </w:pPr>
            <w:r>
              <w:rPr>
                <w:rFonts w:ascii="Calibri" w:eastAsia="Calibri" w:hAnsi="Calibri" w:cs="Calibri"/>
                <w:sz w:val="18"/>
                <w:szCs w:val="18"/>
              </w:rPr>
              <w:t>Geopolitical</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FA7E079" w14:textId="77777777" w:rsidR="00FB4DC8" w:rsidRDefault="00000000">
            <w:pPr>
              <w:spacing w:line="260" w:lineRule="auto"/>
              <w:jc w:val="center"/>
            </w:pPr>
            <w:r>
              <w:rPr>
                <w:rFonts w:ascii="Calibri" w:eastAsia="Calibri" w:hAnsi="Calibri" w:cs="Calibri"/>
                <w:b/>
                <w:bCs/>
                <w:sz w:val="18"/>
                <w:szCs w:val="18"/>
              </w:rPr>
              <w:t>+</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65B881D" w14:textId="77777777" w:rsidR="00FB4DC8" w:rsidRDefault="00000000">
            <w:pPr>
              <w:spacing w:line="260" w:lineRule="auto"/>
              <w:jc w:val="center"/>
            </w:pPr>
            <w:r>
              <w:rPr>
                <w:rFonts w:ascii="Calibri" w:eastAsia="Calibri" w:hAnsi="Calibri" w:cs="Calibri"/>
                <w:b/>
                <w:bCs/>
                <w:sz w:val="18"/>
                <w:szCs w:val="18"/>
              </w:rPr>
              <w:t>+</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81B63F" w14:textId="77777777" w:rsidR="00FB4DC8" w:rsidRDefault="00000000">
            <w:pPr>
              <w:spacing w:line="260" w:lineRule="auto"/>
              <w:jc w:val="center"/>
            </w:pPr>
            <w:r>
              <w:rPr>
                <w:rFonts w:ascii="Calibri" w:eastAsia="Calibri" w:hAnsi="Calibri" w:cs="Calibri"/>
                <w:b/>
                <w:bCs/>
                <w:sz w:val="18"/>
                <w:szCs w:val="18"/>
              </w:rPr>
              <w:t>−</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39766F" w14:textId="77777777" w:rsidR="00FB4DC8" w:rsidRDefault="00000000">
            <w:pPr>
              <w:spacing w:line="260" w:lineRule="auto"/>
              <w:jc w:val="center"/>
            </w:pPr>
            <w:r>
              <w:rPr>
                <w:rFonts w:ascii="Calibri" w:eastAsia="Calibri" w:hAnsi="Calibri" w:cs="Calibri"/>
                <w:sz w:val="18"/>
                <w:szCs w:val="18"/>
              </w:rPr>
              <w:t>unrestricted</w:t>
            </w:r>
          </w:p>
        </w:tc>
      </w:tr>
      <w:tr w:rsidR="00FB4DC8" w14:paraId="13CBF8BA"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154CAFC" w14:textId="77777777" w:rsidR="00FB4DC8" w:rsidRDefault="00000000">
            <w:pPr>
              <w:spacing w:line="260" w:lineRule="auto"/>
            </w:pPr>
            <w:r>
              <w:rPr>
                <w:rFonts w:ascii="Calibri" w:eastAsia="Calibri" w:hAnsi="Calibri" w:cs="Calibri"/>
                <w:sz w:val="18"/>
                <w:szCs w:val="18"/>
              </w:rPr>
              <w:t>Industrial-demand</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CFBCC36" w14:textId="77777777" w:rsidR="00FB4DC8" w:rsidRDefault="00000000">
            <w:pPr>
              <w:spacing w:line="260" w:lineRule="auto"/>
              <w:jc w:val="center"/>
            </w:pPr>
            <w:r>
              <w:rPr>
                <w:rFonts w:ascii="Calibri" w:eastAsia="Calibri" w:hAnsi="Calibri" w:cs="Calibri"/>
                <w:b/>
                <w:bCs/>
                <w:sz w:val="18"/>
                <w:szCs w:val="18"/>
              </w:rPr>
              <w:t>+</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D602F7" w14:textId="77777777" w:rsidR="00FB4DC8" w:rsidRDefault="00000000">
            <w:pPr>
              <w:spacing w:line="260" w:lineRule="auto"/>
              <w:jc w:val="center"/>
            </w:pPr>
            <w:r>
              <w:rPr>
                <w:rFonts w:ascii="Calibri" w:eastAsia="Calibri" w:hAnsi="Calibri" w:cs="Calibri"/>
                <w:sz w:val="18"/>
                <w:szCs w:val="18"/>
              </w:rPr>
              <w:t>unrestricted</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73CB0C8" w14:textId="77777777" w:rsidR="00FB4DC8" w:rsidRDefault="00000000">
            <w:pPr>
              <w:spacing w:line="260" w:lineRule="auto"/>
              <w:jc w:val="center"/>
            </w:pPr>
            <w:r>
              <w:rPr>
                <w:rFonts w:ascii="Calibri" w:eastAsia="Calibri" w:hAnsi="Calibri" w:cs="Calibri"/>
                <w:b/>
                <w:bCs/>
                <w:sz w:val="18"/>
                <w:szCs w:val="18"/>
              </w:rPr>
              <w:t>+</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56D23A" w14:textId="77777777" w:rsidR="00FB4DC8" w:rsidRDefault="00000000">
            <w:pPr>
              <w:spacing w:line="260" w:lineRule="auto"/>
              <w:jc w:val="center"/>
            </w:pPr>
            <w:r>
              <w:rPr>
                <w:rFonts w:ascii="Calibri" w:eastAsia="Calibri" w:hAnsi="Calibri" w:cs="Calibri"/>
                <w:sz w:val="18"/>
                <w:szCs w:val="18"/>
              </w:rPr>
              <w:t>unrestricted</w:t>
            </w:r>
          </w:p>
        </w:tc>
      </w:tr>
      <w:tr w:rsidR="00FB4DC8" w14:paraId="19EA2FBD"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311C294" w14:textId="77777777" w:rsidR="00FB4DC8" w:rsidRDefault="00000000">
            <w:pPr>
              <w:spacing w:line="260" w:lineRule="auto"/>
            </w:pPr>
            <w:r>
              <w:rPr>
                <w:rFonts w:ascii="Calibri" w:eastAsia="Calibri" w:hAnsi="Calibri" w:cs="Calibri"/>
                <w:sz w:val="18"/>
                <w:szCs w:val="18"/>
              </w:rPr>
              <w:t>Renewable-tech</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62546D" w14:textId="77777777" w:rsidR="00FB4DC8" w:rsidRDefault="00000000">
            <w:pPr>
              <w:spacing w:line="260" w:lineRule="auto"/>
              <w:jc w:val="center"/>
            </w:pPr>
            <w:r>
              <w:rPr>
                <w:rFonts w:ascii="Calibri" w:eastAsia="Calibri" w:hAnsi="Calibri" w:cs="Calibri"/>
                <w:sz w:val="18"/>
                <w:szCs w:val="18"/>
              </w:rPr>
              <w:t>unrestricted</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4D96F6" w14:textId="77777777" w:rsidR="00FB4DC8" w:rsidRDefault="00000000">
            <w:pPr>
              <w:spacing w:line="260" w:lineRule="auto"/>
              <w:jc w:val="center"/>
            </w:pPr>
            <w:r>
              <w:rPr>
                <w:rFonts w:ascii="Calibri" w:eastAsia="Calibri" w:hAnsi="Calibri" w:cs="Calibri"/>
                <w:sz w:val="18"/>
                <w:szCs w:val="18"/>
              </w:rPr>
              <w:t>unrestricted</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A55281" w14:textId="77777777" w:rsidR="00FB4DC8" w:rsidRDefault="00000000">
            <w:pPr>
              <w:spacing w:line="260" w:lineRule="auto"/>
              <w:jc w:val="center"/>
            </w:pPr>
            <w:r>
              <w:rPr>
                <w:rFonts w:ascii="Calibri" w:eastAsia="Calibri" w:hAnsi="Calibri" w:cs="Calibri"/>
                <w:sz w:val="18"/>
                <w:szCs w:val="18"/>
              </w:rPr>
              <w:t>unrestricted</w:t>
            </w:r>
          </w:p>
        </w:tc>
        <w:tc>
          <w:tcPr>
            <w:tcW w:w="17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5AF15B" w14:textId="77777777" w:rsidR="00FB4DC8" w:rsidRDefault="00000000">
            <w:pPr>
              <w:spacing w:line="260" w:lineRule="auto"/>
              <w:jc w:val="center"/>
            </w:pPr>
            <w:r>
              <w:rPr>
                <w:rFonts w:ascii="Calibri" w:eastAsia="Calibri" w:hAnsi="Calibri" w:cs="Calibri"/>
                <w:b/>
                <w:bCs/>
                <w:sz w:val="18"/>
                <w:szCs w:val="18"/>
              </w:rPr>
              <w:t>+</w:t>
            </w:r>
          </w:p>
        </w:tc>
      </w:tr>
    </w:tbl>
    <w:p w14:paraId="48362CEB" w14:textId="77777777" w:rsidR="00FB4DC8" w:rsidRDefault="00000000">
      <w:pPr>
        <w:spacing w:after="140" w:line="320" w:lineRule="auto"/>
        <w:jc w:val="both"/>
      </w:pPr>
      <w:r>
        <w:t xml:space="preserve"> </w:t>
      </w:r>
    </w:p>
    <w:p w14:paraId="6166033E" w14:textId="77777777" w:rsidR="00FB4DC8" w:rsidRDefault="00000000">
      <w:pPr>
        <w:spacing w:after="140" w:line="320" w:lineRule="auto"/>
        <w:jc w:val="both"/>
      </w:pPr>
      <w:r>
        <w:t>Cells marked + or − are sign-restricted on impact; cells marked 'unrestricted' carry no restriction. The renewable-response column is sign-restricted only for the renewable-tech shock (positive), which means the renewable-tech shock has a built-in positive central response; the other three shocks leave the renewable response free.</w:t>
      </w:r>
    </w:p>
    <w:p w14:paraId="2197537E" w14:textId="77777777" w:rsidR="00FB4DC8" w:rsidRDefault="00000000">
      <w:pPr>
        <w:pStyle w:val="Heading2"/>
        <w:keepNext/>
      </w:pPr>
      <w:r>
        <w:t>Algorithm and not-a-Bayesian-SVAR caveat</w:t>
      </w:r>
    </w:p>
    <w:p w14:paraId="456AC6D0" w14:textId="77777777" w:rsidR="00FB4DC8" w:rsidRDefault="00000000">
      <w:pPr>
        <w:spacing w:after="140" w:line="320" w:lineRule="auto"/>
        <w:jc w:val="both"/>
      </w:pPr>
      <w:r>
        <w:t>We use the Rubio-Ramírez–Waggoner–Zha rotation algorithm</w:t>
      </w:r>
      <w:r>
        <w:rPr>
          <w:vertAlign w:val="superscript"/>
        </w:rPr>
        <w:t>27</w:t>
      </w:r>
      <w:r>
        <w:t>. For the reported VAR(3), the procedure draws an orthonormal Q by QR decomposition of an N(0,1) matrix, forms A = P·Q from the reduced-form Cholesky factor P, explores admissible column permutations and sign normalisations, and retains rotations satisfying the impact restrictions. The archived run retains 5,000 sign-satisfying rotations. This is not a Bayesian SVAR: only rotation uncertainty around one reduced-form point estimate is sampled, not the posterior over coefficients and covariance matrices</w:t>
      </w:r>
      <w:r>
        <w:rPr>
          <w:vertAlign w:val="superscript"/>
        </w:rPr>
        <w:t>33</w:t>
      </w:r>
      <w:r>
        <w:t>. Narrative restrictions are not imposed</w:t>
      </w:r>
      <w:r>
        <w:rPr>
          <w:vertAlign w:val="superscript"/>
        </w:rPr>
        <w:t>34</w:t>
      </w:r>
      <w:r>
        <w:t>.</w:t>
      </w:r>
    </w:p>
    <w:p w14:paraId="2C5A02B0" w14:textId="77777777" w:rsidR="00FB4DC8" w:rsidRDefault="00000000">
      <w:pPr>
        <w:pStyle w:val="Heading2"/>
        <w:keepNext/>
      </w:pPr>
      <w:r>
        <w:t>Lag-order and independent numerical verification</w:t>
      </w:r>
    </w:p>
    <w:p w14:paraId="1425EDB6" w14:textId="77777777" w:rsidR="00FB4DC8" w:rsidRDefault="00000000">
      <w:r>
        <w:t>Independent re-estimation reproduced the stored all-horizon VAR(3) impulse-response summaries with a maximum absolute difference of 0.0036 across medians and interval endpoints, consistent with Monte Carlo variation. Standard AIC values for lags 1–4 were −17.2417, −17.2278, −17.2043 and −17.1740, respectively. At h = 12, the VAR(1) 95% intervals were [−0.1167, 0.1095] for the oil-supply shock, [−0.1160, 0.1077] for the geopolitical shock, [−0.1189, 0.0971] for the industrial-demand shock and [−0.0106, 0.1192] for the renewable-technology shock. The corresponding VAR(3) intervals were [−0.1175, 0.1023], [−0.1166, 0.1006], [−0.1163, 0.0944] and [−0.0118, 0.1169]. Every interval includes zero, so the substantive conclusion is invariant to the lag choice.</w:t>
      </w:r>
    </w:p>
    <w:p w14:paraId="0E1D1572" w14:textId="77777777" w:rsidR="00FB4DC8" w:rsidRDefault="00000000">
      <w:pPr>
        <w:spacing w:before="200" w:after="80"/>
        <w:jc w:val="center"/>
      </w:pPr>
      <w:r>
        <w:rPr>
          <w:noProof/>
        </w:rPr>
        <w:lastRenderedPageBreak/>
        <w:drawing>
          <wp:inline distT="0" distB="0" distL="0" distR="0" wp14:anchorId="0522D65F" wp14:editId="2486AB38">
            <wp:extent cx="5524500" cy="1905000"/>
            <wp:effectExtent l="0" t="0" r="0" b="0"/>
            <wp:docPr id="15034613" name="fig_b1_signrestricted_svar.png" descr="Supplementary Fig. 2 | Sign-restricted SVAR rotation exercise: cumulative renewable-generation response to four identified structural shocks. Median across 5,000 retained sign-satisfying draws; 68% and 95% rotation-uncertainty intervals." title="fig_b1_signrestricted_sv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524500" cy="1905000"/>
                    </a:xfrm>
                    <a:prstGeom prst="rect">
                      <a:avLst/>
                    </a:prstGeom>
                  </pic:spPr>
                </pic:pic>
              </a:graphicData>
            </a:graphic>
          </wp:inline>
        </w:drawing>
      </w:r>
    </w:p>
    <w:p w14:paraId="0CCC5DFB" w14:textId="77777777" w:rsidR="00FB4DC8" w:rsidRDefault="00000000">
      <w:pPr>
        <w:spacing w:after="200"/>
        <w:jc w:val="center"/>
      </w:pPr>
      <w:r>
        <w:rPr>
          <w:i/>
          <w:iCs/>
          <w:color w:val="5A5A5A"/>
          <w:sz w:val="18"/>
          <w:szCs w:val="18"/>
        </w:rPr>
        <w:t>Supplementary Fig. 2 | Sign-restricted SVAR rotation exercise: cumulative renewable-generation response to four identified structural shocks. Median across 5,000 retained sign-satisfying draws; 68% and 95% rotation-uncertainty intervals.</w:t>
      </w:r>
    </w:p>
    <w:p w14:paraId="173E1611" w14:textId="77777777" w:rsidR="00FB4DC8" w:rsidRDefault="00000000">
      <w:pPr>
        <w:spacing w:after="140" w:line="320" w:lineRule="auto"/>
        <w:jc w:val="both"/>
      </w:pPr>
      <w:r>
        <w:t>Under a conventional 95% criterion, neither lag specification yields a statistically distinguishable short-run renewable-generation response to the oil-supply, geopolitical or industrial-demand shocks. The renewable-technology shock has a positive median response, but its 95% interval includes zero and its positive impact sign is imposed by construction. The SVAR is therefore diagnostic rather than primary evidence.</w:t>
      </w:r>
    </w:p>
    <w:p w14:paraId="43E14046" w14:textId="77777777" w:rsidR="00FB4DC8" w:rsidRDefault="00000000">
      <w:pPr>
        <w:pStyle w:val="Heading1"/>
        <w:keepNext/>
      </w:pPr>
      <w:r>
        <w:t>Supplementary Note 9 | Subgroup heterogeneity tests</w:t>
      </w:r>
    </w:p>
    <w:p w14:paraId="336B9CD1" w14:textId="77777777" w:rsidR="00FB4DC8" w:rsidRDefault="00000000">
      <w:pPr>
        <w:pStyle w:val="Heading2"/>
        <w:keepNext/>
      </w:pPr>
      <w:r>
        <w:t>Binary classification: net oil exporter vs net importer</w:t>
      </w:r>
    </w:p>
    <w:p w14:paraId="426BBA2B" w14:textId="77777777" w:rsidR="00FB4DC8" w:rsidRDefault="00000000">
      <w:pPr>
        <w:spacing w:after="140" w:line="320" w:lineRule="auto"/>
        <w:jc w:val="both"/>
      </w:pPr>
      <w:r>
        <w:t>The binary classification uses a time-invariant conventional list of 20 net oil exporters. For each shock, we compare exporter and importer gap distributions with a one-sided Mann–Whitney U test. Exporter samples contain only 4–14 countries, so the exercise is exploratory and sensitive to classification choices.</w:t>
      </w:r>
    </w:p>
    <w:p w14:paraId="39D1DEF6" w14:textId="77777777" w:rsidR="00FB4DC8" w:rsidRDefault="00000000">
      <w:pPr>
        <w:pStyle w:val="Heading2"/>
        <w:keepNext/>
      </w:pPr>
      <w:r>
        <w:t>Continuous classification: oil-rents quartile and Spearman correlation</w:t>
      </w:r>
    </w:p>
    <w:p w14:paraId="436346F4" w14:textId="77777777" w:rsidR="00FB4DC8" w:rsidRDefault="00000000">
      <w:pPr>
        <w:spacing w:after="140" w:line="320" w:lineRule="auto"/>
        <w:jc w:val="both"/>
      </w:pPr>
      <w:r>
        <w:t>Continuous heterogeneity is operationalised by the country mean of the World Bank NY.GDP.PETR.RT.ZS (oil rents % of GDP) averaged over the five pre-shock years (T−5 to T−1). Countries are divided into quartiles. Shock-specific Spearman rank correlations between oil rents and the post-shock capacity gap are reported below and in companion workbook sheet 15: ρ = −0.26 (p = 0.13) for 2008 GFC, ρ = +0.01 (p = 0.94) for 2014 oil crash, ρ = 0.00 (p = 0.98) for 2020 COVID, ρ = −0.05 (p = 0.62) for 2022 Russia–Ukraine. None reach conventional statistical significance.</w:t>
      </w:r>
    </w:p>
    <w:p w14:paraId="52A5D256" w14:textId="77777777" w:rsidR="00FB4DC8" w:rsidRDefault="00000000">
      <w:pPr>
        <w:pStyle w:val="Heading1"/>
        <w:keepNext/>
      </w:pPr>
      <w:r>
        <w:t>Supplementary Note 10 | Leave-out, quarterly-generation and pre-trend-window sensitivity</w:t>
      </w:r>
    </w:p>
    <w:p w14:paraId="3E8302F6" w14:textId="77777777" w:rsidR="00FB4DC8" w:rsidRDefault="00000000">
      <w:pPr>
        <w:spacing w:after="140" w:line="320" w:lineRule="auto"/>
        <w:jc w:val="both"/>
      </w:pPr>
      <w:r>
        <w:t>The leave-out test in main-article Table 2 defines the top-N economies separately for each shock using capacity at T−1. The fixed-2014 ranking is retained only as a backward-comparison specification.</w:t>
      </w:r>
    </w:p>
    <w:p w14:paraId="4315696A" w14:textId="77777777" w:rsidR="00FB4DC8" w:rsidRDefault="00000000">
      <w:pPr>
        <w:pStyle w:val="Heading2"/>
        <w:keepNext/>
      </w:pPr>
      <w:r>
        <w:lastRenderedPageBreak/>
        <w:t>Country-quarter generation cross-check</w:t>
      </w:r>
    </w:p>
    <w:p w14:paraId="2779DD61" w14:textId="77777777" w:rsidR="00FB4DC8" w:rsidRDefault="00000000">
      <w:r>
        <w:t>Applying the same descriptive logic to Ember country-quarter solar-plus-wind generation yields a 2020 median of −7.2% (n = 38; 95% CI [−21.0%, +3.5%]) and a 2022 median of −2.8% (n = 50; 95% CI [−10.5%, +4.9%]). Both are negative, but both intervals include zero. Placebo-quarter medians are generally positive and the early-placebo samples are very small. The exercise is therefore directionally consistent with negative short-run deviations but does not independently confirm the annual-capacity findings.</w:t>
      </w:r>
    </w:p>
    <w:p w14:paraId="092E8BDD" w14:textId="77777777" w:rsidR="00FB4DC8" w:rsidRDefault="00000000">
      <w:pPr>
        <w:pStyle w:val="Heading2"/>
        <w:keepNext/>
      </w:pPr>
      <w:r>
        <w:t>Pre-trend-window sensitivity</w:t>
      </w:r>
    </w:p>
    <w:p w14:paraId="59B8448C" w14:textId="77777777" w:rsidR="00FB4DC8" w:rsidRDefault="00000000">
      <w:r>
        <w:t>With a six-year rather than four-year pre-trend, t+0 medians are −8.1% for 2008, −16.1% for 2014, −6.4% for 2020 and −8.5% for 2022. The longer window makes all four estimates more negative, especially 2022. A clean six-year placebo comparison cannot be formed from the early panel without either pre-2000 observations or overlap with the named shocks. Consequently, the six-year estimates demonstrate level sensitivity but are not used for the placebo-based headline inference.</w:t>
      </w:r>
    </w:p>
    <w:p w14:paraId="0D2A8F98" w14:textId="77777777" w:rsidR="00FB4DC8" w:rsidRDefault="00000000">
      <w:pPr>
        <w:pStyle w:val="Heading2"/>
        <w:keepNext/>
      </w:pPr>
      <w:r>
        <w:t>Supplementary Table 5 | Shock-specific top-N identities (T−1 pre-shock capacity)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200"/>
        <w:gridCol w:w="3500"/>
        <w:gridCol w:w="2460"/>
      </w:tblGrid>
      <w:tr w:rsidR="00FB4DC8" w14:paraId="2B8A021D" w14:textId="77777777">
        <w:tblPrEx>
          <w:tblCellMar>
            <w:top w:w="0" w:type="dxa"/>
            <w:bottom w:w="0" w:type="dxa"/>
          </w:tblCellMar>
        </w:tblPrEx>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34D380CD" w14:textId="77777777" w:rsidR="00FB4DC8" w:rsidRDefault="00000000">
            <w:pPr>
              <w:spacing w:line="260" w:lineRule="auto"/>
            </w:pPr>
            <w:r>
              <w:rPr>
                <w:rFonts w:ascii="Calibri" w:eastAsia="Calibri" w:hAnsi="Calibri" w:cs="Calibri"/>
                <w:b/>
                <w:bCs/>
                <w:color w:val="FFFFFF"/>
                <w:sz w:val="18"/>
                <w:szCs w:val="18"/>
              </w:rPr>
              <w:t>Shock</w:t>
            </w:r>
          </w:p>
        </w:tc>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3101165C" w14:textId="77777777" w:rsidR="00FB4DC8" w:rsidRDefault="00000000">
            <w:pPr>
              <w:spacing w:line="260" w:lineRule="auto"/>
            </w:pPr>
            <w:r>
              <w:rPr>
                <w:rFonts w:ascii="Calibri" w:eastAsia="Calibri" w:hAnsi="Calibri" w:cs="Calibri"/>
                <w:b/>
                <w:bCs/>
                <w:color w:val="FFFFFF"/>
                <w:sz w:val="18"/>
                <w:szCs w:val="18"/>
              </w:rPr>
              <w:t>T−1</w:t>
            </w:r>
          </w:p>
        </w:tc>
        <w:tc>
          <w:tcPr>
            <w:tcW w:w="3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11C391C1" w14:textId="77777777" w:rsidR="00FB4DC8" w:rsidRDefault="00000000">
            <w:pPr>
              <w:spacing w:line="260" w:lineRule="auto"/>
            </w:pPr>
            <w:r>
              <w:rPr>
                <w:rFonts w:ascii="Calibri" w:eastAsia="Calibri" w:hAnsi="Calibri" w:cs="Calibri"/>
                <w:b/>
                <w:bCs/>
                <w:color w:val="FFFFFF"/>
                <w:sz w:val="18"/>
                <w:szCs w:val="18"/>
              </w:rPr>
              <w:t>Top-3 (T−1)</w:t>
            </w:r>
          </w:p>
        </w:tc>
        <w:tc>
          <w:tcPr>
            <w:tcW w:w="24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16BB53C9" w14:textId="77777777" w:rsidR="00FB4DC8" w:rsidRDefault="00000000">
            <w:pPr>
              <w:spacing w:line="260" w:lineRule="auto"/>
            </w:pPr>
            <w:r>
              <w:rPr>
                <w:rFonts w:ascii="Calibri" w:eastAsia="Calibri" w:hAnsi="Calibri" w:cs="Calibri"/>
                <w:b/>
                <w:bCs/>
                <w:color w:val="FFFFFF"/>
                <w:sz w:val="18"/>
                <w:szCs w:val="18"/>
              </w:rPr>
              <w:t>Top-5 (T−1)</w:t>
            </w:r>
          </w:p>
        </w:tc>
      </w:tr>
      <w:tr w:rsidR="00FB4DC8" w14:paraId="589341D2" w14:textId="77777777">
        <w:tblPrEx>
          <w:tblCellMar>
            <w:top w:w="0" w:type="dxa"/>
            <w:bottom w:w="0" w:type="dxa"/>
          </w:tblCellMar>
        </w:tblPrEx>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7FDFEF" w14:textId="77777777" w:rsidR="00FB4DC8" w:rsidRDefault="00000000">
            <w:pPr>
              <w:spacing w:line="260" w:lineRule="auto"/>
            </w:pPr>
            <w:r>
              <w:rPr>
                <w:rFonts w:ascii="Calibri" w:eastAsia="Calibri" w:hAnsi="Calibri" w:cs="Calibri"/>
                <w:sz w:val="18"/>
                <w:szCs w:val="18"/>
              </w:rPr>
              <w:t>2008 GFC</w:t>
            </w:r>
          </w:p>
        </w:tc>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BEC605" w14:textId="77777777" w:rsidR="00FB4DC8" w:rsidRDefault="00000000">
            <w:pPr>
              <w:spacing w:line="260" w:lineRule="auto"/>
            </w:pPr>
            <w:r>
              <w:rPr>
                <w:rFonts w:ascii="Calibri" w:eastAsia="Calibri" w:hAnsi="Calibri" w:cs="Calibri"/>
                <w:sz w:val="18"/>
                <w:szCs w:val="18"/>
              </w:rPr>
              <w:t>2007</w:t>
            </w:r>
          </w:p>
        </w:tc>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DBF5A67" w14:textId="77777777" w:rsidR="00FB4DC8" w:rsidRDefault="00000000">
            <w:pPr>
              <w:spacing w:line="260" w:lineRule="auto"/>
            </w:pPr>
            <w:r>
              <w:rPr>
                <w:rFonts w:ascii="Calibri" w:eastAsia="Calibri" w:hAnsi="Calibri" w:cs="Calibri"/>
                <w:sz w:val="18"/>
                <w:szCs w:val="18"/>
              </w:rPr>
              <w:t>Germany, US, Spain</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FBD7D2" w14:textId="77777777" w:rsidR="00FB4DC8" w:rsidRDefault="00000000">
            <w:pPr>
              <w:spacing w:line="260" w:lineRule="auto"/>
            </w:pPr>
            <w:r>
              <w:rPr>
                <w:rFonts w:ascii="Calibri" w:eastAsia="Calibri" w:hAnsi="Calibri" w:cs="Calibri"/>
                <w:sz w:val="18"/>
                <w:szCs w:val="18"/>
              </w:rPr>
              <w:t>+ India, China</w:t>
            </w:r>
          </w:p>
        </w:tc>
      </w:tr>
      <w:tr w:rsidR="00FB4DC8" w14:paraId="312317A8" w14:textId="77777777">
        <w:tblPrEx>
          <w:tblCellMar>
            <w:top w:w="0" w:type="dxa"/>
            <w:bottom w:w="0" w:type="dxa"/>
          </w:tblCellMar>
        </w:tblPrEx>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450E76A" w14:textId="77777777" w:rsidR="00FB4DC8" w:rsidRDefault="00000000">
            <w:pPr>
              <w:spacing w:line="260" w:lineRule="auto"/>
            </w:pPr>
            <w:r>
              <w:rPr>
                <w:rFonts w:ascii="Calibri" w:eastAsia="Calibri" w:hAnsi="Calibri" w:cs="Calibri"/>
                <w:sz w:val="18"/>
                <w:szCs w:val="18"/>
              </w:rPr>
              <w:t>2014 oil</w:t>
            </w:r>
          </w:p>
        </w:tc>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CA8F72" w14:textId="77777777" w:rsidR="00FB4DC8" w:rsidRDefault="00000000">
            <w:pPr>
              <w:spacing w:line="260" w:lineRule="auto"/>
            </w:pPr>
            <w:r>
              <w:rPr>
                <w:rFonts w:ascii="Calibri" w:eastAsia="Calibri" w:hAnsi="Calibri" w:cs="Calibri"/>
                <w:sz w:val="18"/>
                <w:szCs w:val="18"/>
              </w:rPr>
              <w:t>2013</w:t>
            </w:r>
          </w:p>
        </w:tc>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BEDDC42" w14:textId="77777777" w:rsidR="00FB4DC8" w:rsidRDefault="00000000">
            <w:pPr>
              <w:spacing w:line="260" w:lineRule="auto"/>
            </w:pPr>
            <w:r>
              <w:rPr>
                <w:rFonts w:ascii="Calibri" w:eastAsia="Calibri" w:hAnsi="Calibri" w:cs="Calibri"/>
                <w:sz w:val="18"/>
                <w:szCs w:val="18"/>
              </w:rPr>
              <w:t>China, US, Germany</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F27B3A1" w14:textId="77777777" w:rsidR="00FB4DC8" w:rsidRDefault="00000000">
            <w:pPr>
              <w:spacing w:line="260" w:lineRule="auto"/>
            </w:pPr>
            <w:r>
              <w:rPr>
                <w:rFonts w:ascii="Calibri" w:eastAsia="Calibri" w:hAnsi="Calibri" w:cs="Calibri"/>
                <w:sz w:val="18"/>
                <w:szCs w:val="18"/>
              </w:rPr>
              <w:t>+ Spain, Italy</w:t>
            </w:r>
          </w:p>
        </w:tc>
      </w:tr>
      <w:tr w:rsidR="00FB4DC8" w14:paraId="18809943" w14:textId="77777777">
        <w:tblPrEx>
          <w:tblCellMar>
            <w:top w:w="0" w:type="dxa"/>
            <w:bottom w:w="0" w:type="dxa"/>
          </w:tblCellMar>
        </w:tblPrEx>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4F5EBA" w14:textId="77777777" w:rsidR="00FB4DC8" w:rsidRDefault="00000000">
            <w:pPr>
              <w:spacing w:line="260" w:lineRule="auto"/>
            </w:pPr>
            <w:r>
              <w:rPr>
                <w:rFonts w:ascii="Calibri" w:eastAsia="Calibri" w:hAnsi="Calibri" w:cs="Calibri"/>
                <w:sz w:val="18"/>
                <w:szCs w:val="18"/>
              </w:rPr>
              <w:t>2020 COVID</w:t>
            </w:r>
          </w:p>
        </w:tc>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F1BF1E" w14:textId="77777777" w:rsidR="00FB4DC8" w:rsidRDefault="00000000">
            <w:pPr>
              <w:spacing w:line="260" w:lineRule="auto"/>
            </w:pPr>
            <w:r>
              <w:rPr>
                <w:rFonts w:ascii="Calibri" w:eastAsia="Calibri" w:hAnsi="Calibri" w:cs="Calibri"/>
                <w:sz w:val="18"/>
                <w:szCs w:val="18"/>
              </w:rPr>
              <w:t>2019</w:t>
            </w:r>
          </w:p>
        </w:tc>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3DA88E" w14:textId="77777777" w:rsidR="00FB4DC8" w:rsidRDefault="00000000">
            <w:pPr>
              <w:spacing w:line="260" w:lineRule="auto"/>
            </w:pPr>
            <w:r>
              <w:rPr>
                <w:rFonts w:ascii="Calibri" w:eastAsia="Calibri" w:hAnsi="Calibri" w:cs="Calibri"/>
                <w:sz w:val="18"/>
                <w:szCs w:val="18"/>
              </w:rPr>
              <w:t>China, US, Germany</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2783471" w14:textId="77777777" w:rsidR="00FB4DC8" w:rsidRDefault="00000000">
            <w:pPr>
              <w:spacing w:line="260" w:lineRule="auto"/>
            </w:pPr>
            <w:r>
              <w:rPr>
                <w:rFonts w:ascii="Calibri" w:eastAsia="Calibri" w:hAnsi="Calibri" w:cs="Calibri"/>
                <w:sz w:val="18"/>
                <w:szCs w:val="18"/>
              </w:rPr>
              <w:t>+ India, Japan</w:t>
            </w:r>
          </w:p>
        </w:tc>
      </w:tr>
      <w:tr w:rsidR="00FB4DC8" w14:paraId="59C2FA98" w14:textId="77777777">
        <w:tblPrEx>
          <w:tblCellMar>
            <w:top w:w="0" w:type="dxa"/>
            <w:bottom w:w="0" w:type="dxa"/>
          </w:tblCellMar>
        </w:tblPrEx>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8845A63" w14:textId="77777777" w:rsidR="00FB4DC8" w:rsidRDefault="00000000">
            <w:pPr>
              <w:spacing w:line="260" w:lineRule="auto"/>
            </w:pPr>
            <w:r>
              <w:rPr>
                <w:rFonts w:ascii="Calibri" w:eastAsia="Calibri" w:hAnsi="Calibri" w:cs="Calibri"/>
                <w:sz w:val="18"/>
                <w:szCs w:val="18"/>
              </w:rPr>
              <w:t>2022 R–U</w:t>
            </w:r>
          </w:p>
        </w:tc>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88C408A" w14:textId="77777777" w:rsidR="00FB4DC8" w:rsidRDefault="00000000">
            <w:pPr>
              <w:spacing w:line="260" w:lineRule="auto"/>
            </w:pPr>
            <w:r>
              <w:rPr>
                <w:rFonts w:ascii="Calibri" w:eastAsia="Calibri" w:hAnsi="Calibri" w:cs="Calibri"/>
                <w:sz w:val="18"/>
                <w:szCs w:val="18"/>
              </w:rPr>
              <w:t>2021</w:t>
            </w:r>
          </w:p>
        </w:tc>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794A6EE" w14:textId="77777777" w:rsidR="00FB4DC8" w:rsidRDefault="00000000">
            <w:pPr>
              <w:spacing w:line="260" w:lineRule="auto"/>
            </w:pPr>
            <w:r>
              <w:rPr>
                <w:rFonts w:ascii="Calibri" w:eastAsia="Calibri" w:hAnsi="Calibri" w:cs="Calibri"/>
                <w:sz w:val="18"/>
                <w:szCs w:val="18"/>
              </w:rPr>
              <w:t>China, US, Germany</w:t>
            </w:r>
          </w:p>
        </w:tc>
        <w:tc>
          <w:tcPr>
            <w:tcW w:w="24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D4C62A" w14:textId="77777777" w:rsidR="00FB4DC8" w:rsidRDefault="00000000">
            <w:pPr>
              <w:spacing w:line="260" w:lineRule="auto"/>
            </w:pPr>
            <w:r>
              <w:rPr>
                <w:rFonts w:ascii="Calibri" w:eastAsia="Calibri" w:hAnsi="Calibri" w:cs="Calibri"/>
                <w:sz w:val="18"/>
                <w:szCs w:val="18"/>
              </w:rPr>
              <w:t>+ India, Japan</w:t>
            </w:r>
          </w:p>
        </w:tc>
      </w:tr>
    </w:tbl>
    <w:p w14:paraId="2814820C" w14:textId="77777777" w:rsidR="00FB4DC8" w:rsidRDefault="00000000">
      <w:pPr>
        <w:spacing w:after="140" w:line="320" w:lineRule="auto"/>
        <w:jc w:val="both"/>
      </w:pPr>
      <w:r>
        <w:t xml:space="preserve"> </w:t>
      </w:r>
    </w:p>
    <w:p w14:paraId="35CDBE42" w14:textId="77777777" w:rsidR="00FB4DC8" w:rsidRDefault="00000000">
      <w:pPr>
        <w:pStyle w:val="Heading1"/>
        <w:keepNext/>
      </w:pPr>
      <w:r>
        <w:t>Supplementary Note 11 | Related-literature compilation</w:t>
      </w:r>
    </w:p>
    <w:p w14:paraId="3108B0C9" w14:textId="77777777" w:rsidR="00FB4DC8" w:rsidRDefault="00000000">
      <w:pPr>
        <w:spacing w:after="140" w:line="320" w:lineRule="auto"/>
        <w:jc w:val="both"/>
      </w:pPr>
      <w:r>
        <w:t>This note maps the sources used to position the Analysis. The summaries below describe what each source supports and avoid treating the cited studies as if they estimated the same outcome or design.</w:t>
      </w:r>
    </w:p>
    <w:p w14:paraId="3572DB73" w14:textId="77777777" w:rsidR="00FB4DC8" w:rsidRDefault="00000000">
      <w:pPr>
        <w:pStyle w:val="Heading2"/>
        <w:keepNext/>
      </w:pPr>
      <w:r>
        <w:t>Cross-country panel literature on oil prices and renewable adoption</w:t>
      </w:r>
    </w:p>
    <w:p w14:paraId="125988BF" w14:textId="77777777" w:rsidR="00FB4DC8" w:rsidRDefault="00000000">
      <w:pPr>
        <w:spacing w:after="140" w:line="320" w:lineRule="auto"/>
        <w:jc w:val="both"/>
      </w:pPr>
      <w:r>
        <w:t>Omri &amp; Nguyen</w:t>
      </w:r>
      <w:r>
        <w:rPr>
          <w:vertAlign w:val="superscript"/>
        </w:rPr>
        <w:t>9</w:t>
      </w:r>
      <w:r>
        <w:t xml:space="preserve"> analyse a 64-country panel and report that oil-price increases have a small negative association with renewable-energy consumption in the global and middle-income panels. Murshed &amp; Tanha</w:t>
      </w:r>
      <w:r>
        <w:rPr>
          <w:vertAlign w:val="superscript"/>
        </w:rPr>
        <w:t>10</w:t>
      </w:r>
      <w:r>
        <w:t xml:space="preserve"> study net oil-importing South Asian economies and report nonlinear relationships that vary across outcomes and countries. Neither study reports the cross-country distribution of deviations around named global shocks.</w:t>
      </w:r>
    </w:p>
    <w:p w14:paraId="0FDFC32F" w14:textId="77777777" w:rsidR="00FB4DC8" w:rsidRDefault="00000000">
      <w:pPr>
        <w:pStyle w:val="Heading2"/>
        <w:keepNext/>
      </w:pPr>
      <w:r>
        <w:t>Crisis-stimulus literature on the 2008–09 packages</w:t>
      </w:r>
    </w:p>
    <w:p w14:paraId="164F939B" w14:textId="77777777" w:rsidR="00FB4DC8" w:rsidRDefault="00000000">
      <w:pPr>
        <w:spacing w:after="140" w:line="320" w:lineRule="auto"/>
        <w:jc w:val="both"/>
      </w:pPr>
      <w:r>
        <w:t>The IEA commentary</w:t>
      </w:r>
      <w:r>
        <w:rPr>
          <w:vertAlign w:val="superscript"/>
        </w:rPr>
        <w:t>11</w:t>
      </w:r>
      <w:r>
        <w:t xml:space="preserve"> and analysis</w:t>
      </w:r>
      <w:r>
        <w:rPr>
          <w:vertAlign w:val="superscript"/>
        </w:rPr>
        <w:t>12</w:t>
      </w:r>
      <w:r>
        <w:t xml:space="preserve"> document how clean-energy measures were embedded in post-2008 stimulus programmes, while also emphasizing that ex-post attribution is difficult. The IEA’s Renewables 2020 assessment</w:t>
      </w:r>
      <w:r>
        <w:rPr>
          <w:vertAlign w:val="superscript"/>
        </w:rPr>
        <w:t>35</w:t>
      </w:r>
      <w:r>
        <w:t xml:space="preserve"> records an uneven COVID-era deployment response: first-half construction and connection rates slowed in many markets, but activity resumed rapidly and </w:t>
      </w:r>
      <w:r>
        <w:lastRenderedPageBreak/>
        <w:t>renewable electricity remained comparatively resilient. del Río &amp; Mir-Artigues</w:t>
      </w:r>
      <w:r>
        <w:rPr>
          <w:vertAlign w:val="superscript"/>
        </w:rPr>
        <w:t>36</w:t>
      </w:r>
      <w:r>
        <w:t xml:space="preserve"> is a case study of Spain’s solar-PV investment bubble; it is not evidence about a wind-investment collapse.</w:t>
      </w:r>
    </w:p>
    <w:p w14:paraId="05DE5743" w14:textId="77777777" w:rsidR="00FB4DC8" w:rsidRDefault="00000000">
      <w:pPr>
        <w:pStyle w:val="Heading2"/>
        <w:keepNext/>
      </w:pPr>
      <w:r>
        <w:t>Russia–Ukraine and security-premium literature</w:t>
      </w:r>
    </w:p>
    <w:p w14:paraId="3DC6506D" w14:textId="77777777" w:rsidR="00FB4DC8" w:rsidRDefault="00000000">
      <w:pPr>
        <w:spacing w:after="140" w:line="320" w:lineRule="auto"/>
        <w:jc w:val="both"/>
      </w:pPr>
      <w:r>
        <w:t>The European Commission’s REPowerEU Plan</w:t>
      </w:r>
      <w:r>
        <w:rPr>
          <w:vertAlign w:val="superscript"/>
        </w:rPr>
        <w:t>7</w:t>
      </w:r>
      <w:r>
        <w:t xml:space="preserve"> sets out the post-invasion policy response and a higher 2030 renewable target. The Bruegel dataset</w:t>
      </w:r>
      <w:r>
        <w:rPr>
          <w:vertAlign w:val="superscript"/>
        </w:rPr>
        <w:t>8</w:t>
      </w:r>
      <w:r>
        <w:t xml:space="preserve"> catalogues national fiscal responses to the energy crisis; it was first published in 2021 and has been continuously updated. These sources document policy concentration in Europe but do not establish the global causal effect of the 2022 shock.</w:t>
      </w:r>
    </w:p>
    <w:p w14:paraId="7C082A14" w14:textId="77777777" w:rsidR="00FB4DC8" w:rsidRDefault="00000000">
      <w:pPr>
        <w:pStyle w:val="Heading2"/>
        <w:keepNext/>
      </w:pPr>
      <w:r>
        <w:t>Methodological literature</w:t>
      </w:r>
    </w:p>
    <w:p w14:paraId="60434237" w14:textId="77777777" w:rsidR="00FB4DC8" w:rsidRDefault="00000000">
      <w:pPr>
        <w:spacing w:after="140" w:line="320" w:lineRule="auto"/>
        <w:jc w:val="both"/>
      </w:pPr>
      <w:r>
        <w:t>Sun &amp; Abraham</w:t>
      </w:r>
      <w:r>
        <w:rPr>
          <w:vertAlign w:val="superscript"/>
        </w:rPr>
        <w:t>21</w:t>
      </w:r>
      <w:r>
        <w:t xml:space="preserve"> and Callaway &amp; Sant’Anna</w:t>
      </w:r>
      <w:r>
        <w:rPr>
          <w:vertAlign w:val="superscript"/>
        </w:rPr>
        <w:t>22</w:t>
      </w:r>
      <w:r>
        <w:t xml:space="preserve"> show why heterogeneous treatment effects complicate causal event-study and difference-in-differences averages. Their estimators are not used here because the shocks are global and there is no untreated comparison group. Abadie, Diamond &amp; Hainmueller</w:t>
      </w:r>
      <w:r>
        <w:rPr>
          <w:vertAlign w:val="superscript"/>
        </w:rPr>
        <w:t>32</w:t>
      </w:r>
      <w:r>
        <w:t xml:space="preserve"> provides a synthetic-control alternative, but a credible donor pool is likewise unavailable for a global shock. Zhao et al.</w:t>
      </w:r>
      <w:r>
        <w:rPr>
          <w:vertAlign w:val="superscript"/>
        </w:rPr>
        <w:t>37</w:t>
      </w:r>
      <w:r>
        <w:t xml:space="preserve"> find that geopolitical risk reduces renewable-energy demand in their OECD panel; this differs from our short-run global generation diagnostic in outcome, horizon and design. Way et al.</w:t>
      </w:r>
      <w:r>
        <w:rPr>
          <w:vertAlign w:val="superscript"/>
        </w:rPr>
        <w:t>38</w:t>
      </w:r>
      <w:r>
        <w:t xml:space="preserve"> concerns long-run technology-cost forecasting, and Aklin &amp; Urpelainen</w:t>
      </w:r>
      <w:r>
        <w:rPr>
          <w:vertAlign w:val="superscript"/>
        </w:rPr>
        <w:t>39</w:t>
      </w:r>
      <w:r>
        <w:t xml:space="preserve"> provides a political-economy interpretation of shocks and renewable expansion. The SVAR uses sign rotations</w:t>
      </w:r>
      <w:r>
        <w:rPr>
          <w:vertAlign w:val="superscript"/>
        </w:rPr>
        <w:t>27</w:t>
      </w:r>
      <w:r>
        <w:t xml:space="preserve"> and does not impose narrative restrictions</w:t>
      </w:r>
      <w:r>
        <w:rPr>
          <w:vertAlign w:val="superscript"/>
        </w:rPr>
        <w:t>34</w:t>
      </w:r>
      <w:r>
        <w:t>.</w:t>
      </w:r>
    </w:p>
    <w:p w14:paraId="0F50290D" w14:textId="77777777" w:rsidR="00FB4DC8" w:rsidRDefault="00000000">
      <w:pPr>
        <w:pStyle w:val="Heading2"/>
        <w:keepNext/>
      </w:pPr>
      <w:r>
        <w:t>Broader transition and security context</w:t>
      </w:r>
    </w:p>
    <w:p w14:paraId="11438EE0" w14:textId="77777777" w:rsidR="00FB4DC8" w:rsidRDefault="00000000">
      <w:r>
        <w:t>IRENA and Ember reports</w:t>
      </w:r>
      <w:r>
        <w:rPr>
          <w:vertAlign w:val="superscript"/>
        </w:rPr>
        <w:t>40,41</w:t>
      </w:r>
      <w:r>
        <w:t xml:space="preserve"> describe the long-run expansion and falling costs of renewable power; the IEA critical-minerals outlook</w:t>
      </w:r>
      <w:r>
        <w:rPr>
          <w:vertAlign w:val="superscript"/>
        </w:rPr>
        <w:t>42</w:t>
      </w:r>
      <w:r>
        <w:t xml:space="preserve"> documents concentrated upstream and refining supply. IEA investment analysis</w:t>
      </w:r>
      <w:r>
        <w:rPr>
          <w:vertAlign w:val="superscript"/>
        </w:rPr>
        <w:t>43</w:t>
      </w:r>
      <w:r>
        <w:t>, the Our World in Data energy synthesis</w:t>
      </w:r>
      <w:r>
        <w:rPr>
          <w:vertAlign w:val="superscript"/>
        </w:rPr>
        <w:t>44</w:t>
      </w:r>
      <w:r>
        <w:t xml:space="preserve"> and the energy-security discussion by Bordoff &amp; O’Sullivan</w:t>
      </w:r>
      <w:r>
        <w:rPr>
          <w:vertAlign w:val="superscript"/>
        </w:rPr>
        <w:t>45</w:t>
      </w:r>
      <w:r>
        <w:t xml:space="preserve"> provide broader context but are not inputs to the event-study estimates.</w:t>
      </w:r>
    </w:p>
    <w:p w14:paraId="67CCCEDC" w14:textId="77777777" w:rsidR="00FB4DC8" w:rsidRDefault="00000000">
      <w:pPr>
        <w:pStyle w:val="Heading2"/>
        <w:keepNext/>
      </w:pPr>
      <w:r>
        <w:t>Diagnostic-extension literature</w:t>
      </w:r>
    </w:p>
    <w:p w14:paraId="3728C38F" w14:textId="77777777" w:rsidR="00FB4DC8" w:rsidRDefault="00000000">
      <w:pPr>
        <w:spacing w:after="140" w:line="320" w:lineRule="auto"/>
        <w:jc w:val="both"/>
      </w:pPr>
      <w:r>
        <w:t>Steffen et al.</w:t>
      </w:r>
      <w:r>
        <w:rPr>
          <w:vertAlign w:val="superscript"/>
        </w:rPr>
        <w:t>4</w:t>
      </w:r>
      <w:r>
        <w:t xml:space="preserve"> provide a 68-country project-level cost-of-capital dataset for 2010–2022. The World Economic Forum Energy Transition Index</w:t>
      </w:r>
      <w:r>
        <w:rPr>
          <w:vertAlign w:val="superscript"/>
        </w:rPr>
        <w:t>19</w:t>
      </w:r>
      <w:r>
        <w:t xml:space="preserve"> and World Bank RISE framework</w:t>
      </w:r>
      <w:r>
        <w:rPr>
          <w:vertAlign w:val="superscript"/>
        </w:rPr>
        <w:t>20</w:t>
      </w:r>
      <w:r>
        <w:t xml:space="preserve"> are forward-looking readiness measures that could be compared with the retrospective outcome measure in future work. The IEA affordability report</w:t>
      </w:r>
      <w:r>
        <w:rPr>
          <w:vertAlign w:val="superscript"/>
        </w:rPr>
        <w:t>46</w:t>
      </w:r>
      <w:r>
        <w:t xml:space="preserve"> supplies the contextual household electrification and bill markers in Supplementary Fig. 3. The systematic review by Kunskaja &amp; Pažėraitė</w:t>
      </w:r>
      <w:r>
        <w:rPr>
          <w:vertAlign w:val="superscript"/>
        </w:rPr>
        <w:t>5</w:t>
      </w:r>
      <w:r>
        <w:t xml:space="preserve"> motivates the exploratory choice of financing, development, fossil dependence and deployment maturity as candidate correlates; it does not establish causal determinants in this dataset.</w:t>
      </w:r>
    </w:p>
    <w:p w14:paraId="31E32588" w14:textId="77777777" w:rsidR="00FB4DC8" w:rsidRDefault="00000000">
      <w:pPr>
        <w:pStyle w:val="Heading1"/>
        <w:keepNext/>
      </w:pPr>
      <w:r>
        <w:lastRenderedPageBreak/>
        <w:t>Supplementary Note 12 | Household electrification and energy-affordability markers</w:t>
      </w:r>
    </w:p>
    <w:p w14:paraId="7223B16A" w14:textId="77777777" w:rsidR="00FB4DC8" w:rsidRDefault="00000000">
      <w:pPr>
        <w:spacing w:after="140" w:line="320" w:lineRule="auto"/>
        <w:jc w:val="both"/>
      </w:pPr>
      <w:r>
        <w:t>This note records published contextual shifts in household energy use and affordability. The International Energy Agency reports that electricity’s share of residential energy use rose from below 20% in 2000 to about 30% globally and 40% in advanced economies by 2024. It also reports that household electricity spending exceeded US$1 trillion for the first time in 2024 and that real household energy bills remained about 4% above 2019 levels after falling from their 2022 peak</w:t>
      </w:r>
      <w:r>
        <w:rPr>
          <w:vertAlign w:val="superscript"/>
        </w:rPr>
        <w:t>46</w:t>
      </w:r>
      <w:r>
        <w:t>. These values are not estimated in this study and do not enter the event-study or diagnostic regressions.</w:t>
      </w:r>
    </w:p>
    <w:p w14:paraId="5E5A15A2" w14:textId="77777777" w:rsidR="00FB4DC8" w:rsidRDefault="00000000">
      <w:pPr>
        <w:spacing w:after="140" w:line="320" w:lineRule="auto"/>
        <w:jc w:val="both"/>
      </w:pPr>
      <w:r>
        <w:t>The markers illustrate why contemporary energy shocks need not transmit through household budgets in the same way as earlier oil crises: residential demand is increasingly electrified, while the composition and policy treatment of energy bills have changed. This is interpretive context only. We did not assemble a cross-country energy-cost-share-of-GDP series, and we make no empirical claim about that quantity.</w:t>
      </w:r>
    </w:p>
    <w:p w14:paraId="40FCD7DF" w14:textId="77777777" w:rsidR="00FB4DC8" w:rsidRDefault="00000000">
      <w:pPr>
        <w:spacing w:after="140" w:line="320" w:lineRule="auto"/>
        <w:jc w:val="center"/>
      </w:pPr>
      <w:r>
        <w:rPr>
          <w:noProof/>
        </w:rPr>
        <w:drawing>
          <wp:inline distT="0" distB="0" distL="0" distR="0" wp14:anchorId="5D63395E" wp14:editId="429CA390">
            <wp:extent cx="6446520" cy="2460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ry_Figure_3_Electrification_Affordability_v4_2.png"/>
                    <pic:cNvPicPr/>
                  </pic:nvPicPr>
                  <pic:blipFill>
                    <a:blip r:embed="rId9"/>
                    <a:stretch>
                      <a:fillRect/>
                    </a:stretch>
                  </pic:blipFill>
                  <pic:spPr>
                    <a:xfrm>
                      <a:off x="0" y="0"/>
                      <a:ext cx="6446520" cy="2460504"/>
                    </a:xfrm>
                    <a:prstGeom prst="rect">
                      <a:avLst/>
                    </a:prstGeom>
                  </pic:spPr>
                </pic:pic>
              </a:graphicData>
            </a:graphic>
          </wp:inline>
        </w:drawing>
      </w:r>
    </w:p>
    <w:p w14:paraId="3EF24EB1" w14:textId="77777777" w:rsidR="00FB4DC8" w:rsidRDefault="00000000">
      <w:pPr>
        <w:spacing w:after="200"/>
        <w:jc w:val="center"/>
      </w:pPr>
      <w:r>
        <w:t>Supplementary Fig. 3 | Household electrification and energy-affordability markers. (a) Electricity’s share of residential energy use in 2024—about 30% for the world and 40% in advanced economies; the world share was below 20% in 2000. (b) Two separately reported affordability markers: household electricity spending exceeded US$1 trillion for the first time in 2024, and real household energy bills remained about 4% above 2019 levels. All values are published IEA figures; none is estimated here. Source: ref. 44.</w:t>
      </w:r>
    </w:p>
    <w:p w14:paraId="70C1BD7B" w14:textId="77777777" w:rsidR="00FB4DC8" w:rsidRDefault="00000000">
      <w:pPr>
        <w:pStyle w:val="Heading1"/>
        <w:keepNext/>
      </w:pPr>
      <w:r>
        <w:t>Supplementary Note 13 | Exploratory country-level correlates and robustness</w:t>
      </w:r>
    </w:p>
    <w:p w14:paraId="538F0813" w14:textId="77777777" w:rsidR="00FB4DC8" w:rsidRDefault="00000000">
      <w:pPr>
        <w:spacing w:after="140" w:line="320" w:lineRule="auto"/>
        <w:jc w:val="both"/>
      </w:pPr>
      <w:r>
        <w:t>The dependent variable is each country’s post-shock capacity gap. Predictors are the fitted pre-shock trend slope, log pre-shock capacity, a static net-oil-exporter indicator, the World Bank FY2026 income group coded 1–4, and the World Bank oil-rents share of GDP. Income groups are current classifications based on 2024 Atlas-method GNI per capita</w:t>
      </w:r>
      <w:r>
        <w:rPr>
          <w:vertAlign w:val="superscript"/>
        </w:rPr>
        <w:t>6</w:t>
      </w:r>
      <w:r>
        <w:t>, not historical T−1 values or direct cost-</w:t>
      </w:r>
      <w:r>
        <w:lastRenderedPageBreak/>
        <w:t>of-capital observations. Ethiopia and Venezuela are unclassified and omitted; four French overseas territories inherit France’s high-income category. The preferred t+0 model includes 317 country–shock observations from 114 countries, with shock fixed effects and country-clustered standard errors. The pooled model adds horizon fixed effects and contains 951 observations.</w:t>
      </w:r>
    </w:p>
    <w:p w14:paraId="3135AC6D" w14:textId="77777777" w:rsidR="00FB4DC8" w:rsidRDefault="00000000">
      <w:pPr>
        <w:spacing w:after="140" w:line="320" w:lineRule="auto"/>
        <w:jc w:val="both"/>
      </w:pPr>
      <w:r>
        <w:t>Mechanical term. The fitted slope also constructs the projected capacity in the dependent variable. It is therefore a diagnostic of trend-extrapolation geometry rather than an independent structural determinant. A 0.1 increase in annual log pre-shock growth is associated with a 5.3-percentage-point more-negative t+0 gap. The coefficient is negative in every reported specification, but its interpretation is partly mechanical.</w:t>
      </w:r>
    </w:p>
    <w:p w14:paraId="73249E2C" w14:textId="77777777" w:rsidR="00FB4DC8" w:rsidRDefault="00000000">
      <w:pPr>
        <w:spacing w:after="140" w:line="320" w:lineRule="auto"/>
        <w:jc w:val="both"/>
      </w:pPr>
      <w:r>
        <w:t>Structural terms. With the FY2026 classification, income is positive but not conventionally significant at t+0 (+4.1 pp, p = 0.218) or when horizons are pooled (+10.6 pp, p = 0.051). The exporter coefficient is negative but also imprecise in pooled models (t+0 −9.0 pp, p = 0.102; pooled −13.5 pp, p = 0.092); shock-specific estimates are negative and significant in 2008 and 2022, positive and non-significant in 2020, and imprecise in 2014. Oil rents show no robust linear gradient. These are candidate correlations, not determinants or policy levers.</w:t>
      </w:r>
    </w:p>
    <w:p w14:paraId="5ED4F040" w14:textId="77777777" w:rsidR="00FB4DC8" w:rsidRDefault="00000000">
      <w:pPr>
        <w:spacing w:after="140" w:line="320" w:lineRule="auto"/>
        <w:jc w:val="both"/>
      </w:pPr>
      <w:r>
        <w:t>Sensitivity and outliers. Uruguay’s 2014 t+0 gap is approximately +596%, illustrating the right-skewed outcome distribution. Winsorisation weakens the income coefficient. In median regression, income remains non-significant (+2.2 pp, p = 0.122); exporter status (−12.8 pp, p = 0.029) and fossil rents (+0.8 pp, p = 0.026) are statistically distinguishable, but these isolated quantile results are not corroborated by the mean-regression battery and are treated as exploratory. The income-by-exporter interaction is non-significant (+5.9 pp, p = 0.449).</w:t>
      </w:r>
    </w:p>
    <w:p w14:paraId="2A11A13E" w14:textId="77777777" w:rsidR="00FB4DC8" w:rsidRDefault="00000000">
      <w:pPr>
        <w:spacing w:after="140" w:line="320" w:lineRule="auto"/>
        <w:jc w:val="both"/>
      </w:pPr>
      <w:r>
        <w:t>External validity remains untested. ETI and RISE scores were not merged, so no claim is made that they correlate with or are independent of the retrospective gap measure. The project-level cost-of-capital data in ref. 41 provide a route to a direct financing variable in future work.</w:t>
      </w:r>
    </w:p>
    <w:p w14:paraId="016380C6" w14:textId="77777777" w:rsidR="00FB4DC8" w:rsidRDefault="00000000">
      <w:pPr>
        <w:pStyle w:val="Heading2"/>
        <w:keepNext/>
      </w:pPr>
      <w:r>
        <w:t>Supplementary Table 6 | Robustness of the exploratory structural-predictor regression. Each cell reports coefficient in percentage points with p-value in parentheses. The first three rows vary the standard-error estimator; shock-specific rows use HC1 errors. The pooled model includes horizon fixed effects. Income enters as an ordinal 1–4 score except in the categorical-income row.</w:t>
      </w:r>
    </w:p>
    <w:tbl>
      <w:tblPr>
        <w:tblW w:w="0" w:type="auto"/>
        <w:jc w:val="center"/>
        <w:tblCellMar>
          <w:left w:w="10" w:type="dxa"/>
          <w:right w:w="10" w:type="dxa"/>
        </w:tblCellMar>
        <w:tblLook w:val="04A0" w:firstRow="1" w:lastRow="0" w:firstColumn="1" w:lastColumn="0" w:noHBand="0" w:noVBand="1"/>
      </w:tblPr>
      <w:tblGrid>
        <w:gridCol w:w="1337"/>
        <w:gridCol w:w="1337"/>
        <w:gridCol w:w="1337"/>
        <w:gridCol w:w="1337"/>
        <w:gridCol w:w="1337"/>
        <w:gridCol w:w="1337"/>
        <w:gridCol w:w="1337"/>
      </w:tblGrid>
      <w:tr w:rsidR="00FB4DC8" w14:paraId="1CBE8ABF" w14:textId="77777777">
        <w:tblPrEx>
          <w:tblCellMar>
            <w:top w:w="0" w:type="dxa"/>
            <w:bottom w:w="0" w:type="dxa"/>
          </w:tblCellMar>
        </w:tblPrEx>
        <w:trPr>
          <w:cantSplit/>
          <w:tblHeader/>
          <w:jc w:val="center"/>
        </w:trPr>
        <w:tc>
          <w:tcPr>
            <w:tcW w:w="1337" w:type="dxa"/>
            <w:vAlign w:val="center"/>
          </w:tcPr>
          <w:p w14:paraId="614FD6B6" w14:textId="77777777" w:rsidR="00FB4DC8" w:rsidRDefault="00000000">
            <w:r>
              <w:rPr>
                <w:b/>
                <w:sz w:val="16"/>
              </w:rPr>
              <w:t>Specification</w:t>
            </w:r>
          </w:p>
        </w:tc>
        <w:tc>
          <w:tcPr>
            <w:tcW w:w="1337" w:type="dxa"/>
            <w:vAlign w:val="center"/>
          </w:tcPr>
          <w:p w14:paraId="4EECF975" w14:textId="77777777" w:rsidR="00FB4DC8" w:rsidRDefault="00000000">
            <w:pPr>
              <w:jc w:val="center"/>
            </w:pPr>
            <w:r>
              <w:rPr>
                <w:b/>
                <w:sz w:val="16"/>
              </w:rPr>
              <w:t>n</w:t>
            </w:r>
          </w:p>
        </w:tc>
        <w:tc>
          <w:tcPr>
            <w:tcW w:w="1337" w:type="dxa"/>
            <w:vAlign w:val="center"/>
          </w:tcPr>
          <w:p w14:paraId="742ACDAD" w14:textId="77777777" w:rsidR="00FB4DC8" w:rsidRDefault="00000000">
            <w:pPr>
              <w:jc w:val="center"/>
            </w:pPr>
            <w:r>
              <w:rPr>
                <w:b/>
                <w:sz w:val="16"/>
              </w:rPr>
              <w:t>Slope</w:t>
            </w:r>
          </w:p>
        </w:tc>
        <w:tc>
          <w:tcPr>
            <w:tcW w:w="1337" w:type="dxa"/>
            <w:vAlign w:val="center"/>
          </w:tcPr>
          <w:p w14:paraId="29214D53" w14:textId="77777777" w:rsidR="00FB4DC8" w:rsidRDefault="00000000">
            <w:pPr>
              <w:jc w:val="center"/>
            </w:pPr>
            <w:r>
              <w:rPr>
                <w:b/>
                <w:sz w:val="16"/>
              </w:rPr>
              <w:t>Net oil-exp.</w:t>
            </w:r>
          </w:p>
        </w:tc>
        <w:tc>
          <w:tcPr>
            <w:tcW w:w="1337" w:type="dxa"/>
            <w:vAlign w:val="center"/>
          </w:tcPr>
          <w:p w14:paraId="7DA03D25" w14:textId="77777777" w:rsidR="00FB4DC8" w:rsidRDefault="00000000">
            <w:pPr>
              <w:jc w:val="center"/>
            </w:pPr>
            <w:r>
              <w:rPr>
                <w:b/>
                <w:sz w:val="16"/>
              </w:rPr>
              <w:t>Income</w:t>
            </w:r>
          </w:p>
        </w:tc>
        <w:tc>
          <w:tcPr>
            <w:tcW w:w="1337" w:type="dxa"/>
            <w:vAlign w:val="center"/>
          </w:tcPr>
          <w:p w14:paraId="0756A609" w14:textId="77777777" w:rsidR="00FB4DC8" w:rsidRDefault="00000000">
            <w:pPr>
              <w:jc w:val="center"/>
            </w:pPr>
            <w:r>
              <w:rPr>
                <w:b/>
                <w:sz w:val="16"/>
              </w:rPr>
              <w:t>log cap.</w:t>
            </w:r>
          </w:p>
        </w:tc>
        <w:tc>
          <w:tcPr>
            <w:tcW w:w="1337" w:type="dxa"/>
            <w:vAlign w:val="center"/>
          </w:tcPr>
          <w:p w14:paraId="222C68D5" w14:textId="77777777" w:rsidR="00FB4DC8" w:rsidRDefault="00000000">
            <w:pPr>
              <w:jc w:val="center"/>
            </w:pPr>
            <w:r>
              <w:rPr>
                <w:b/>
                <w:sz w:val="16"/>
              </w:rPr>
              <w:t>Oil rents</w:t>
            </w:r>
          </w:p>
        </w:tc>
      </w:tr>
      <w:tr w:rsidR="00FB4DC8" w14:paraId="73CD9F34" w14:textId="77777777">
        <w:tblPrEx>
          <w:tblCellMar>
            <w:top w:w="0" w:type="dxa"/>
            <w:bottom w:w="0" w:type="dxa"/>
          </w:tblCellMar>
        </w:tblPrEx>
        <w:trPr>
          <w:cantSplit/>
          <w:jc w:val="center"/>
        </w:trPr>
        <w:tc>
          <w:tcPr>
            <w:tcW w:w="1337" w:type="dxa"/>
            <w:vAlign w:val="center"/>
          </w:tcPr>
          <w:p w14:paraId="54DD9348" w14:textId="77777777" w:rsidR="00FB4DC8" w:rsidRDefault="00000000">
            <w:r>
              <w:rPr>
                <w:sz w:val="16"/>
              </w:rPr>
              <w:t>classical SE</w:t>
            </w:r>
          </w:p>
        </w:tc>
        <w:tc>
          <w:tcPr>
            <w:tcW w:w="1337" w:type="dxa"/>
            <w:vAlign w:val="center"/>
          </w:tcPr>
          <w:p w14:paraId="53681F73" w14:textId="77777777" w:rsidR="00FB4DC8" w:rsidRDefault="00000000">
            <w:pPr>
              <w:jc w:val="center"/>
            </w:pPr>
            <w:r>
              <w:rPr>
                <w:sz w:val="16"/>
              </w:rPr>
              <w:t>317</w:t>
            </w:r>
          </w:p>
        </w:tc>
        <w:tc>
          <w:tcPr>
            <w:tcW w:w="1337" w:type="dxa"/>
            <w:vAlign w:val="center"/>
          </w:tcPr>
          <w:p w14:paraId="5C8B6700" w14:textId="77777777" w:rsidR="00FB4DC8" w:rsidRDefault="00000000">
            <w:pPr>
              <w:jc w:val="center"/>
            </w:pPr>
            <w:r>
              <w:rPr>
                <w:sz w:val="16"/>
              </w:rPr>
              <w:t>-52.7 (&lt;0.001)</w:t>
            </w:r>
          </w:p>
        </w:tc>
        <w:tc>
          <w:tcPr>
            <w:tcW w:w="1337" w:type="dxa"/>
            <w:vAlign w:val="center"/>
          </w:tcPr>
          <w:p w14:paraId="6AFB5E3D" w14:textId="77777777" w:rsidR="00FB4DC8" w:rsidRDefault="00000000">
            <w:pPr>
              <w:jc w:val="center"/>
            </w:pPr>
            <w:r>
              <w:rPr>
                <w:sz w:val="16"/>
              </w:rPr>
              <w:t>-9.0 (0.499)</w:t>
            </w:r>
          </w:p>
        </w:tc>
        <w:tc>
          <w:tcPr>
            <w:tcW w:w="1337" w:type="dxa"/>
            <w:vAlign w:val="center"/>
          </w:tcPr>
          <w:p w14:paraId="485B31F0" w14:textId="77777777" w:rsidR="00FB4DC8" w:rsidRDefault="00000000">
            <w:pPr>
              <w:jc w:val="center"/>
            </w:pPr>
            <w:r>
              <w:rPr>
                <w:sz w:val="16"/>
              </w:rPr>
              <w:t>+4.1 (0.213)</w:t>
            </w:r>
          </w:p>
        </w:tc>
        <w:tc>
          <w:tcPr>
            <w:tcW w:w="1337" w:type="dxa"/>
            <w:vAlign w:val="center"/>
          </w:tcPr>
          <w:p w14:paraId="6D978DB1" w14:textId="77777777" w:rsidR="00FB4DC8" w:rsidRDefault="00000000">
            <w:pPr>
              <w:jc w:val="center"/>
            </w:pPr>
            <w:r>
              <w:rPr>
                <w:sz w:val="16"/>
              </w:rPr>
              <w:t>-3.1 (0.031)</w:t>
            </w:r>
          </w:p>
        </w:tc>
        <w:tc>
          <w:tcPr>
            <w:tcW w:w="1337" w:type="dxa"/>
            <w:vAlign w:val="center"/>
          </w:tcPr>
          <w:p w14:paraId="6A23A068" w14:textId="77777777" w:rsidR="00FB4DC8" w:rsidRDefault="00000000">
            <w:pPr>
              <w:jc w:val="center"/>
            </w:pPr>
            <w:r>
              <w:rPr>
                <w:sz w:val="16"/>
              </w:rPr>
              <w:t>+0.4 (0.620)</w:t>
            </w:r>
          </w:p>
        </w:tc>
      </w:tr>
      <w:tr w:rsidR="00FB4DC8" w14:paraId="2E41F55F" w14:textId="77777777">
        <w:tblPrEx>
          <w:tblCellMar>
            <w:top w:w="0" w:type="dxa"/>
            <w:bottom w:w="0" w:type="dxa"/>
          </w:tblCellMar>
        </w:tblPrEx>
        <w:trPr>
          <w:cantSplit/>
          <w:jc w:val="center"/>
        </w:trPr>
        <w:tc>
          <w:tcPr>
            <w:tcW w:w="1337" w:type="dxa"/>
            <w:vAlign w:val="center"/>
          </w:tcPr>
          <w:p w14:paraId="32617D89" w14:textId="77777777" w:rsidR="00FB4DC8" w:rsidRDefault="00000000">
            <w:r>
              <w:rPr>
                <w:sz w:val="16"/>
              </w:rPr>
              <w:t>HC1 robust SE</w:t>
            </w:r>
          </w:p>
        </w:tc>
        <w:tc>
          <w:tcPr>
            <w:tcW w:w="1337" w:type="dxa"/>
            <w:vAlign w:val="center"/>
          </w:tcPr>
          <w:p w14:paraId="6119BCF8" w14:textId="77777777" w:rsidR="00FB4DC8" w:rsidRDefault="00000000">
            <w:pPr>
              <w:jc w:val="center"/>
            </w:pPr>
            <w:r>
              <w:rPr>
                <w:sz w:val="16"/>
              </w:rPr>
              <w:t>317</w:t>
            </w:r>
          </w:p>
        </w:tc>
        <w:tc>
          <w:tcPr>
            <w:tcW w:w="1337" w:type="dxa"/>
            <w:vAlign w:val="center"/>
          </w:tcPr>
          <w:p w14:paraId="33736BE2" w14:textId="77777777" w:rsidR="00FB4DC8" w:rsidRDefault="00000000">
            <w:pPr>
              <w:jc w:val="center"/>
            </w:pPr>
            <w:r>
              <w:rPr>
                <w:sz w:val="16"/>
              </w:rPr>
              <w:t>-52.7 (&lt;0.001)</w:t>
            </w:r>
          </w:p>
        </w:tc>
        <w:tc>
          <w:tcPr>
            <w:tcW w:w="1337" w:type="dxa"/>
            <w:vAlign w:val="center"/>
          </w:tcPr>
          <w:p w14:paraId="6DFE8541" w14:textId="77777777" w:rsidR="00FB4DC8" w:rsidRDefault="00000000">
            <w:pPr>
              <w:jc w:val="center"/>
            </w:pPr>
            <w:r>
              <w:rPr>
                <w:sz w:val="16"/>
              </w:rPr>
              <w:t>-9.0 (0.120)</w:t>
            </w:r>
          </w:p>
        </w:tc>
        <w:tc>
          <w:tcPr>
            <w:tcW w:w="1337" w:type="dxa"/>
            <w:vAlign w:val="center"/>
          </w:tcPr>
          <w:p w14:paraId="584B0BBE" w14:textId="77777777" w:rsidR="00FB4DC8" w:rsidRDefault="00000000">
            <w:pPr>
              <w:jc w:val="center"/>
            </w:pPr>
            <w:r>
              <w:rPr>
                <w:sz w:val="16"/>
              </w:rPr>
              <w:t>+4.1 (0.238)</w:t>
            </w:r>
          </w:p>
        </w:tc>
        <w:tc>
          <w:tcPr>
            <w:tcW w:w="1337" w:type="dxa"/>
            <w:vAlign w:val="center"/>
          </w:tcPr>
          <w:p w14:paraId="520E5EE6" w14:textId="77777777" w:rsidR="00FB4DC8" w:rsidRDefault="00000000">
            <w:pPr>
              <w:jc w:val="center"/>
            </w:pPr>
            <w:r>
              <w:rPr>
                <w:sz w:val="16"/>
              </w:rPr>
              <w:t>-3.1 (0.181)</w:t>
            </w:r>
          </w:p>
        </w:tc>
        <w:tc>
          <w:tcPr>
            <w:tcW w:w="1337" w:type="dxa"/>
            <w:vAlign w:val="center"/>
          </w:tcPr>
          <w:p w14:paraId="0C5B8675" w14:textId="77777777" w:rsidR="00FB4DC8" w:rsidRDefault="00000000">
            <w:pPr>
              <w:jc w:val="center"/>
            </w:pPr>
            <w:r>
              <w:rPr>
                <w:sz w:val="16"/>
              </w:rPr>
              <w:t>+0.4 (0.481)</w:t>
            </w:r>
          </w:p>
        </w:tc>
      </w:tr>
      <w:tr w:rsidR="00FB4DC8" w14:paraId="5756248C" w14:textId="77777777">
        <w:tblPrEx>
          <w:tblCellMar>
            <w:top w:w="0" w:type="dxa"/>
            <w:bottom w:w="0" w:type="dxa"/>
          </w:tblCellMar>
        </w:tblPrEx>
        <w:trPr>
          <w:cantSplit/>
          <w:jc w:val="center"/>
        </w:trPr>
        <w:tc>
          <w:tcPr>
            <w:tcW w:w="1337" w:type="dxa"/>
            <w:vAlign w:val="center"/>
          </w:tcPr>
          <w:p w14:paraId="336F0033" w14:textId="77777777" w:rsidR="00FB4DC8" w:rsidRDefault="00000000">
            <w:r>
              <w:rPr>
                <w:sz w:val="16"/>
              </w:rPr>
              <w:t>country-clustered SE (main)</w:t>
            </w:r>
          </w:p>
        </w:tc>
        <w:tc>
          <w:tcPr>
            <w:tcW w:w="1337" w:type="dxa"/>
            <w:vAlign w:val="center"/>
          </w:tcPr>
          <w:p w14:paraId="44677154" w14:textId="77777777" w:rsidR="00FB4DC8" w:rsidRDefault="00000000">
            <w:pPr>
              <w:jc w:val="center"/>
            </w:pPr>
            <w:r>
              <w:rPr>
                <w:sz w:val="16"/>
              </w:rPr>
              <w:t>317</w:t>
            </w:r>
          </w:p>
        </w:tc>
        <w:tc>
          <w:tcPr>
            <w:tcW w:w="1337" w:type="dxa"/>
            <w:vAlign w:val="center"/>
          </w:tcPr>
          <w:p w14:paraId="4F738453" w14:textId="77777777" w:rsidR="00FB4DC8" w:rsidRDefault="00000000">
            <w:pPr>
              <w:jc w:val="center"/>
            </w:pPr>
            <w:r>
              <w:rPr>
                <w:sz w:val="16"/>
              </w:rPr>
              <w:t>-52.7 (&lt;0.001)</w:t>
            </w:r>
          </w:p>
        </w:tc>
        <w:tc>
          <w:tcPr>
            <w:tcW w:w="1337" w:type="dxa"/>
            <w:vAlign w:val="center"/>
          </w:tcPr>
          <w:p w14:paraId="1DA831B5" w14:textId="77777777" w:rsidR="00FB4DC8" w:rsidRDefault="00000000">
            <w:pPr>
              <w:jc w:val="center"/>
            </w:pPr>
            <w:r>
              <w:rPr>
                <w:sz w:val="16"/>
              </w:rPr>
              <w:t>-9.0 (0.102)</w:t>
            </w:r>
          </w:p>
        </w:tc>
        <w:tc>
          <w:tcPr>
            <w:tcW w:w="1337" w:type="dxa"/>
            <w:vAlign w:val="center"/>
          </w:tcPr>
          <w:p w14:paraId="5887A027" w14:textId="77777777" w:rsidR="00FB4DC8" w:rsidRDefault="00000000">
            <w:pPr>
              <w:jc w:val="center"/>
            </w:pPr>
            <w:r>
              <w:rPr>
                <w:sz w:val="16"/>
              </w:rPr>
              <w:t>+4.1 (0.218)</w:t>
            </w:r>
          </w:p>
        </w:tc>
        <w:tc>
          <w:tcPr>
            <w:tcW w:w="1337" w:type="dxa"/>
            <w:vAlign w:val="center"/>
          </w:tcPr>
          <w:p w14:paraId="6617E93C" w14:textId="77777777" w:rsidR="00FB4DC8" w:rsidRDefault="00000000">
            <w:pPr>
              <w:jc w:val="center"/>
            </w:pPr>
            <w:r>
              <w:rPr>
                <w:sz w:val="16"/>
              </w:rPr>
              <w:t>-3.1 (0.178)</w:t>
            </w:r>
          </w:p>
        </w:tc>
        <w:tc>
          <w:tcPr>
            <w:tcW w:w="1337" w:type="dxa"/>
            <w:vAlign w:val="center"/>
          </w:tcPr>
          <w:p w14:paraId="3E5B804F" w14:textId="77777777" w:rsidR="00FB4DC8" w:rsidRDefault="00000000">
            <w:pPr>
              <w:jc w:val="center"/>
            </w:pPr>
            <w:r>
              <w:rPr>
                <w:sz w:val="16"/>
              </w:rPr>
              <w:t>+0.4 (0.489)</w:t>
            </w:r>
          </w:p>
        </w:tc>
      </w:tr>
      <w:tr w:rsidR="00FB4DC8" w14:paraId="701E1B8F" w14:textId="77777777">
        <w:tblPrEx>
          <w:tblCellMar>
            <w:top w:w="0" w:type="dxa"/>
            <w:bottom w:w="0" w:type="dxa"/>
          </w:tblCellMar>
        </w:tblPrEx>
        <w:trPr>
          <w:cantSplit/>
          <w:jc w:val="center"/>
        </w:trPr>
        <w:tc>
          <w:tcPr>
            <w:tcW w:w="1337" w:type="dxa"/>
            <w:vAlign w:val="center"/>
          </w:tcPr>
          <w:p w14:paraId="1EC50480" w14:textId="77777777" w:rsidR="00FB4DC8" w:rsidRDefault="00000000">
            <w:r>
              <w:rPr>
                <w:sz w:val="16"/>
              </w:rPr>
              <w:t>income as 4 categories</w:t>
            </w:r>
          </w:p>
        </w:tc>
        <w:tc>
          <w:tcPr>
            <w:tcW w:w="1337" w:type="dxa"/>
            <w:vAlign w:val="center"/>
          </w:tcPr>
          <w:p w14:paraId="074A5CB9" w14:textId="77777777" w:rsidR="00FB4DC8" w:rsidRDefault="00000000">
            <w:pPr>
              <w:jc w:val="center"/>
            </w:pPr>
            <w:r>
              <w:rPr>
                <w:sz w:val="16"/>
              </w:rPr>
              <w:t>317</w:t>
            </w:r>
          </w:p>
        </w:tc>
        <w:tc>
          <w:tcPr>
            <w:tcW w:w="1337" w:type="dxa"/>
            <w:vAlign w:val="center"/>
          </w:tcPr>
          <w:p w14:paraId="4AD3DDDA" w14:textId="77777777" w:rsidR="00FB4DC8" w:rsidRDefault="00000000">
            <w:pPr>
              <w:jc w:val="center"/>
            </w:pPr>
            <w:r>
              <w:rPr>
                <w:sz w:val="16"/>
              </w:rPr>
              <w:t>-52.3 (&lt;0.001)</w:t>
            </w:r>
          </w:p>
        </w:tc>
        <w:tc>
          <w:tcPr>
            <w:tcW w:w="1337" w:type="dxa"/>
            <w:vAlign w:val="center"/>
          </w:tcPr>
          <w:p w14:paraId="3CF2DA53" w14:textId="77777777" w:rsidR="00FB4DC8" w:rsidRDefault="00000000">
            <w:pPr>
              <w:jc w:val="center"/>
            </w:pPr>
            <w:r>
              <w:rPr>
                <w:sz w:val="16"/>
              </w:rPr>
              <w:t>-8.8 (0.112)</w:t>
            </w:r>
          </w:p>
        </w:tc>
        <w:tc>
          <w:tcPr>
            <w:tcW w:w="1337" w:type="dxa"/>
            <w:vAlign w:val="center"/>
          </w:tcPr>
          <w:p w14:paraId="4BAE6BBB" w14:textId="77777777" w:rsidR="00FB4DC8" w:rsidRDefault="00000000">
            <w:pPr>
              <w:jc w:val="center"/>
            </w:pPr>
            <w:r>
              <w:rPr>
                <w:sz w:val="16"/>
              </w:rPr>
              <w:t>— (—)</w:t>
            </w:r>
          </w:p>
        </w:tc>
        <w:tc>
          <w:tcPr>
            <w:tcW w:w="1337" w:type="dxa"/>
            <w:vAlign w:val="center"/>
          </w:tcPr>
          <w:p w14:paraId="7D67CD01" w14:textId="77777777" w:rsidR="00FB4DC8" w:rsidRDefault="00000000">
            <w:pPr>
              <w:jc w:val="center"/>
            </w:pPr>
            <w:r>
              <w:rPr>
                <w:sz w:val="16"/>
              </w:rPr>
              <w:t>-3.1 (0.172)</w:t>
            </w:r>
          </w:p>
        </w:tc>
        <w:tc>
          <w:tcPr>
            <w:tcW w:w="1337" w:type="dxa"/>
            <w:vAlign w:val="center"/>
          </w:tcPr>
          <w:p w14:paraId="1230AB08" w14:textId="77777777" w:rsidR="00FB4DC8" w:rsidRDefault="00000000">
            <w:pPr>
              <w:jc w:val="center"/>
            </w:pPr>
            <w:r>
              <w:rPr>
                <w:sz w:val="16"/>
              </w:rPr>
              <w:t>+0.4 (0.489)</w:t>
            </w:r>
          </w:p>
        </w:tc>
      </w:tr>
      <w:tr w:rsidR="00FB4DC8" w14:paraId="2DF56B16" w14:textId="77777777">
        <w:tblPrEx>
          <w:tblCellMar>
            <w:top w:w="0" w:type="dxa"/>
            <w:bottom w:w="0" w:type="dxa"/>
          </w:tblCellMar>
        </w:tblPrEx>
        <w:trPr>
          <w:cantSplit/>
          <w:jc w:val="center"/>
        </w:trPr>
        <w:tc>
          <w:tcPr>
            <w:tcW w:w="1337" w:type="dxa"/>
            <w:vAlign w:val="center"/>
          </w:tcPr>
          <w:p w14:paraId="4E142BFE" w14:textId="77777777" w:rsidR="00FB4DC8" w:rsidRDefault="00000000">
            <w:r>
              <w:rPr>
                <w:sz w:val="16"/>
              </w:rPr>
              <w:t>winsorised DV 2.5/97.5</w:t>
            </w:r>
          </w:p>
        </w:tc>
        <w:tc>
          <w:tcPr>
            <w:tcW w:w="1337" w:type="dxa"/>
            <w:vAlign w:val="center"/>
          </w:tcPr>
          <w:p w14:paraId="76E89074" w14:textId="77777777" w:rsidR="00FB4DC8" w:rsidRDefault="00000000">
            <w:pPr>
              <w:jc w:val="center"/>
            </w:pPr>
            <w:r>
              <w:rPr>
                <w:sz w:val="16"/>
              </w:rPr>
              <w:t>317</w:t>
            </w:r>
          </w:p>
        </w:tc>
        <w:tc>
          <w:tcPr>
            <w:tcW w:w="1337" w:type="dxa"/>
            <w:vAlign w:val="center"/>
          </w:tcPr>
          <w:p w14:paraId="52FAA288" w14:textId="77777777" w:rsidR="00FB4DC8" w:rsidRDefault="00000000">
            <w:pPr>
              <w:jc w:val="center"/>
            </w:pPr>
            <w:r>
              <w:rPr>
                <w:sz w:val="16"/>
              </w:rPr>
              <w:t>-46.4 (&lt;0.001)</w:t>
            </w:r>
          </w:p>
        </w:tc>
        <w:tc>
          <w:tcPr>
            <w:tcW w:w="1337" w:type="dxa"/>
            <w:vAlign w:val="center"/>
          </w:tcPr>
          <w:p w14:paraId="743A26ED" w14:textId="77777777" w:rsidR="00FB4DC8" w:rsidRDefault="00000000">
            <w:pPr>
              <w:jc w:val="center"/>
            </w:pPr>
            <w:r>
              <w:rPr>
                <w:sz w:val="16"/>
              </w:rPr>
              <w:t>-9.5 (0.082)</w:t>
            </w:r>
          </w:p>
        </w:tc>
        <w:tc>
          <w:tcPr>
            <w:tcW w:w="1337" w:type="dxa"/>
            <w:vAlign w:val="center"/>
          </w:tcPr>
          <w:p w14:paraId="75F44509" w14:textId="77777777" w:rsidR="00FB4DC8" w:rsidRDefault="00000000">
            <w:pPr>
              <w:jc w:val="center"/>
            </w:pPr>
            <w:r>
              <w:rPr>
                <w:sz w:val="16"/>
              </w:rPr>
              <w:t>+1.9 (0.250)</w:t>
            </w:r>
          </w:p>
        </w:tc>
        <w:tc>
          <w:tcPr>
            <w:tcW w:w="1337" w:type="dxa"/>
            <w:vAlign w:val="center"/>
          </w:tcPr>
          <w:p w14:paraId="37095C89" w14:textId="77777777" w:rsidR="00FB4DC8" w:rsidRDefault="00000000">
            <w:pPr>
              <w:jc w:val="center"/>
            </w:pPr>
            <w:r>
              <w:rPr>
                <w:sz w:val="16"/>
              </w:rPr>
              <w:t>-0.9 (0.257)</w:t>
            </w:r>
          </w:p>
        </w:tc>
        <w:tc>
          <w:tcPr>
            <w:tcW w:w="1337" w:type="dxa"/>
            <w:vAlign w:val="center"/>
          </w:tcPr>
          <w:p w14:paraId="7D2FCDC1" w14:textId="77777777" w:rsidR="00FB4DC8" w:rsidRDefault="00000000">
            <w:pPr>
              <w:jc w:val="center"/>
            </w:pPr>
            <w:r>
              <w:rPr>
                <w:sz w:val="16"/>
              </w:rPr>
              <w:t>+0.7 (0.197)</w:t>
            </w:r>
          </w:p>
        </w:tc>
      </w:tr>
      <w:tr w:rsidR="00FB4DC8" w14:paraId="4596CA2B" w14:textId="77777777">
        <w:tblPrEx>
          <w:tblCellMar>
            <w:top w:w="0" w:type="dxa"/>
            <w:bottom w:w="0" w:type="dxa"/>
          </w:tblCellMar>
        </w:tblPrEx>
        <w:trPr>
          <w:cantSplit/>
          <w:jc w:val="center"/>
        </w:trPr>
        <w:tc>
          <w:tcPr>
            <w:tcW w:w="1337" w:type="dxa"/>
            <w:vAlign w:val="center"/>
          </w:tcPr>
          <w:p w14:paraId="3B19FC24" w14:textId="77777777" w:rsidR="00FB4DC8" w:rsidRDefault="00000000">
            <w:r>
              <w:rPr>
                <w:sz w:val="16"/>
              </w:rPr>
              <w:t>drop 7 largest economies</w:t>
            </w:r>
          </w:p>
        </w:tc>
        <w:tc>
          <w:tcPr>
            <w:tcW w:w="1337" w:type="dxa"/>
            <w:vAlign w:val="center"/>
          </w:tcPr>
          <w:p w14:paraId="6EEAC00D" w14:textId="77777777" w:rsidR="00FB4DC8" w:rsidRDefault="00000000">
            <w:pPr>
              <w:jc w:val="center"/>
            </w:pPr>
            <w:r>
              <w:rPr>
                <w:sz w:val="16"/>
              </w:rPr>
              <w:t>289</w:t>
            </w:r>
          </w:p>
        </w:tc>
        <w:tc>
          <w:tcPr>
            <w:tcW w:w="1337" w:type="dxa"/>
            <w:vAlign w:val="center"/>
          </w:tcPr>
          <w:p w14:paraId="3ED69DCC" w14:textId="77777777" w:rsidR="00FB4DC8" w:rsidRDefault="00000000">
            <w:pPr>
              <w:jc w:val="center"/>
            </w:pPr>
            <w:r>
              <w:rPr>
                <w:sz w:val="16"/>
              </w:rPr>
              <w:t>-53.3 (&lt;0.001)</w:t>
            </w:r>
          </w:p>
        </w:tc>
        <w:tc>
          <w:tcPr>
            <w:tcW w:w="1337" w:type="dxa"/>
            <w:vAlign w:val="center"/>
          </w:tcPr>
          <w:p w14:paraId="4A706450" w14:textId="77777777" w:rsidR="00FB4DC8" w:rsidRDefault="00000000">
            <w:pPr>
              <w:jc w:val="center"/>
            </w:pPr>
            <w:r>
              <w:rPr>
                <w:sz w:val="16"/>
              </w:rPr>
              <w:t>-6.6 (0.269)</w:t>
            </w:r>
          </w:p>
        </w:tc>
        <w:tc>
          <w:tcPr>
            <w:tcW w:w="1337" w:type="dxa"/>
            <w:vAlign w:val="center"/>
          </w:tcPr>
          <w:p w14:paraId="54C53CA9" w14:textId="77777777" w:rsidR="00FB4DC8" w:rsidRDefault="00000000">
            <w:pPr>
              <w:jc w:val="center"/>
            </w:pPr>
            <w:r>
              <w:rPr>
                <w:sz w:val="16"/>
              </w:rPr>
              <w:t>+5.4 (0.183)</w:t>
            </w:r>
          </w:p>
        </w:tc>
        <w:tc>
          <w:tcPr>
            <w:tcW w:w="1337" w:type="dxa"/>
            <w:vAlign w:val="center"/>
          </w:tcPr>
          <w:p w14:paraId="2DB4F2F1" w14:textId="77777777" w:rsidR="00FB4DC8" w:rsidRDefault="00000000">
            <w:pPr>
              <w:jc w:val="center"/>
            </w:pPr>
            <w:r>
              <w:rPr>
                <w:sz w:val="16"/>
              </w:rPr>
              <w:t>-4.3 (0.179)</w:t>
            </w:r>
          </w:p>
        </w:tc>
        <w:tc>
          <w:tcPr>
            <w:tcW w:w="1337" w:type="dxa"/>
            <w:vAlign w:val="center"/>
          </w:tcPr>
          <w:p w14:paraId="11D8CF56" w14:textId="77777777" w:rsidR="00FB4DC8" w:rsidRDefault="00000000">
            <w:pPr>
              <w:jc w:val="center"/>
            </w:pPr>
            <w:r>
              <w:rPr>
                <w:sz w:val="16"/>
              </w:rPr>
              <w:t>+0.3 (0.679)</w:t>
            </w:r>
          </w:p>
        </w:tc>
      </w:tr>
      <w:tr w:rsidR="00FB4DC8" w14:paraId="6A849421" w14:textId="77777777">
        <w:tblPrEx>
          <w:tblCellMar>
            <w:top w:w="0" w:type="dxa"/>
            <w:bottom w:w="0" w:type="dxa"/>
          </w:tblCellMar>
        </w:tblPrEx>
        <w:trPr>
          <w:cantSplit/>
          <w:jc w:val="center"/>
        </w:trPr>
        <w:tc>
          <w:tcPr>
            <w:tcW w:w="1337" w:type="dxa"/>
            <w:vAlign w:val="center"/>
          </w:tcPr>
          <w:p w14:paraId="44D6A8BD" w14:textId="77777777" w:rsidR="00FB4DC8" w:rsidRDefault="00000000">
            <w:r>
              <w:rPr>
                <w:sz w:val="16"/>
              </w:rPr>
              <w:t>+ region fixed effects</w:t>
            </w:r>
          </w:p>
        </w:tc>
        <w:tc>
          <w:tcPr>
            <w:tcW w:w="1337" w:type="dxa"/>
            <w:vAlign w:val="center"/>
          </w:tcPr>
          <w:p w14:paraId="7A1441AF" w14:textId="77777777" w:rsidR="00FB4DC8" w:rsidRDefault="00000000">
            <w:pPr>
              <w:jc w:val="center"/>
            </w:pPr>
            <w:r>
              <w:rPr>
                <w:sz w:val="16"/>
              </w:rPr>
              <w:t>317</w:t>
            </w:r>
          </w:p>
        </w:tc>
        <w:tc>
          <w:tcPr>
            <w:tcW w:w="1337" w:type="dxa"/>
            <w:vAlign w:val="center"/>
          </w:tcPr>
          <w:p w14:paraId="7628CD68" w14:textId="77777777" w:rsidR="00FB4DC8" w:rsidRDefault="00000000">
            <w:pPr>
              <w:jc w:val="center"/>
            </w:pPr>
            <w:r>
              <w:rPr>
                <w:sz w:val="16"/>
              </w:rPr>
              <w:t>-53.7 (&lt;0.001)</w:t>
            </w:r>
          </w:p>
        </w:tc>
        <w:tc>
          <w:tcPr>
            <w:tcW w:w="1337" w:type="dxa"/>
            <w:vAlign w:val="center"/>
          </w:tcPr>
          <w:p w14:paraId="165D1222" w14:textId="77777777" w:rsidR="00FB4DC8" w:rsidRDefault="00000000">
            <w:pPr>
              <w:jc w:val="center"/>
            </w:pPr>
            <w:r>
              <w:rPr>
                <w:sz w:val="16"/>
              </w:rPr>
              <w:t>-8.6 (0.206)</w:t>
            </w:r>
          </w:p>
        </w:tc>
        <w:tc>
          <w:tcPr>
            <w:tcW w:w="1337" w:type="dxa"/>
            <w:vAlign w:val="center"/>
          </w:tcPr>
          <w:p w14:paraId="0B8D65DE" w14:textId="77777777" w:rsidR="00FB4DC8" w:rsidRDefault="00000000">
            <w:pPr>
              <w:jc w:val="center"/>
            </w:pPr>
            <w:r>
              <w:rPr>
                <w:sz w:val="16"/>
              </w:rPr>
              <w:t>+7.6 (0.211)</w:t>
            </w:r>
          </w:p>
        </w:tc>
        <w:tc>
          <w:tcPr>
            <w:tcW w:w="1337" w:type="dxa"/>
            <w:vAlign w:val="center"/>
          </w:tcPr>
          <w:p w14:paraId="4A899C03" w14:textId="77777777" w:rsidR="00FB4DC8" w:rsidRDefault="00000000">
            <w:pPr>
              <w:jc w:val="center"/>
            </w:pPr>
            <w:r>
              <w:rPr>
                <w:sz w:val="16"/>
              </w:rPr>
              <w:t>-3.1 (0.142)</w:t>
            </w:r>
          </w:p>
        </w:tc>
        <w:tc>
          <w:tcPr>
            <w:tcW w:w="1337" w:type="dxa"/>
            <w:vAlign w:val="center"/>
          </w:tcPr>
          <w:p w14:paraId="1C32F8EE" w14:textId="77777777" w:rsidR="00FB4DC8" w:rsidRDefault="00000000">
            <w:pPr>
              <w:jc w:val="center"/>
            </w:pPr>
            <w:r>
              <w:rPr>
                <w:sz w:val="16"/>
              </w:rPr>
              <w:t>+0.0 (0.962)</w:t>
            </w:r>
          </w:p>
        </w:tc>
      </w:tr>
      <w:tr w:rsidR="00FB4DC8" w14:paraId="198930F7" w14:textId="77777777">
        <w:tblPrEx>
          <w:tblCellMar>
            <w:top w:w="0" w:type="dxa"/>
            <w:bottom w:w="0" w:type="dxa"/>
          </w:tblCellMar>
        </w:tblPrEx>
        <w:trPr>
          <w:cantSplit/>
          <w:jc w:val="center"/>
        </w:trPr>
        <w:tc>
          <w:tcPr>
            <w:tcW w:w="1337" w:type="dxa"/>
            <w:vAlign w:val="center"/>
          </w:tcPr>
          <w:p w14:paraId="7B33B5BD" w14:textId="77777777" w:rsidR="00FB4DC8" w:rsidRDefault="00000000">
            <w:r>
              <w:rPr>
                <w:sz w:val="16"/>
              </w:rPr>
              <w:lastRenderedPageBreak/>
              <w:t>pooled horizons, clustered</w:t>
            </w:r>
          </w:p>
        </w:tc>
        <w:tc>
          <w:tcPr>
            <w:tcW w:w="1337" w:type="dxa"/>
            <w:vAlign w:val="center"/>
          </w:tcPr>
          <w:p w14:paraId="09D00841" w14:textId="77777777" w:rsidR="00FB4DC8" w:rsidRDefault="00000000">
            <w:pPr>
              <w:jc w:val="center"/>
            </w:pPr>
            <w:r>
              <w:rPr>
                <w:sz w:val="16"/>
              </w:rPr>
              <w:t>951</w:t>
            </w:r>
          </w:p>
        </w:tc>
        <w:tc>
          <w:tcPr>
            <w:tcW w:w="1337" w:type="dxa"/>
            <w:vAlign w:val="center"/>
          </w:tcPr>
          <w:p w14:paraId="0CD94B02" w14:textId="77777777" w:rsidR="00FB4DC8" w:rsidRDefault="00000000">
            <w:pPr>
              <w:jc w:val="center"/>
            </w:pPr>
            <w:r>
              <w:rPr>
                <w:sz w:val="16"/>
              </w:rPr>
              <w:t>-97.7 (&lt;0.001)</w:t>
            </w:r>
          </w:p>
        </w:tc>
        <w:tc>
          <w:tcPr>
            <w:tcW w:w="1337" w:type="dxa"/>
            <w:vAlign w:val="center"/>
          </w:tcPr>
          <w:p w14:paraId="071F3158" w14:textId="77777777" w:rsidR="00FB4DC8" w:rsidRDefault="00000000">
            <w:pPr>
              <w:jc w:val="center"/>
            </w:pPr>
            <w:r>
              <w:rPr>
                <w:sz w:val="16"/>
              </w:rPr>
              <w:t>-13.5 (0.092)</w:t>
            </w:r>
          </w:p>
        </w:tc>
        <w:tc>
          <w:tcPr>
            <w:tcW w:w="1337" w:type="dxa"/>
            <w:vAlign w:val="center"/>
          </w:tcPr>
          <w:p w14:paraId="52B4B77D" w14:textId="77777777" w:rsidR="00FB4DC8" w:rsidRDefault="00000000">
            <w:pPr>
              <w:jc w:val="center"/>
            </w:pPr>
            <w:r>
              <w:rPr>
                <w:sz w:val="16"/>
              </w:rPr>
              <w:t>+10.6 (0.051)</w:t>
            </w:r>
          </w:p>
        </w:tc>
        <w:tc>
          <w:tcPr>
            <w:tcW w:w="1337" w:type="dxa"/>
            <w:vAlign w:val="center"/>
          </w:tcPr>
          <w:p w14:paraId="79F00AED" w14:textId="77777777" w:rsidR="00FB4DC8" w:rsidRDefault="00000000">
            <w:pPr>
              <w:jc w:val="center"/>
            </w:pPr>
            <w:r>
              <w:rPr>
                <w:sz w:val="16"/>
              </w:rPr>
              <w:t>-7.8 (0.040)</w:t>
            </w:r>
          </w:p>
        </w:tc>
        <w:tc>
          <w:tcPr>
            <w:tcW w:w="1337" w:type="dxa"/>
            <w:vAlign w:val="center"/>
          </w:tcPr>
          <w:p w14:paraId="08E0221C" w14:textId="77777777" w:rsidR="00FB4DC8" w:rsidRDefault="00000000">
            <w:pPr>
              <w:jc w:val="center"/>
            </w:pPr>
            <w:r>
              <w:rPr>
                <w:sz w:val="16"/>
              </w:rPr>
              <w:t>+0.1 (0.870)</w:t>
            </w:r>
          </w:p>
        </w:tc>
      </w:tr>
      <w:tr w:rsidR="00FB4DC8" w14:paraId="5EA5EB72" w14:textId="77777777">
        <w:tblPrEx>
          <w:tblCellMar>
            <w:top w:w="0" w:type="dxa"/>
            <w:bottom w:w="0" w:type="dxa"/>
          </w:tblCellMar>
        </w:tblPrEx>
        <w:trPr>
          <w:cantSplit/>
          <w:jc w:val="center"/>
        </w:trPr>
        <w:tc>
          <w:tcPr>
            <w:tcW w:w="1337" w:type="dxa"/>
            <w:vAlign w:val="center"/>
          </w:tcPr>
          <w:p w14:paraId="3F282E53" w14:textId="77777777" w:rsidR="00FB4DC8" w:rsidRDefault="00000000">
            <w:r>
              <w:rPr>
                <w:sz w:val="16"/>
              </w:rPr>
              <w:t>2008 only</w:t>
            </w:r>
          </w:p>
        </w:tc>
        <w:tc>
          <w:tcPr>
            <w:tcW w:w="1337" w:type="dxa"/>
            <w:vAlign w:val="center"/>
          </w:tcPr>
          <w:p w14:paraId="038601A5" w14:textId="77777777" w:rsidR="00FB4DC8" w:rsidRDefault="00000000">
            <w:pPr>
              <w:jc w:val="center"/>
            </w:pPr>
            <w:r>
              <w:rPr>
                <w:sz w:val="16"/>
              </w:rPr>
              <w:t>36</w:t>
            </w:r>
          </w:p>
        </w:tc>
        <w:tc>
          <w:tcPr>
            <w:tcW w:w="1337" w:type="dxa"/>
            <w:vAlign w:val="center"/>
          </w:tcPr>
          <w:p w14:paraId="46F9C21A" w14:textId="77777777" w:rsidR="00FB4DC8" w:rsidRDefault="00000000">
            <w:pPr>
              <w:jc w:val="center"/>
            </w:pPr>
            <w:r>
              <w:rPr>
                <w:sz w:val="16"/>
              </w:rPr>
              <w:t>-31.8 (0.042)</w:t>
            </w:r>
          </w:p>
        </w:tc>
        <w:tc>
          <w:tcPr>
            <w:tcW w:w="1337" w:type="dxa"/>
            <w:vAlign w:val="center"/>
          </w:tcPr>
          <w:p w14:paraId="76982AE5" w14:textId="77777777" w:rsidR="00FB4DC8" w:rsidRDefault="00000000">
            <w:pPr>
              <w:jc w:val="center"/>
            </w:pPr>
            <w:r>
              <w:rPr>
                <w:sz w:val="16"/>
              </w:rPr>
              <w:t>-21.9 (0.011)</w:t>
            </w:r>
          </w:p>
        </w:tc>
        <w:tc>
          <w:tcPr>
            <w:tcW w:w="1337" w:type="dxa"/>
            <w:vAlign w:val="center"/>
          </w:tcPr>
          <w:p w14:paraId="46B29006" w14:textId="77777777" w:rsidR="00FB4DC8" w:rsidRDefault="00000000">
            <w:pPr>
              <w:jc w:val="center"/>
            </w:pPr>
            <w:r>
              <w:rPr>
                <w:sz w:val="16"/>
              </w:rPr>
              <w:t>-3.6 (0.449)</w:t>
            </w:r>
          </w:p>
        </w:tc>
        <w:tc>
          <w:tcPr>
            <w:tcW w:w="1337" w:type="dxa"/>
            <w:vAlign w:val="center"/>
          </w:tcPr>
          <w:p w14:paraId="4B4C012F" w14:textId="77777777" w:rsidR="00FB4DC8" w:rsidRDefault="00000000">
            <w:pPr>
              <w:jc w:val="center"/>
            </w:pPr>
            <w:r>
              <w:rPr>
                <w:sz w:val="16"/>
              </w:rPr>
              <w:t>+0.3 (0.856)</w:t>
            </w:r>
          </w:p>
        </w:tc>
        <w:tc>
          <w:tcPr>
            <w:tcW w:w="1337" w:type="dxa"/>
            <w:vAlign w:val="center"/>
          </w:tcPr>
          <w:p w14:paraId="3DD63B18" w14:textId="77777777" w:rsidR="00FB4DC8" w:rsidRDefault="00000000">
            <w:pPr>
              <w:jc w:val="center"/>
            </w:pPr>
            <w:r>
              <w:rPr>
                <w:sz w:val="16"/>
              </w:rPr>
              <w:t>-0.3 (0.561)</w:t>
            </w:r>
          </w:p>
        </w:tc>
      </w:tr>
      <w:tr w:rsidR="00FB4DC8" w14:paraId="364BC4AC" w14:textId="77777777">
        <w:tblPrEx>
          <w:tblCellMar>
            <w:top w:w="0" w:type="dxa"/>
            <w:bottom w:w="0" w:type="dxa"/>
          </w:tblCellMar>
        </w:tblPrEx>
        <w:trPr>
          <w:cantSplit/>
          <w:jc w:val="center"/>
        </w:trPr>
        <w:tc>
          <w:tcPr>
            <w:tcW w:w="1337" w:type="dxa"/>
            <w:vAlign w:val="center"/>
          </w:tcPr>
          <w:p w14:paraId="1E466B8D" w14:textId="77777777" w:rsidR="00FB4DC8" w:rsidRDefault="00000000">
            <w:r>
              <w:rPr>
                <w:sz w:val="16"/>
              </w:rPr>
              <w:t>2014 only</w:t>
            </w:r>
          </w:p>
        </w:tc>
        <w:tc>
          <w:tcPr>
            <w:tcW w:w="1337" w:type="dxa"/>
            <w:vAlign w:val="center"/>
          </w:tcPr>
          <w:p w14:paraId="0E98D2B9" w14:textId="77777777" w:rsidR="00FB4DC8" w:rsidRDefault="00000000">
            <w:pPr>
              <w:jc w:val="center"/>
            </w:pPr>
            <w:r>
              <w:rPr>
                <w:sz w:val="16"/>
              </w:rPr>
              <w:t>63</w:t>
            </w:r>
          </w:p>
        </w:tc>
        <w:tc>
          <w:tcPr>
            <w:tcW w:w="1337" w:type="dxa"/>
            <w:vAlign w:val="center"/>
          </w:tcPr>
          <w:p w14:paraId="17D8B629" w14:textId="77777777" w:rsidR="00FB4DC8" w:rsidRDefault="00000000">
            <w:pPr>
              <w:jc w:val="center"/>
            </w:pPr>
            <w:r>
              <w:rPr>
                <w:sz w:val="16"/>
              </w:rPr>
              <w:t>-78.9 (0.029)</w:t>
            </w:r>
          </w:p>
        </w:tc>
        <w:tc>
          <w:tcPr>
            <w:tcW w:w="1337" w:type="dxa"/>
            <w:vAlign w:val="center"/>
          </w:tcPr>
          <w:p w14:paraId="6FD10A26" w14:textId="77777777" w:rsidR="00FB4DC8" w:rsidRDefault="00000000">
            <w:pPr>
              <w:jc w:val="center"/>
            </w:pPr>
            <w:r>
              <w:rPr>
                <w:sz w:val="16"/>
              </w:rPr>
              <w:t>-12.0 (0.391)</w:t>
            </w:r>
          </w:p>
        </w:tc>
        <w:tc>
          <w:tcPr>
            <w:tcW w:w="1337" w:type="dxa"/>
            <w:vAlign w:val="center"/>
          </w:tcPr>
          <w:p w14:paraId="417F4A0B" w14:textId="77777777" w:rsidR="00FB4DC8" w:rsidRDefault="00000000">
            <w:pPr>
              <w:jc w:val="center"/>
            </w:pPr>
            <w:r>
              <w:rPr>
                <w:sz w:val="16"/>
              </w:rPr>
              <w:t>+12.0 (0.433)</w:t>
            </w:r>
          </w:p>
        </w:tc>
        <w:tc>
          <w:tcPr>
            <w:tcW w:w="1337" w:type="dxa"/>
            <w:vAlign w:val="center"/>
          </w:tcPr>
          <w:p w14:paraId="4B485399" w14:textId="77777777" w:rsidR="00FB4DC8" w:rsidRDefault="00000000">
            <w:pPr>
              <w:jc w:val="center"/>
            </w:pPr>
            <w:r>
              <w:rPr>
                <w:sz w:val="16"/>
              </w:rPr>
              <w:t>-11.8 (0.282)</w:t>
            </w:r>
          </w:p>
        </w:tc>
        <w:tc>
          <w:tcPr>
            <w:tcW w:w="1337" w:type="dxa"/>
            <w:vAlign w:val="center"/>
          </w:tcPr>
          <w:p w14:paraId="30BBF8FD" w14:textId="77777777" w:rsidR="00FB4DC8" w:rsidRDefault="00000000">
            <w:pPr>
              <w:jc w:val="center"/>
            </w:pPr>
            <w:r>
              <w:rPr>
                <w:sz w:val="16"/>
              </w:rPr>
              <w:t>-0.2 (0.889)</w:t>
            </w:r>
          </w:p>
        </w:tc>
      </w:tr>
      <w:tr w:rsidR="00FB4DC8" w14:paraId="6461A55F" w14:textId="77777777">
        <w:tblPrEx>
          <w:tblCellMar>
            <w:top w:w="0" w:type="dxa"/>
            <w:bottom w:w="0" w:type="dxa"/>
          </w:tblCellMar>
        </w:tblPrEx>
        <w:trPr>
          <w:cantSplit/>
          <w:jc w:val="center"/>
        </w:trPr>
        <w:tc>
          <w:tcPr>
            <w:tcW w:w="1337" w:type="dxa"/>
            <w:vAlign w:val="center"/>
          </w:tcPr>
          <w:p w14:paraId="13C4CE42" w14:textId="77777777" w:rsidR="00FB4DC8" w:rsidRDefault="00000000">
            <w:r>
              <w:rPr>
                <w:sz w:val="16"/>
              </w:rPr>
              <w:t>2020 only</w:t>
            </w:r>
          </w:p>
        </w:tc>
        <w:tc>
          <w:tcPr>
            <w:tcW w:w="1337" w:type="dxa"/>
            <w:vAlign w:val="center"/>
          </w:tcPr>
          <w:p w14:paraId="0029704E" w14:textId="77777777" w:rsidR="00FB4DC8" w:rsidRDefault="00000000">
            <w:pPr>
              <w:jc w:val="center"/>
            </w:pPr>
            <w:r>
              <w:rPr>
                <w:sz w:val="16"/>
              </w:rPr>
              <w:t>106</w:t>
            </w:r>
          </w:p>
        </w:tc>
        <w:tc>
          <w:tcPr>
            <w:tcW w:w="1337" w:type="dxa"/>
            <w:vAlign w:val="center"/>
          </w:tcPr>
          <w:p w14:paraId="50C607E6" w14:textId="77777777" w:rsidR="00FB4DC8" w:rsidRDefault="00000000">
            <w:pPr>
              <w:jc w:val="center"/>
            </w:pPr>
            <w:r>
              <w:rPr>
                <w:sz w:val="16"/>
              </w:rPr>
              <w:t>-34.5 (0.031)</w:t>
            </w:r>
          </w:p>
        </w:tc>
        <w:tc>
          <w:tcPr>
            <w:tcW w:w="1337" w:type="dxa"/>
            <w:vAlign w:val="center"/>
          </w:tcPr>
          <w:p w14:paraId="5829D8CC" w14:textId="77777777" w:rsidR="00FB4DC8" w:rsidRDefault="00000000">
            <w:pPr>
              <w:jc w:val="center"/>
            </w:pPr>
            <w:r>
              <w:rPr>
                <w:sz w:val="16"/>
              </w:rPr>
              <w:t>+7.5 (0.468)</w:t>
            </w:r>
          </w:p>
        </w:tc>
        <w:tc>
          <w:tcPr>
            <w:tcW w:w="1337" w:type="dxa"/>
            <w:vAlign w:val="center"/>
          </w:tcPr>
          <w:p w14:paraId="586EF4F5" w14:textId="77777777" w:rsidR="00FB4DC8" w:rsidRDefault="00000000">
            <w:pPr>
              <w:jc w:val="center"/>
            </w:pPr>
            <w:r>
              <w:rPr>
                <w:sz w:val="16"/>
              </w:rPr>
              <w:t>+2.2 (0.500)</w:t>
            </w:r>
          </w:p>
        </w:tc>
        <w:tc>
          <w:tcPr>
            <w:tcW w:w="1337" w:type="dxa"/>
            <w:vAlign w:val="center"/>
          </w:tcPr>
          <w:p w14:paraId="33B83598" w14:textId="77777777" w:rsidR="00FB4DC8" w:rsidRDefault="00000000">
            <w:pPr>
              <w:jc w:val="center"/>
            </w:pPr>
            <w:r>
              <w:rPr>
                <w:sz w:val="16"/>
              </w:rPr>
              <w:t>+0.7 (0.743)</w:t>
            </w:r>
          </w:p>
        </w:tc>
        <w:tc>
          <w:tcPr>
            <w:tcW w:w="1337" w:type="dxa"/>
            <w:vAlign w:val="center"/>
          </w:tcPr>
          <w:p w14:paraId="3CECD2D9" w14:textId="77777777" w:rsidR="00FB4DC8" w:rsidRDefault="00000000">
            <w:pPr>
              <w:jc w:val="center"/>
            </w:pPr>
            <w:r>
              <w:rPr>
                <w:sz w:val="16"/>
              </w:rPr>
              <w:t>+0.1 (0.918)</w:t>
            </w:r>
          </w:p>
        </w:tc>
      </w:tr>
      <w:tr w:rsidR="00FB4DC8" w14:paraId="36D7A06C" w14:textId="77777777">
        <w:tblPrEx>
          <w:tblCellMar>
            <w:top w:w="0" w:type="dxa"/>
            <w:bottom w:w="0" w:type="dxa"/>
          </w:tblCellMar>
        </w:tblPrEx>
        <w:trPr>
          <w:cantSplit/>
          <w:jc w:val="center"/>
        </w:trPr>
        <w:tc>
          <w:tcPr>
            <w:tcW w:w="1337" w:type="dxa"/>
            <w:vAlign w:val="center"/>
          </w:tcPr>
          <w:p w14:paraId="111225DA" w14:textId="77777777" w:rsidR="00FB4DC8" w:rsidRDefault="00000000">
            <w:r>
              <w:rPr>
                <w:sz w:val="16"/>
              </w:rPr>
              <w:t>2022 only</w:t>
            </w:r>
          </w:p>
        </w:tc>
        <w:tc>
          <w:tcPr>
            <w:tcW w:w="1337" w:type="dxa"/>
            <w:vAlign w:val="center"/>
          </w:tcPr>
          <w:p w14:paraId="0042C4BC" w14:textId="77777777" w:rsidR="00FB4DC8" w:rsidRDefault="00000000">
            <w:pPr>
              <w:jc w:val="center"/>
            </w:pPr>
            <w:r>
              <w:rPr>
                <w:sz w:val="16"/>
              </w:rPr>
              <w:t>112</w:t>
            </w:r>
          </w:p>
        </w:tc>
        <w:tc>
          <w:tcPr>
            <w:tcW w:w="1337" w:type="dxa"/>
            <w:vAlign w:val="center"/>
          </w:tcPr>
          <w:p w14:paraId="1C821E0A" w14:textId="77777777" w:rsidR="00FB4DC8" w:rsidRDefault="00000000">
            <w:pPr>
              <w:jc w:val="center"/>
            </w:pPr>
            <w:r>
              <w:rPr>
                <w:sz w:val="16"/>
              </w:rPr>
              <w:t>-59.8 (&lt;0.001)</w:t>
            </w:r>
          </w:p>
        </w:tc>
        <w:tc>
          <w:tcPr>
            <w:tcW w:w="1337" w:type="dxa"/>
            <w:vAlign w:val="center"/>
          </w:tcPr>
          <w:p w14:paraId="46C732E3" w14:textId="77777777" w:rsidR="00FB4DC8" w:rsidRDefault="00000000">
            <w:pPr>
              <w:jc w:val="center"/>
            </w:pPr>
            <w:r>
              <w:rPr>
                <w:sz w:val="16"/>
              </w:rPr>
              <w:t>-22.6 (0.013)</w:t>
            </w:r>
          </w:p>
        </w:tc>
        <w:tc>
          <w:tcPr>
            <w:tcW w:w="1337" w:type="dxa"/>
            <w:vAlign w:val="center"/>
          </w:tcPr>
          <w:p w14:paraId="62F7FABD" w14:textId="77777777" w:rsidR="00FB4DC8" w:rsidRDefault="00000000">
            <w:pPr>
              <w:jc w:val="center"/>
            </w:pPr>
            <w:r>
              <w:rPr>
                <w:sz w:val="16"/>
              </w:rPr>
              <w:t>+2.6 (0.468)</w:t>
            </w:r>
          </w:p>
        </w:tc>
        <w:tc>
          <w:tcPr>
            <w:tcW w:w="1337" w:type="dxa"/>
            <w:vAlign w:val="center"/>
          </w:tcPr>
          <w:p w14:paraId="5E5B216A" w14:textId="77777777" w:rsidR="00FB4DC8" w:rsidRDefault="00000000">
            <w:pPr>
              <w:jc w:val="center"/>
            </w:pPr>
            <w:r>
              <w:rPr>
                <w:sz w:val="16"/>
              </w:rPr>
              <w:t>-2.9 (0.054)</w:t>
            </w:r>
          </w:p>
        </w:tc>
        <w:tc>
          <w:tcPr>
            <w:tcW w:w="1337" w:type="dxa"/>
            <w:vAlign w:val="center"/>
          </w:tcPr>
          <w:p w14:paraId="691DC9E7" w14:textId="77777777" w:rsidR="00FB4DC8" w:rsidRDefault="00000000">
            <w:pPr>
              <w:jc w:val="center"/>
            </w:pPr>
            <w:r>
              <w:rPr>
                <w:sz w:val="16"/>
              </w:rPr>
              <w:t>+1.2 (0.160)</w:t>
            </w:r>
          </w:p>
        </w:tc>
      </w:tr>
    </w:tbl>
    <w:p w14:paraId="09323298" w14:textId="77777777" w:rsidR="00FB4DC8" w:rsidRDefault="00000000">
      <w:pPr>
        <w:spacing w:after="200"/>
        <w:jc w:val="center"/>
      </w:pPr>
      <w:r>
        <w:t>Notes: the categorical-income row has no single ordinal income coefficient. Country-clustered and HC1 p-values differ because the model contains repeated countries across shocks. “pp” denotes percentage points.</w:t>
      </w:r>
    </w:p>
    <w:p w14:paraId="65CB9F26" w14:textId="77777777" w:rsidR="00FB4DC8" w:rsidRDefault="00000000">
      <w:pPr>
        <w:pStyle w:val="Heading1"/>
        <w:keepNext/>
      </w:pPr>
      <w:r>
        <w:t>Supplementary Note 14 | Reproducibility</w:t>
      </w:r>
    </w:p>
    <w:p w14:paraId="4FA55BE8" w14:textId="77777777" w:rsidR="00FB4DC8" w:rsidRDefault="00000000">
      <w:pPr>
        <w:pStyle w:val="Heading2"/>
        <w:keepNext/>
      </w:pPr>
      <w:r>
        <w:t>Environment</w:t>
      </w:r>
    </w:p>
    <w:p w14:paraId="15C3AABA" w14:textId="77777777" w:rsidR="00FB4DC8" w:rsidRDefault="00000000">
      <w:pPr>
        <w:spacing w:after="140" w:line="320" w:lineRule="auto"/>
        <w:jc w:val="both"/>
      </w:pPr>
      <w:r>
        <w:t>Required Python packages and versions:</w:t>
      </w:r>
    </w:p>
    <w:p w14:paraId="0E795413" w14:textId="77777777" w:rsidR="00FB4DC8" w:rsidRDefault="00000000">
      <w:pPr>
        <w:spacing w:after="60"/>
      </w:pPr>
      <w:r>
        <w:rPr>
          <w:rFonts w:ascii="Consolas" w:eastAsia="Consolas" w:hAnsi="Consolas" w:cs="Consolas"/>
          <w:sz w:val="18"/>
          <w:szCs w:val="18"/>
        </w:rPr>
        <w:t xml:space="preserve">    pandas &gt;= 2.2</w:t>
      </w:r>
    </w:p>
    <w:p w14:paraId="5F9B20B6" w14:textId="77777777" w:rsidR="00FB4DC8" w:rsidRDefault="00000000">
      <w:pPr>
        <w:spacing w:after="60"/>
      </w:pPr>
      <w:r>
        <w:rPr>
          <w:rFonts w:ascii="Consolas" w:eastAsia="Consolas" w:hAnsi="Consolas" w:cs="Consolas"/>
          <w:sz w:val="18"/>
          <w:szCs w:val="18"/>
        </w:rPr>
        <w:t xml:space="preserve">    numpy &gt;= 1.26</w:t>
      </w:r>
    </w:p>
    <w:p w14:paraId="5D42CEB7" w14:textId="77777777" w:rsidR="00FB4DC8" w:rsidRDefault="00000000">
      <w:pPr>
        <w:spacing w:after="60"/>
      </w:pPr>
      <w:r>
        <w:rPr>
          <w:rFonts w:ascii="Consolas" w:eastAsia="Consolas" w:hAnsi="Consolas" w:cs="Consolas"/>
          <w:sz w:val="18"/>
          <w:szCs w:val="18"/>
        </w:rPr>
        <w:t xml:space="preserve">    statsmodels &gt;= 0.14</w:t>
      </w:r>
    </w:p>
    <w:p w14:paraId="67013232" w14:textId="77777777" w:rsidR="00FB4DC8" w:rsidRDefault="00000000">
      <w:pPr>
        <w:spacing w:after="60"/>
      </w:pPr>
      <w:r>
        <w:rPr>
          <w:rFonts w:ascii="Consolas" w:eastAsia="Consolas" w:hAnsi="Consolas" w:cs="Consolas"/>
          <w:sz w:val="18"/>
          <w:szCs w:val="18"/>
        </w:rPr>
        <w:t xml:space="preserve">    scipy &gt;= 1.13</w:t>
      </w:r>
    </w:p>
    <w:p w14:paraId="33EFA1B3" w14:textId="77777777" w:rsidR="00FB4DC8" w:rsidRDefault="00000000">
      <w:pPr>
        <w:spacing w:after="60"/>
      </w:pPr>
      <w:r>
        <w:rPr>
          <w:rFonts w:ascii="Consolas" w:eastAsia="Consolas" w:hAnsi="Consolas" w:cs="Consolas"/>
          <w:sz w:val="18"/>
          <w:szCs w:val="18"/>
        </w:rPr>
        <w:t xml:space="preserve">    matplotlib &gt;= 3.8</w:t>
      </w:r>
    </w:p>
    <w:p w14:paraId="0B1B1B55" w14:textId="77777777" w:rsidR="00FB4DC8" w:rsidRDefault="00000000">
      <w:pPr>
        <w:spacing w:after="60"/>
      </w:pPr>
      <w:r>
        <w:rPr>
          <w:rFonts w:ascii="Consolas" w:eastAsia="Consolas" w:hAnsi="Consolas" w:cs="Consolas"/>
          <w:sz w:val="18"/>
          <w:szCs w:val="18"/>
        </w:rPr>
        <w:t xml:space="preserve">    seaborn &gt;= 0.13</w:t>
      </w:r>
    </w:p>
    <w:p w14:paraId="29F45469" w14:textId="77777777" w:rsidR="00FB4DC8" w:rsidRDefault="00000000">
      <w:pPr>
        <w:spacing w:after="60"/>
      </w:pPr>
      <w:r>
        <w:rPr>
          <w:rFonts w:ascii="Consolas" w:eastAsia="Consolas" w:hAnsi="Consolas" w:cs="Consolas"/>
          <w:sz w:val="18"/>
          <w:szCs w:val="18"/>
        </w:rPr>
        <w:t xml:space="preserve">    xlrd &gt;= 2.0     (for reading .xls GPR file)</w:t>
      </w:r>
    </w:p>
    <w:p w14:paraId="1D571364" w14:textId="77777777" w:rsidR="00FB4DC8" w:rsidRDefault="00000000">
      <w:pPr>
        <w:spacing w:after="60"/>
      </w:pPr>
      <w:r>
        <w:rPr>
          <w:rFonts w:ascii="Consolas" w:eastAsia="Consolas" w:hAnsi="Consolas" w:cs="Consolas"/>
          <w:sz w:val="18"/>
          <w:szCs w:val="18"/>
        </w:rPr>
        <w:t xml:space="preserve">    openpyxl &gt;= 3.1 (for reading .xlsx Pink Sheet)</w:t>
      </w:r>
    </w:p>
    <w:p w14:paraId="308FB59A" w14:textId="77777777" w:rsidR="00FB4DC8" w:rsidRDefault="00000000">
      <w:pPr>
        <w:spacing w:after="140" w:line="320" w:lineRule="auto"/>
        <w:jc w:val="both"/>
      </w:pPr>
      <w:r>
        <w:t>All packages install via standard pip. Python 3.10 or higher recommended.</w:t>
      </w:r>
    </w:p>
    <w:p w14:paraId="1436995C" w14:textId="77777777" w:rsidR="00FB4DC8" w:rsidRDefault="00000000">
      <w:pPr>
        <w:pStyle w:val="Heading2"/>
        <w:keepNext/>
      </w:pPr>
      <w:r>
        <w:t>Pipeline execution</w:t>
      </w:r>
    </w:p>
    <w:p w14:paraId="0DA60BAF" w14:textId="77777777" w:rsidR="00FB4DC8" w:rsidRDefault="00000000">
      <w:pPr>
        <w:spacing w:after="60"/>
      </w:pPr>
      <w:r>
        <w:rPr>
          <w:rFonts w:ascii="Consolas" w:eastAsia="Consolas" w:hAnsi="Consolas" w:cs="Consolas"/>
          <w:sz w:val="18"/>
          <w:szCs w:val="18"/>
        </w:rPr>
        <w:t xml:space="preserve">    # Data preparation</w:t>
      </w:r>
    </w:p>
    <w:p w14:paraId="361AE0F6" w14:textId="77777777" w:rsidR="00FB4DC8" w:rsidRDefault="00000000">
      <w:pPr>
        <w:spacing w:after="60"/>
      </w:pPr>
      <w:r>
        <w:rPr>
          <w:rFonts w:ascii="Consolas" w:eastAsia="Consolas" w:hAnsi="Consolas" w:cs="Consolas"/>
          <w:sz w:val="18"/>
          <w:szCs w:val="18"/>
        </w:rPr>
        <w:t xml:space="preserve">    python3 01_data/01_build_monthly_panel.py</w:t>
      </w:r>
    </w:p>
    <w:p w14:paraId="40351389" w14:textId="77777777" w:rsidR="00FB4DC8" w:rsidRDefault="00000000">
      <w:pPr>
        <w:spacing w:after="60"/>
      </w:pPr>
      <w:r>
        <w:rPr>
          <w:rFonts w:ascii="Consolas" w:eastAsia="Consolas" w:hAnsi="Consolas" w:cs="Consolas"/>
          <w:sz w:val="18"/>
          <w:szCs w:val="18"/>
        </w:rPr>
        <w:t xml:space="preserve">    python3 01_data/02_build_country_quarter.py</w:t>
      </w:r>
    </w:p>
    <w:p w14:paraId="4F3B4443" w14:textId="77777777" w:rsidR="00FB4DC8" w:rsidRDefault="00000000">
      <w:pPr>
        <w:spacing w:after="60"/>
      </w:pPr>
      <w:r>
        <w:rPr>
          <w:rFonts w:ascii="Consolas" w:eastAsia="Consolas" w:hAnsi="Consolas" w:cs="Consolas"/>
          <w:sz w:val="18"/>
          <w:szCs w:val="18"/>
        </w:rPr>
        <w:t xml:space="preserve">    python3 01_data/03_extract_alignment.py</w:t>
      </w:r>
    </w:p>
    <w:p w14:paraId="2FB6A1D9" w14:textId="77777777" w:rsidR="00FB4DC8" w:rsidRDefault="00000000">
      <w:pPr>
        <w:spacing w:after="60"/>
      </w:pPr>
      <w:r>
        <w:rPr>
          <w:rFonts w:ascii="Consolas" w:eastAsia="Consolas" w:hAnsi="Consolas" w:cs="Consolas"/>
          <w:sz w:val="18"/>
          <w:szCs w:val="18"/>
        </w:rPr>
        <w:t xml:space="preserve">    python3 02_event_study/code/18_load_fossil_rents.py</w:t>
      </w:r>
    </w:p>
    <w:p w14:paraId="0C6BBDB4" w14:textId="77777777" w:rsidR="00FB4DC8" w:rsidRDefault="00FB4DC8">
      <w:pPr>
        <w:spacing w:after="60"/>
      </w:pPr>
    </w:p>
    <w:p w14:paraId="1C595AE4" w14:textId="77777777" w:rsidR="00FB4DC8" w:rsidRDefault="00000000">
      <w:pPr>
        <w:spacing w:after="60"/>
      </w:pPr>
      <w:r>
        <w:rPr>
          <w:rFonts w:ascii="Consolas" w:eastAsia="Consolas" w:hAnsi="Consolas" w:cs="Consolas"/>
          <w:sz w:val="18"/>
          <w:szCs w:val="18"/>
        </w:rPr>
        <w:t xml:space="preserve">    # Main event-study analyses</w:t>
      </w:r>
    </w:p>
    <w:p w14:paraId="2B008EA8" w14:textId="77777777" w:rsidR="00FB4DC8" w:rsidRDefault="00000000">
      <w:pPr>
        <w:spacing w:after="60"/>
      </w:pPr>
      <w:r>
        <w:rPr>
          <w:rFonts w:ascii="Consolas" w:eastAsia="Consolas" w:hAnsi="Consolas" w:cs="Consolas"/>
          <w:sz w:val="18"/>
          <w:szCs w:val="18"/>
        </w:rPr>
        <w:t xml:space="preserve">    python3 02_event_study/code/11_event_study_country_capacity.py</w:t>
      </w:r>
    </w:p>
    <w:p w14:paraId="4F6D94DA" w14:textId="77777777" w:rsidR="00FB4DC8" w:rsidRDefault="00000000">
      <w:pPr>
        <w:spacing w:after="60"/>
      </w:pPr>
      <w:r>
        <w:rPr>
          <w:rFonts w:ascii="Consolas" w:eastAsia="Consolas" w:hAnsi="Consolas" w:cs="Consolas"/>
          <w:sz w:val="18"/>
          <w:szCs w:val="18"/>
        </w:rPr>
        <w:t xml:space="preserve">    python3 02_event_study/code/15_major_revision_analysis.py</w:t>
      </w:r>
    </w:p>
    <w:p w14:paraId="39F45686" w14:textId="77777777" w:rsidR="00FB4DC8" w:rsidRDefault="00000000">
      <w:pPr>
        <w:spacing w:after="60"/>
      </w:pPr>
      <w:r>
        <w:rPr>
          <w:rFonts w:ascii="Consolas" w:eastAsia="Consolas" w:hAnsi="Consolas" w:cs="Consolas"/>
          <w:sz w:val="18"/>
          <w:szCs w:val="18"/>
        </w:rPr>
        <w:t xml:space="preserve">    python3 02_event_study/code/17_ihs_outcome.py</w:t>
      </w:r>
    </w:p>
    <w:p w14:paraId="6DA818A9" w14:textId="77777777" w:rsidR="00FB4DC8" w:rsidRDefault="00000000">
      <w:pPr>
        <w:spacing w:after="60"/>
      </w:pPr>
      <w:r>
        <w:rPr>
          <w:rFonts w:ascii="Consolas" w:eastAsia="Consolas" w:hAnsi="Consolas" w:cs="Consolas"/>
          <w:sz w:val="18"/>
          <w:szCs w:val="18"/>
        </w:rPr>
        <w:t xml:space="preserve">    python3 02_event_study/code/24_placebo_strict.py</w:t>
      </w:r>
    </w:p>
    <w:p w14:paraId="64C6FE42" w14:textId="77777777" w:rsidR="00FB4DC8" w:rsidRDefault="00000000">
      <w:pPr>
        <w:spacing w:after="60"/>
      </w:pPr>
      <w:r>
        <w:rPr>
          <w:rFonts w:ascii="Consolas" w:eastAsia="Consolas" w:hAnsi="Consolas" w:cs="Consolas"/>
          <w:sz w:val="18"/>
          <w:szCs w:val="18"/>
        </w:rPr>
        <w:t xml:space="preserve">    python3 02_event_study/code/25_window_clean_placebo_and_shock_specific_leaveout.py</w:t>
      </w:r>
    </w:p>
    <w:p w14:paraId="41151559" w14:textId="77777777" w:rsidR="00FB4DC8" w:rsidRDefault="00FB4DC8">
      <w:pPr>
        <w:spacing w:after="60"/>
      </w:pPr>
    </w:p>
    <w:p w14:paraId="60E0DC55" w14:textId="77777777" w:rsidR="00FB4DC8" w:rsidRDefault="00000000">
      <w:pPr>
        <w:spacing w:after="60"/>
      </w:pPr>
      <w:r>
        <w:rPr>
          <w:rFonts w:ascii="Consolas" w:eastAsia="Consolas" w:hAnsi="Consolas" w:cs="Consolas"/>
          <w:sz w:val="18"/>
          <w:szCs w:val="18"/>
        </w:rPr>
        <w:t xml:space="preserve">    # Sign-restricted SVAR</w:t>
      </w:r>
    </w:p>
    <w:p w14:paraId="2D71A363" w14:textId="77777777" w:rsidR="00FB4DC8" w:rsidRDefault="00000000">
      <w:pPr>
        <w:spacing w:after="60"/>
      </w:pPr>
      <w:r>
        <w:rPr>
          <w:rFonts w:ascii="Consolas" w:eastAsia="Consolas" w:hAnsi="Consolas" w:cs="Consolas"/>
          <w:sz w:val="18"/>
          <w:szCs w:val="18"/>
        </w:rPr>
        <w:t xml:space="preserve">    python3 03_var_analysis/code/20_sign_restricted_svar.py</w:t>
      </w:r>
    </w:p>
    <w:p w14:paraId="7B95E620" w14:textId="77777777" w:rsidR="00FB4DC8" w:rsidRDefault="00FB4DC8">
      <w:pPr>
        <w:spacing w:after="60"/>
      </w:pPr>
    </w:p>
    <w:p w14:paraId="40AA5FAC" w14:textId="77777777" w:rsidR="00FB4DC8" w:rsidRDefault="00000000">
      <w:pPr>
        <w:spacing w:after="60"/>
      </w:pPr>
      <w:r>
        <w:rPr>
          <w:rFonts w:ascii="Consolas" w:eastAsia="Consolas" w:hAnsi="Consolas" w:cs="Consolas"/>
          <w:sz w:val="18"/>
          <w:szCs w:val="18"/>
        </w:rPr>
        <w:t xml:space="preserve">    # Figure generation</w:t>
      </w:r>
    </w:p>
    <w:p w14:paraId="632521AC" w14:textId="77777777" w:rsidR="00FB4DC8" w:rsidRDefault="00000000">
      <w:pPr>
        <w:spacing w:after="60"/>
      </w:pPr>
      <w:r>
        <w:rPr>
          <w:rFonts w:ascii="Consolas" w:eastAsia="Consolas" w:hAnsi="Consolas" w:cs="Consolas"/>
          <w:sz w:val="18"/>
          <w:szCs w:val="18"/>
        </w:rPr>
        <w:t xml:space="preserve">    python3 02_event_study/code/16_figures_major_revision.py</w:t>
      </w:r>
    </w:p>
    <w:p w14:paraId="2289BBAC" w14:textId="77777777" w:rsidR="00FB4DC8" w:rsidRDefault="00000000">
      <w:pPr>
        <w:spacing w:after="60"/>
      </w:pPr>
      <w:r>
        <w:rPr>
          <w:rFonts w:ascii="Consolas" w:eastAsia="Consolas" w:hAnsi="Consolas" w:cs="Consolas"/>
          <w:sz w:val="18"/>
          <w:szCs w:val="18"/>
        </w:rPr>
        <w:t xml:space="preserve">    python3 02_event_study/code/22_fossil_rents_figure.py</w:t>
      </w:r>
    </w:p>
    <w:p w14:paraId="18F17673" w14:textId="77777777" w:rsidR="00FB4DC8" w:rsidRDefault="00000000">
      <w:pPr>
        <w:spacing w:after="60"/>
      </w:pPr>
      <w:r>
        <w:rPr>
          <w:rFonts w:ascii="Consolas" w:eastAsia="Consolas" w:hAnsi="Consolas" w:cs="Consolas"/>
          <w:sz w:val="18"/>
          <w:szCs w:val="18"/>
        </w:rPr>
        <w:t xml:space="preserve">    python3 02_event_study/code/26_figures_v14.py</w:t>
      </w:r>
    </w:p>
    <w:p w14:paraId="0259DFC4" w14:textId="77777777" w:rsidR="00FB4DC8" w:rsidRDefault="00FB4DC8">
      <w:pPr>
        <w:spacing w:after="60"/>
      </w:pPr>
    </w:p>
    <w:p w14:paraId="4CEA0857" w14:textId="77777777" w:rsidR="00FB4DC8" w:rsidRDefault="00FB4DC8">
      <w:pPr>
        <w:spacing w:after="60"/>
      </w:pPr>
    </w:p>
    <w:p w14:paraId="494EDCE8" w14:textId="77777777" w:rsidR="00FB4DC8" w:rsidRDefault="00000000">
      <w:pPr>
        <w:spacing w:after="60"/>
      </w:pPr>
      <w:r>
        <w:t># Exploratory structural diagnostics</w:t>
      </w:r>
    </w:p>
    <w:p w14:paraId="717D7EF4" w14:textId="77777777" w:rsidR="00FB4DC8" w:rsidRDefault="00000000">
      <w:pPr>
        <w:spacing w:after="60"/>
      </w:pPr>
      <w:r>
        <w:t>python3 04_extension/e01_recompute_deviations.py</w:t>
      </w:r>
    </w:p>
    <w:p w14:paraId="767C4C33" w14:textId="77777777" w:rsidR="00FB4DC8" w:rsidRDefault="00000000">
      <w:pPr>
        <w:spacing w:after="60"/>
      </w:pPr>
      <w:r>
        <w:t>python3 04_extension/e02_structural_regression_v4_2.py</w:t>
      </w:r>
    </w:p>
    <w:p w14:paraId="19844095" w14:textId="77777777" w:rsidR="00FB4DC8" w:rsidRDefault="00000000">
      <w:pPr>
        <w:spacing w:after="60"/>
      </w:pPr>
      <w:r>
        <w:t>python3 04_extension/e03_robustness_v4_2.py</w:t>
      </w:r>
    </w:p>
    <w:p w14:paraId="01AE57F1" w14:textId="77777777" w:rsidR="00FB4DC8" w:rsidRDefault="00000000">
      <w:pPr>
        <w:spacing w:after="60"/>
      </w:pPr>
      <w:r>
        <w:t>python3 04_extension/e06_diagnostics_v4_2.py</w:t>
      </w:r>
    </w:p>
    <w:p w14:paraId="18707ACA" w14:textId="77777777" w:rsidR="00FB4DC8" w:rsidRDefault="00000000">
      <w:pPr>
        <w:spacing w:after="60"/>
      </w:pPr>
      <w:r>
        <w:t>python3 04_extension/e07_sn12_figure_v4_2.py</w:t>
      </w:r>
    </w:p>
    <w:p w14:paraId="2E2360BE" w14:textId="77777777" w:rsidR="00FB4DC8" w:rsidRDefault="00FB4DC8">
      <w:pPr>
        <w:spacing w:after="60"/>
      </w:pPr>
    </w:p>
    <w:p w14:paraId="1E431CD6" w14:textId="77777777" w:rsidR="00FB4DC8" w:rsidRDefault="00000000">
      <w:pPr>
        <w:spacing w:after="60"/>
      </w:pPr>
      <w:r>
        <w:rPr>
          <w:rFonts w:ascii="Consolas" w:eastAsia="Consolas" w:hAnsi="Consolas" w:cs="Consolas"/>
          <w:sz w:val="18"/>
          <w:szCs w:val="18"/>
        </w:rPr>
        <w:t xml:space="preserve">    # Verification</w:t>
      </w:r>
    </w:p>
    <w:p w14:paraId="0FB5FFFB" w14:textId="77777777" w:rsidR="00FB4DC8" w:rsidRDefault="00000000">
      <w:pPr>
        <w:spacing w:after="60"/>
      </w:pPr>
      <w:r>
        <w:rPr>
          <w:rFonts w:ascii="Consolas" w:eastAsia="Consolas" w:hAnsi="Consolas" w:cs="Consolas"/>
          <w:sz w:val="18"/>
          <w:szCs w:val="18"/>
        </w:rPr>
        <w:t xml:space="preserve">    python3 02_event_study/code/21_consistency_check.py    # 132 numeric checks</w:t>
      </w:r>
    </w:p>
    <w:p w14:paraId="542A098A" w14:textId="77777777" w:rsidR="00FB4DC8" w:rsidRDefault="00000000">
      <w:pPr>
        <w:spacing w:after="60"/>
      </w:pPr>
      <w:r>
        <w:rPr>
          <w:rFonts w:ascii="Consolas" w:eastAsia="Consolas" w:hAnsi="Consolas" w:cs="Consolas"/>
          <w:sz w:val="18"/>
          <w:szCs w:val="18"/>
        </w:rPr>
        <w:t xml:space="preserve">    python3 02_event_study/code/23_full_audit.py           # 141 cross-doc checks</w:t>
      </w:r>
    </w:p>
    <w:p w14:paraId="6BBCC64D" w14:textId="77777777" w:rsidR="00FB4DC8" w:rsidRDefault="00000000">
      <w:pPr>
        <w:spacing w:after="140" w:line="320" w:lineRule="auto"/>
        <w:jc w:val="both"/>
      </w:pPr>
      <w:r>
        <w:t>Total runtime: approximately three to five minutes on a 2024-vintage laptop.</w:t>
      </w:r>
    </w:p>
    <w:p w14:paraId="441069A4" w14:textId="77777777" w:rsidR="00FB4DC8" w:rsidRDefault="00000000">
      <w:pPr>
        <w:pStyle w:val="Heading2"/>
        <w:keepNext/>
      </w:pPr>
      <w:r>
        <w:t>Output verification</w:t>
      </w:r>
    </w:p>
    <w:p w14:paraId="44B1812F" w14:textId="77777777" w:rsidR="00FB4DC8" w:rsidRDefault="00000000">
      <w:pPr>
        <w:spacing w:after="140" w:line="320" w:lineRule="auto"/>
        <w:jc w:val="both"/>
      </w:pPr>
      <w:r>
        <w:t>The repository scripts compare manuscript claims with generated outputs and audit cross-document consistency. The v4.2 extension additionally verifies the official FY2026 income-classification crosswalk, the 317-observation t+0 regression, the 951-observation pooled regression, the full robustness table and diagnostic outputs. The companion workbook is synchronized with these results.</w:t>
      </w:r>
    </w:p>
    <w:p w14:paraId="68B5C249" w14:textId="77777777" w:rsidR="00FB4DC8" w:rsidRDefault="00000000">
      <w:pPr>
        <w:pStyle w:val="Heading2"/>
        <w:keepNext/>
      </w:pPr>
      <w:r>
        <w:t>Companion workbook</w:t>
      </w:r>
    </w:p>
    <w:p w14:paraId="1FEB5F09" w14:textId="77777777" w:rsidR="00FB4DC8" w:rsidRDefault="00000000">
      <w:pPr>
        <w:spacing w:after="140" w:line="320" w:lineRule="auto"/>
        <w:jc w:val="both"/>
      </w:pPr>
      <w:r>
        <w:t>The companion workbook contains 33 sheets covering provenance, processed panels, core results, country classifications, bootstrap and SVAR verification, the FY2026 income crosswalk, the structural-analysis panel, Table 3 coefficients, robustness results, diagnostic outputs and an extension audit. Workbook metadata and the accompanying scripts use version 4.2.</w:t>
      </w:r>
    </w:p>
    <w:p w14:paraId="23A9A10E" w14:textId="77777777" w:rsidR="00FB4DC8" w:rsidRDefault="00000000">
      <w:pPr>
        <w:pStyle w:val="Heading1"/>
      </w:pPr>
      <w:r>
        <w:t>Repository archive</w:t>
      </w:r>
    </w:p>
    <w:p w14:paraId="3D94662F" w14:textId="77777777" w:rsidR="00FB4DC8" w:rsidRDefault="00000000">
      <w:r>
        <w:t>The complete replication package is archived as a private Zenodo draft under the reserved version-specific DOI 10.5281/zenodo.20814306. During peer review, editors and reviewers should use the private Zenodo review link supplied in the submission system. The DOI will resolve when the Zenodo record is published.</w:t>
      </w:r>
    </w:p>
    <w:p w14:paraId="0120F996" w14:textId="77777777" w:rsidR="00FB4DC8" w:rsidRDefault="00000000">
      <w:pPr>
        <w:pStyle w:val="Heading1"/>
      </w:pPr>
      <w:r>
        <w:t>Generative AI and computational assistance</w:t>
      </w:r>
    </w:p>
    <w:p w14:paraId="6913A12B" w14:textId="77777777" w:rsidR="00FB4DC8" w:rsidRDefault="00000000">
      <w:r>
        <w:t xml:space="preserve">Generative AI tools, including Anthropic Claude and OpenAI ChatGPT, were used during manuscript and Supplementary Information preparation to assist with code drafting and debugging, language editing, figure scripting, reference checking, document organisation and preparation of reproducibility materials. AI tools were not used as authors, did not determine the research question, empirical design, interpretation or conclusions, and were not used to generate scientific images. The human authors selected the methods, executed and independently verified the analyses, checked the underlying data, calculations, factual claims and references, revised and </w:t>
      </w:r>
      <w:r>
        <w:lastRenderedPageBreak/>
        <w:t>approved the final text, and take full responsibility for the accuracy, originality and integrity of the work.</w:t>
      </w:r>
    </w:p>
    <w:p w14:paraId="311AD8DF" w14:textId="77777777" w:rsidR="00FB4DC8" w:rsidRDefault="00000000">
      <w:pPr>
        <w:pStyle w:val="Heading1"/>
        <w:keepNext/>
      </w:pPr>
      <w:r>
        <w:t>Supplementary References</w:t>
      </w:r>
    </w:p>
    <w:p w14:paraId="6DFEB7AE" w14:textId="77777777" w:rsidR="00FB4DC8" w:rsidRDefault="00000000">
      <w:pPr>
        <w:spacing w:after="120"/>
      </w:pPr>
      <w:r>
        <w:t>References 1–27 are listed in the main article. References 28–46 below are first introduced in the Supplementary Information and continue the article numbering, in accordance with Nature supplementary-information practice.</w:t>
      </w:r>
    </w:p>
    <w:p w14:paraId="5FD971CA" w14:textId="77777777" w:rsidR="00FB4DC8" w:rsidRDefault="00000000">
      <w:pPr>
        <w:spacing w:after="60"/>
        <w:ind w:left="461" w:hanging="461"/>
      </w:pPr>
      <w:r>
        <w:rPr>
          <w:b/>
          <w:sz w:val="18"/>
        </w:rPr>
        <w:t xml:space="preserve">28. </w:t>
      </w:r>
      <w:r>
        <w:rPr>
          <w:sz w:val="18"/>
        </w:rPr>
        <w:t>Octopus Energy. Solar and heat pump sales surge as Brits ditch fossil fuels. Press release (March 2026). https://octopus.energy/press/solar-and-heat-pump-sales-surge-as-brits-ditch-fossil-fuels/</w:t>
      </w:r>
    </w:p>
    <w:p w14:paraId="33EF3BA8" w14:textId="77777777" w:rsidR="00FB4DC8" w:rsidRDefault="00000000">
      <w:pPr>
        <w:spacing w:after="60"/>
        <w:ind w:left="461" w:hanging="461"/>
      </w:pPr>
      <w:r>
        <w:rPr>
          <w:b/>
          <w:sz w:val="18"/>
        </w:rPr>
        <w:t xml:space="preserve">29. </w:t>
      </w:r>
      <w:r>
        <w:rPr>
          <w:sz w:val="18"/>
        </w:rPr>
        <w:t>World Bank. Commodity Price Data (The Pink Sheet), historical monthly series. (World Bank, Washington, DC, 2025). https://thedocs.worldbank.org/en/doc/18675f1d1639c7a34d463f59263ba0a2-0050012025/world-bank-commodities-price-data-the-pink-sheet</w:t>
      </w:r>
    </w:p>
    <w:p w14:paraId="7BD07DBC" w14:textId="77777777" w:rsidR="00FB4DC8" w:rsidRDefault="00000000">
      <w:pPr>
        <w:spacing w:after="60"/>
        <w:ind w:left="461" w:hanging="461"/>
      </w:pPr>
      <w:r>
        <w:rPr>
          <w:b/>
          <w:sz w:val="18"/>
        </w:rPr>
        <w:t xml:space="preserve">30. </w:t>
      </w:r>
      <w:r>
        <w:rPr>
          <w:sz w:val="18"/>
        </w:rPr>
        <w:t>Bailey, M. A., Strezhnev, A. &amp; Voeten, E. Estimating dynamic state preferences from UN voting data. Journal of Conflict Resolution 61, 430–456 (2017). https://doi.org/10.1177/0022002715595700</w:t>
      </w:r>
    </w:p>
    <w:p w14:paraId="0874901C" w14:textId="77777777" w:rsidR="00FB4DC8" w:rsidRDefault="00000000">
      <w:pPr>
        <w:spacing w:after="60"/>
        <w:ind w:left="461" w:hanging="461"/>
      </w:pPr>
      <w:r>
        <w:rPr>
          <w:b/>
          <w:sz w:val="18"/>
        </w:rPr>
        <w:t xml:space="preserve">31. </w:t>
      </w:r>
      <w:r>
        <w:rPr>
          <w:sz w:val="18"/>
        </w:rPr>
        <w:t>Kilian, L. Not all oil price shocks are alike. American Economic Review 99, 1053–1069 (2009). https://doi.org/10.1257/aer.99.3.1053</w:t>
      </w:r>
    </w:p>
    <w:p w14:paraId="7AC92A8E" w14:textId="77777777" w:rsidR="00FB4DC8" w:rsidRDefault="00000000">
      <w:pPr>
        <w:spacing w:after="60"/>
        <w:ind w:left="461" w:hanging="461"/>
      </w:pPr>
      <w:r>
        <w:rPr>
          <w:b/>
          <w:sz w:val="18"/>
        </w:rPr>
        <w:t xml:space="preserve">32. </w:t>
      </w:r>
      <w:r>
        <w:rPr>
          <w:sz w:val="18"/>
        </w:rPr>
        <w:t>Abadie, A., Diamond, A. &amp; Hainmueller, J. Synthetic control methods for comparative case studies: estimating the effect of California’s tobacco control program. Journal of the American Statistical Association 105, 493–505 (2010). https://doi.org/10.1198/jasa.2009.ap08746</w:t>
      </w:r>
    </w:p>
    <w:p w14:paraId="1272861F" w14:textId="77777777" w:rsidR="00FB4DC8" w:rsidRDefault="00000000">
      <w:pPr>
        <w:spacing w:after="60"/>
        <w:ind w:left="461" w:hanging="461"/>
      </w:pPr>
      <w:r>
        <w:rPr>
          <w:b/>
          <w:sz w:val="18"/>
        </w:rPr>
        <w:t xml:space="preserve">33. </w:t>
      </w:r>
      <w:r>
        <w:rPr>
          <w:sz w:val="18"/>
        </w:rPr>
        <w:t>Baumeister, C. &amp; Hamilton, J. D. Structural interpretation of vector autoregressions with incomplete identification: revisiting the role of oil supply and demand shocks. American Economic Review 109, 1873–1910 (2019). https://doi.org/10.1257/aer.20151569</w:t>
      </w:r>
    </w:p>
    <w:p w14:paraId="4E900264" w14:textId="77777777" w:rsidR="00FB4DC8" w:rsidRDefault="00000000">
      <w:pPr>
        <w:spacing w:after="60"/>
        <w:ind w:left="461" w:hanging="461"/>
      </w:pPr>
      <w:r>
        <w:rPr>
          <w:b/>
          <w:sz w:val="18"/>
        </w:rPr>
        <w:t xml:space="preserve">34. </w:t>
      </w:r>
      <w:r>
        <w:rPr>
          <w:sz w:val="18"/>
        </w:rPr>
        <w:t>Antolín-Díaz, J. &amp; Rubio-Ramírez, J. F. Narrative sign restrictions for SVARs. American Economic Review 108, 2802–2829 (2018). https://doi.org/10.1257/aer.20161852</w:t>
      </w:r>
    </w:p>
    <w:p w14:paraId="05B899D6" w14:textId="77777777" w:rsidR="00FB4DC8" w:rsidRDefault="00000000">
      <w:pPr>
        <w:spacing w:after="60"/>
        <w:ind w:left="461" w:hanging="461"/>
      </w:pPr>
      <w:r>
        <w:rPr>
          <w:b/>
          <w:sz w:val="18"/>
        </w:rPr>
        <w:t xml:space="preserve">35. </w:t>
      </w:r>
      <w:r>
        <w:rPr>
          <w:sz w:val="18"/>
        </w:rPr>
        <w:t>IEA. Renewables 2020: Analysis and forecasts to 2025. (International Energy Agency, Paris, 2020). https://iea.blob.core.windows.net/assets/1a24f1fe-c971-4c25-964a-57d0f31eb97b/Renewables_2020-PDF.pdf</w:t>
      </w:r>
    </w:p>
    <w:p w14:paraId="15F2629D" w14:textId="77777777" w:rsidR="00FB4DC8" w:rsidRDefault="00000000">
      <w:pPr>
        <w:spacing w:after="60"/>
        <w:ind w:left="461" w:hanging="461"/>
      </w:pPr>
      <w:r>
        <w:rPr>
          <w:b/>
          <w:sz w:val="18"/>
        </w:rPr>
        <w:t xml:space="preserve">36. </w:t>
      </w:r>
      <w:r>
        <w:rPr>
          <w:sz w:val="18"/>
        </w:rPr>
        <w:t>del Río, P. &amp; Mir-Artigues, P. A cautionary tale: Spain's solar PV investment bubble. (Global Subsidies Initiative, IISD, Geneva, 2014). https://www.iisd.org/sites/default/files/gsi/rens_ct_spain.pdf</w:t>
      </w:r>
    </w:p>
    <w:p w14:paraId="0EBDD989" w14:textId="77777777" w:rsidR="00FB4DC8" w:rsidRDefault="00000000">
      <w:pPr>
        <w:spacing w:after="60"/>
        <w:ind w:left="461" w:hanging="461"/>
      </w:pPr>
      <w:r>
        <w:rPr>
          <w:b/>
          <w:sz w:val="18"/>
        </w:rPr>
        <w:t xml:space="preserve">37. </w:t>
      </w:r>
      <w:r>
        <w:rPr>
          <w:sz w:val="18"/>
        </w:rPr>
        <w:t>Zhao, Z., Gozgor, G., Lau, M. C. K., Mahalik, M. K., Patel, G. &amp; Khalfaoui, R. The impact of geopolitical risks on renewable energy demand in OECD countries. Energy Economics 122, 106700 (2023). https://doi.org/10.1016/j.eneco.2023.106700</w:t>
      </w:r>
    </w:p>
    <w:p w14:paraId="244F0E99" w14:textId="77777777" w:rsidR="00FB4DC8" w:rsidRDefault="00000000">
      <w:pPr>
        <w:spacing w:after="60"/>
        <w:ind w:left="461" w:hanging="461"/>
      </w:pPr>
      <w:r>
        <w:rPr>
          <w:b/>
          <w:sz w:val="18"/>
        </w:rPr>
        <w:t xml:space="preserve">38. </w:t>
      </w:r>
      <w:r>
        <w:rPr>
          <w:sz w:val="18"/>
        </w:rPr>
        <w:t>Way, R., Ives, M. C., Mealy, P. &amp; Farmer, J. D. Empirically grounded technology forecasts and the energy transition. Joule 6, 2057–2082 (2022). https://doi.org/10.1016/j.joule.2022.08.009</w:t>
      </w:r>
    </w:p>
    <w:p w14:paraId="07EFD568" w14:textId="77777777" w:rsidR="00FB4DC8" w:rsidRDefault="00000000">
      <w:pPr>
        <w:spacing w:after="60"/>
        <w:ind w:left="461" w:hanging="461"/>
      </w:pPr>
      <w:r>
        <w:rPr>
          <w:b/>
          <w:sz w:val="18"/>
        </w:rPr>
        <w:t xml:space="preserve">39. </w:t>
      </w:r>
      <w:r>
        <w:rPr>
          <w:sz w:val="18"/>
        </w:rPr>
        <w:t>Aklin, M. &amp; Urpelainen, J. Renewables: The Politics of a Global Energy Transition. (MIT Press, Cambridge, MA, 2018). https://doi.org/10.7551/mitpress/11112.001.0001</w:t>
      </w:r>
    </w:p>
    <w:p w14:paraId="16DAB7BF" w14:textId="77777777" w:rsidR="00FB4DC8" w:rsidRDefault="00000000">
      <w:pPr>
        <w:spacing w:after="60"/>
        <w:ind w:left="461" w:hanging="461"/>
      </w:pPr>
      <w:r>
        <w:rPr>
          <w:b/>
          <w:sz w:val="18"/>
        </w:rPr>
        <w:t xml:space="preserve">40. </w:t>
      </w:r>
      <w:r>
        <w:rPr>
          <w:sz w:val="18"/>
        </w:rPr>
        <w:t>Ember. Global Electricity Review 2025. (Ember-Energy, London, 2025). https://ember-energy.org/latest-insights/global-electricity-review-2025/</w:t>
      </w:r>
    </w:p>
    <w:p w14:paraId="5FC7E05E" w14:textId="77777777" w:rsidR="00FB4DC8" w:rsidRDefault="00000000">
      <w:pPr>
        <w:spacing w:after="60"/>
        <w:ind w:left="461" w:hanging="461"/>
      </w:pPr>
      <w:r>
        <w:rPr>
          <w:b/>
          <w:sz w:val="18"/>
        </w:rPr>
        <w:t xml:space="preserve">41. </w:t>
      </w:r>
      <w:r>
        <w:rPr>
          <w:sz w:val="18"/>
        </w:rPr>
        <w:t>IRENA. Renewable Power Generation Costs in 2024. (IRENA, Abu Dhabi, 2025). https://www.irena.org/-/media/Files/IRENA/Agency/Publication/2025/Jul/IRENA_TEC_RPGC_in_2024_2025.pdf</w:t>
      </w:r>
    </w:p>
    <w:p w14:paraId="11F76904" w14:textId="77777777" w:rsidR="00FB4DC8" w:rsidRDefault="00000000">
      <w:pPr>
        <w:spacing w:after="60"/>
        <w:ind w:left="461" w:hanging="461"/>
      </w:pPr>
      <w:r>
        <w:rPr>
          <w:b/>
          <w:sz w:val="18"/>
        </w:rPr>
        <w:t xml:space="preserve">42. </w:t>
      </w:r>
      <w:r>
        <w:rPr>
          <w:sz w:val="18"/>
        </w:rPr>
        <w:t>IEA. Global Critical Minerals Outlook 2024. (International Energy Agency, Paris, 2024). https://www.iea.org/reports/global-critical-minerals-outlook-2024/executive-summary</w:t>
      </w:r>
    </w:p>
    <w:p w14:paraId="5B848363" w14:textId="77777777" w:rsidR="00FB4DC8" w:rsidRDefault="00000000">
      <w:pPr>
        <w:spacing w:after="60"/>
        <w:ind w:left="461" w:hanging="461"/>
      </w:pPr>
      <w:r>
        <w:rPr>
          <w:b/>
          <w:sz w:val="18"/>
        </w:rPr>
        <w:t xml:space="preserve">43. </w:t>
      </w:r>
      <w:r>
        <w:rPr>
          <w:sz w:val="18"/>
        </w:rPr>
        <w:t>IEA. World Energy Investment 2025. (International Energy Agency, Paris, 2025). https://www.iea.org/reports/world-energy-investment-2025</w:t>
      </w:r>
    </w:p>
    <w:p w14:paraId="05B14B01" w14:textId="77777777" w:rsidR="00FB4DC8" w:rsidRDefault="00000000">
      <w:pPr>
        <w:spacing w:after="60"/>
        <w:ind w:left="461" w:hanging="461"/>
      </w:pPr>
      <w:r>
        <w:rPr>
          <w:b/>
          <w:sz w:val="18"/>
        </w:rPr>
        <w:t xml:space="preserve">44. </w:t>
      </w:r>
      <w:r>
        <w:rPr>
          <w:sz w:val="18"/>
        </w:rPr>
        <w:t>Ritchie, H., Rosado, P. &amp; Roser, M. Energy. (Our World in Data, 2024). https://ourworldindata.org/energy-production-consumption</w:t>
      </w:r>
    </w:p>
    <w:p w14:paraId="7D971743" w14:textId="77777777" w:rsidR="00FB4DC8" w:rsidRDefault="00000000">
      <w:pPr>
        <w:spacing w:after="60"/>
        <w:ind w:left="461" w:hanging="461"/>
      </w:pPr>
      <w:r>
        <w:rPr>
          <w:b/>
          <w:sz w:val="18"/>
        </w:rPr>
        <w:t xml:space="preserve">45. </w:t>
      </w:r>
      <w:r>
        <w:rPr>
          <w:sz w:val="18"/>
        </w:rPr>
        <w:t>Bordoff, J. &amp; O’Sullivan, M. L. The age of energy insecurity: how the fight for resources is upending geopolitics. Foreign Affairs 102, 104–119 (2023). https://www.foreignaffairs.com/world/energy-insecurity-climate-change-geopolitics-resources</w:t>
      </w:r>
    </w:p>
    <w:p w14:paraId="2864647F" w14:textId="77777777" w:rsidR="00FB4DC8" w:rsidRDefault="00000000">
      <w:pPr>
        <w:spacing w:after="60"/>
        <w:ind w:left="461" w:hanging="461"/>
      </w:pPr>
      <w:r>
        <w:rPr>
          <w:b/>
          <w:sz w:val="18"/>
        </w:rPr>
        <w:t xml:space="preserve">46. </w:t>
      </w:r>
      <w:r>
        <w:rPr>
          <w:sz w:val="18"/>
        </w:rPr>
        <w:t>International Energy Agency. Household Energy Affordability. (IEA, Paris, 2026). https://www.iea.org/reports/household-energy-affordability</w:t>
      </w:r>
    </w:p>
    <w:sectPr w:rsidR="00FB4DC8">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806F86" w14:textId="77777777" w:rsidR="002B3138" w:rsidRDefault="002B3138">
      <w:r>
        <w:separator/>
      </w:r>
    </w:p>
  </w:endnote>
  <w:endnote w:type="continuationSeparator" w:id="0">
    <w:p w14:paraId="7D6303E5" w14:textId="77777777" w:rsidR="002B3138" w:rsidRDefault="002B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04C990" w14:textId="77777777" w:rsidR="00FB4DC8" w:rsidRDefault="00000000">
    <w:pPr>
      <w:jc w:val="center"/>
    </w:pPr>
    <w:r>
      <w:rPr>
        <w:rFonts w:ascii="Calibri" w:eastAsia="Calibri" w:hAnsi="Calibri" w:cs="Calibri"/>
        <w:color w:val="5A5A5A"/>
        <w:sz w:val="18"/>
        <w:szCs w:val="18"/>
      </w:rPr>
      <w:t xml:space="preserve">Page </w:t>
    </w:r>
    <w:r>
      <w:rPr>
        <w:rFonts w:ascii="Calibri" w:eastAsia="Calibri" w:hAnsi="Calibri" w:cs="Calibri"/>
        <w:color w:val="5A5A5A"/>
        <w:sz w:val="18"/>
        <w:szCs w:val="18"/>
      </w:rPr>
      <w:fldChar w:fldCharType="begin"/>
    </w:r>
    <w:r>
      <w:rPr>
        <w:rFonts w:ascii="Calibri" w:eastAsia="Calibri" w:hAnsi="Calibri" w:cs="Calibri"/>
        <w:color w:val="5A5A5A"/>
        <w:sz w:val="18"/>
        <w:szCs w:val="18"/>
      </w:rPr>
      <w:instrText>PAGE</w:instrText>
    </w:r>
    <w:r>
      <w:rPr>
        <w:rFonts w:ascii="Calibri" w:eastAsia="Calibri" w:hAnsi="Calibri" w:cs="Calibri"/>
        <w:color w:val="5A5A5A"/>
        <w:sz w:val="18"/>
        <w:szCs w:val="18"/>
      </w:rPr>
      <w:fldChar w:fldCharType="separate"/>
    </w:r>
    <w:r w:rsidR="00AD7BDA">
      <w:rPr>
        <w:rFonts w:ascii="Calibri" w:eastAsia="Calibri" w:hAnsi="Calibri" w:cs="Calibri"/>
        <w:noProof/>
        <w:color w:val="5A5A5A"/>
        <w:sz w:val="18"/>
        <w:szCs w:val="18"/>
      </w:rPr>
      <w:t>1</w:t>
    </w:r>
    <w:r>
      <w:rPr>
        <w:rFonts w:ascii="Calibri" w:eastAsia="Calibri" w:hAnsi="Calibri" w:cs="Calibri"/>
        <w:color w:val="5A5A5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0D7E53" w14:textId="77777777" w:rsidR="002B3138" w:rsidRDefault="002B3138">
      <w:r>
        <w:separator/>
      </w:r>
    </w:p>
  </w:footnote>
  <w:footnote w:type="continuationSeparator" w:id="0">
    <w:p w14:paraId="505F7530" w14:textId="77777777" w:rsidR="002B3138" w:rsidRDefault="002B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E7827D" w14:textId="03EDD65C" w:rsidR="00FB4DC8" w:rsidRDefault="00000000">
    <w:pPr>
      <w:jc w:val="right"/>
    </w:pPr>
    <w:r>
      <w:t>Supplementary Information  |  Saxena &amp; Dally  |  Nature Energy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A2A4569"/>
    <w:multiLevelType w:val="hybridMultilevel"/>
    <w:tmpl w:val="05063B0C"/>
    <w:lvl w:ilvl="0" w:tplc="A7C6CCFA">
      <w:start w:val="1"/>
      <w:numFmt w:val="bullet"/>
      <w:lvlText w:val="•"/>
      <w:lvlJc w:val="left"/>
      <w:pPr>
        <w:ind w:left="720" w:hanging="360"/>
      </w:pPr>
    </w:lvl>
    <w:lvl w:ilvl="1" w:tplc="50B0D8D2">
      <w:numFmt w:val="decimal"/>
      <w:lvlText w:val=""/>
      <w:lvlJc w:val="left"/>
    </w:lvl>
    <w:lvl w:ilvl="2" w:tplc="A2F63792">
      <w:numFmt w:val="decimal"/>
      <w:lvlText w:val=""/>
      <w:lvlJc w:val="left"/>
    </w:lvl>
    <w:lvl w:ilvl="3" w:tplc="6E426E0E">
      <w:numFmt w:val="decimal"/>
      <w:lvlText w:val=""/>
      <w:lvlJc w:val="left"/>
    </w:lvl>
    <w:lvl w:ilvl="4" w:tplc="780CE4F2">
      <w:numFmt w:val="decimal"/>
      <w:lvlText w:val=""/>
      <w:lvlJc w:val="left"/>
    </w:lvl>
    <w:lvl w:ilvl="5" w:tplc="DA9C1A26">
      <w:numFmt w:val="decimal"/>
      <w:lvlText w:val=""/>
      <w:lvlJc w:val="left"/>
    </w:lvl>
    <w:lvl w:ilvl="6" w:tplc="8B6C59DC">
      <w:numFmt w:val="decimal"/>
      <w:lvlText w:val=""/>
      <w:lvlJc w:val="left"/>
    </w:lvl>
    <w:lvl w:ilvl="7" w:tplc="D83ADF8E">
      <w:numFmt w:val="decimal"/>
      <w:lvlText w:val=""/>
      <w:lvlJc w:val="left"/>
    </w:lvl>
    <w:lvl w:ilvl="8" w:tplc="E21A8370">
      <w:numFmt w:val="decimal"/>
      <w:lvlText w:val=""/>
      <w:lvlJc w:val="left"/>
    </w:lvl>
  </w:abstractNum>
  <w:abstractNum w:abstractNumId="1" w15:restartNumberingAfterBreak="0">
    <w:nsid w:val="36CC7CDB"/>
    <w:multiLevelType w:val="hybridMultilevel"/>
    <w:tmpl w:val="5E2671A2"/>
    <w:lvl w:ilvl="0" w:tplc="BF048616">
      <w:start w:val="1"/>
      <w:numFmt w:val="bullet"/>
      <w:lvlText w:val="●"/>
      <w:lvlJc w:val="left"/>
      <w:pPr>
        <w:ind w:left="720" w:hanging="360"/>
      </w:pPr>
    </w:lvl>
    <w:lvl w:ilvl="1" w:tplc="9B62634C">
      <w:start w:val="1"/>
      <w:numFmt w:val="bullet"/>
      <w:lvlText w:val="○"/>
      <w:lvlJc w:val="left"/>
      <w:pPr>
        <w:ind w:left="1440" w:hanging="360"/>
      </w:pPr>
    </w:lvl>
    <w:lvl w:ilvl="2" w:tplc="D19AC26E">
      <w:start w:val="1"/>
      <w:numFmt w:val="bullet"/>
      <w:lvlText w:val="■"/>
      <w:lvlJc w:val="left"/>
      <w:pPr>
        <w:ind w:left="2160" w:hanging="360"/>
      </w:pPr>
    </w:lvl>
    <w:lvl w:ilvl="3" w:tplc="9E00DACC">
      <w:start w:val="1"/>
      <w:numFmt w:val="bullet"/>
      <w:lvlText w:val="●"/>
      <w:lvlJc w:val="left"/>
      <w:pPr>
        <w:ind w:left="2880" w:hanging="360"/>
      </w:pPr>
    </w:lvl>
    <w:lvl w:ilvl="4" w:tplc="5356665A">
      <w:start w:val="1"/>
      <w:numFmt w:val="bullet"/>
      <w:lvlText w:val="○"/>
      <w:lvlJc w:val="left"/>
      <w:pPr>
        <w:ind w:left="3600" w:hanging="360"/>
      </w:pPr>
    </w:lvl>
    <w:lvl w:ilvl="5" w:tplc="1F067472">
      <w:start w:val="1"/>
      <w:numFmt w:val="bullet"/>
      <w:lvlText w:val="■"/>
      <w:lvlJc w:val="left"/>
      <w:pPr>
        <w:ind w:left="4320" w:hanging="360"/>
      </w:pPr>
    </w:lvl>
    <w:lvl w:ilvl="6" w:tplc="D1E00EEA">
      <w:start w:val="1"/>
      <w:numFmt w:val="bullet"/>
      <w:lvlText w:val="●"/>
      <w:lvlJc w:val="left"/>
      <w:pPr>
        <w:ind w:left="5040" w:hanging="360"/>
      </w:pPr>
    </w:lvl>
    <w:lvl w:ilvl="7" w:tplc="7D8267FA">
      <w:start w:val="1"/>
      <w:numFmt w:val="bullet"/>
      <w:lvlText w:val="●"/>
      <w:lvlJc w:val="left"/>
      <w:pPr>
        <w:ind w:left="5760" w:hanging="360"/>
      </w:pPr>
    </w:lvl>
    <w:lvl w:ilvl="8" w:tplc="67967410">
      <w:start w:val="1"/>
      <w:numFmt w:val="bullet"/>
      <w:lvlText w:val="●"/>
      <w:lvlJc w:val="left"/>
      <w:pPr>
        <w:ind w:left="6480" w:hanging="360"/>
      </w:pPr>
    </w:lvl>
  </w:abstractNum>
  <w:num w:numId="1" w16cid:durableId="772551738">
    <w:abstractNumId w:val="1"/>
    <w:lvlOverride w:ilvl="0">
      <w:startOverride w:val="1"/>
    </w:lvlOverride>
  </w:num>
  <w:num w:numId="2" w16cid:durableId="709914566">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C8"/>
    <w:rsid w:val="002B3138"/>
    <w:rsid w:val="00AD7BDA"/>
    <w:rsid w:val="00FB3D7B"/>
    <w:rsid w:val="00FB4DC8"/>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2EA8F00C"/>
  <w15:docId w15:val="{2B70E907-9C34-8840-A899-BE95C9B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Cambria" w:hAnsi="Cambria" w:cs="Cambria"/>
        <w:sz w:val="22"/>
        <w:szCs w:val="22"/>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80" w:after="160"/>
      <w:outlineLvl w:val="0"/>
    </w:pPr>
    <w:rPr>
      <w:rFonts w:ascii="Calibri" w:eastAsia="Calibri" w:hAnsi="Calibri" w:cs="Calibri"/>
      <w:b/>
      <w:bCs/>
      <w:color w:val="1F4E79"/>
      <w:sz w:val="26"/>
      <w:szCs w:val="26"/>
    </w:rPr>
  </w:style>
  <w:style w:type="paragraph" w:styleId="Heading2">
    <w:name w:val="heading 2"/>
    <w:uiPriority w:val="9"/>
    <w:unhideWhenUsed/>
    <w:qFormat/>
    <w:pPr>
      <w:spacing w:before="240" w:after="100"/>
      <w:outlineLvl w:val="1"/>
    </w:pPr>
    <w:rPr>
      <w:rFonts w:ascii="Calibri" w:eastAsia="Calibri" w:hAnsi="Calibri" w:cs="Calibri"/>
      <w:b/>
      <w:bCs/>
      <w:color w:val="1F4E79"/>
    </w:rPr>
  </w:style>
  <w:style w:type="paragraph" w:styleId="Heading3">
    <w:name w:val="heading 3"/>
    <w:uiPriority w:val="9"/>
    <w:semiHidden/>
    <w:unhideWhenUsed/>
    <w:qFormat/>
    <w:pPr>
      <w:spacing w:before="180" w:after="80"/>
      <w:outlineLvl w:val="2"/>
    </w:pPr>
    <w:rPr>
      <w:rFonts w:ascii="Calibri" w:eastAsia="Calibri" w:hAnsi="Calibri" w:cs="Calibri"/>
      <w:b/>
      <w:bCs/>
      <w:color w:val="5A5A5A"/>
      <w:sz w:val="20"/>
      <w:szCs w:val="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D7BDA"/>
    <w:pPr>
      <w:tabs>
        <w:tab w:val="center" w:pos="4680"/>
        <w:tab w:val="right" w:pos="9360"/>
      </w:tabs>
    </w:pPr>
  </w:style>
  <w:style w:type="character" w:customStyle="1" w:styleId="HeaderChar">
    <w:name w:val="Header Char"/>
    <w:basedOn w:val="DefaultParagraphFont"/>
    <w:link w:val="Header"/>
    <w:uiPriority w:val="99"/>
    <w:rsid w:val="00AD7BDA"/>
  </w:style>
  <w:style w:type="paragraph" w:styleId="Footer">
    <w:name w:val="footer"/>
    <w:basedOn w:val="Normal"/>
    <w:link w:val="FooterChar"/>
    <w:uiPriority w:val="99"/>
    <w:unhideWhenUsed/>
    <w:rsid w:val="00AD7BDA"/>
    <w:pPr>
      <w:tabs>
        <w:tab w:val="center" w:pos="4680"/>
        <w:tab w:val="right" w:pos="9360"/>
      </w:tabs>
    </w:pPr>
  </w:style>
  <w:style w:type="character" w:customStyle="1" w:styleId="FooterChar">
    <w:name w:val="Footer Char"/>
    <w:basedOn w:val="DefaultParagraphFont"/>
    <w:link w:val="Footer"/>
    <w:uiPriority w:val="99"/>
    <w:rsid w:val="00AD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5508</Words>
  <Characters>31402</Characters>
  <Application>Microsoft Office Word</Application>
  <DocSecurity>0</DocSecurity>
  <Lines>261</Lines>
  <Paragraphs>73</Paragraphs>
  <ScaleCrop>false</ScaleCrop>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Whose energy transition?</dc:title>
  <dc:subject>Nature Energy Analysis, version 4.2</dc:subject>
  <dc:creator>Saxena &amp; Dally</dc:creator>
  <cp:lastModifiedBy>Saxena, Saumitra</cp:lastModifiedBy>
  <cp:revision>2</cp:revision>
  <dcterms:created xsi:type="dcterms:W3CDTF">2026-06-17T10:26:00Z</dcterms:created>
  <dcterms:modified xsi:type="dcterms:W3CDTF">2026-06-28T12:39:00Z</dcterms:modified>
</cp:coreProperties>
</file>