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</w:pPr>
      <w:r>
        <w:rPr>
          <w:rFonts w:ascii="Times New Roman" w:hAnsi="Times New Roman"/>
          <w:b/>
          <w:i w:val="0"/>
          <w:sz w:val="28"/>
        </w:rPr>
        <w:t>Supplementary material</w:t>
      </w:r>
    </w:p>
    <w:p>
      <w:pPr>
        <w:spacing w:after="160"/>
      </w:pPr>
    </w:p>
    <w:p>
      <w:pPr>
        <w:spacing w:after="160"/>
      </w:pPr>
      <w:r>
        <w:rPr>
          <w:rFonts w:ascii="Times New Roman" w:hAnsi="Times New Roman"/>
          <w:b/>
          <w:i w:val="0"/>
          <w:sz w:val="24"/>
        </w:rPr>
        <w:t>Table S1. Subgroup analyses (M2; adjusted for age and sex).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/>
            <w:r>
              <w:rPr>
                <w:rFonts w:ascii="Times New Roman" w:hAnsi="Times New Roman"/>
                <w:b/>
                <w:sz w:val="20"/>
              </w:rPr>
              <w:t>Subgroup</w:t>
            </w:r>
          </w:p>
        </w:tc>
        <w:tc>
          <w:tcPr>
            <w:tcW w:type="dxa" w:w="2880"/>
          </w:tcPr>
          <w:p>
            <w:r/>
            <w:r>
              <w:rPr>
                <w:rFonts w:ascii="Times New Roman" w:hAnsi="Times New Roman"/>
                <w:b/>
                <w:sz w:val="20"/>
              </w:rPr>
              <w:t>OR per 1 unit (95% CI)</w:t>
            </w:r>
          </w:p>
        </w:tc>
        <w:tc>
          <w:tcPr>
            <w:tcW w:type="dxa" w:w="2880"/>
          </w:tcPr>
          <w:p>
            <w:r/>
            <w:r>
              <w:rPr>
                <w:rFonts w:ascii="Times New Roman" w:hAnsi="Times New Roman"/>
                <w:b/>
                <w:sz w:val="20"/>
              </w:rPr>
              <w:t>Interaction P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Times New Roman" w:hAnsi="Times New Roman"/>
                <w:sz w:val="20"/>
              </w:rPr>
              <w:t>Male</w:t>
            </w:r>
          </w:p>
        </w:tc>
        <w:tc>
          <w:tcPr>
            <w:tcW w:type="dxa" w:w="2880"/>
          </w:tcPr>
          <w:p>
            <w:r/>
            <w:r>
              <w:rPr>
                <w:rFonts w:ascii="Times New Roman" w:hAnsi="Times New Roman"/>
                <w:sz w:val="20"/>
              </w:rPr>
              <w:t>5.35 (3.83-7.46)</w:t>
            </w:r>
          </w:p>
        </w:tc>
        <w:tc>
          <w:tcPr>
            <w:tcW w:type="dxa" w:w="2880"/>
          </w:tcPr>
          <w:p>
            <w:r/>
            <w:r>
              <w:rPr>
                <w:rFonts w:ascii="Times New Roman" w:hAnsi="Times New Roman"/>
                <w:sz w:val="20"/>
              </w:rPr>
              <w:t>0.44 (sex)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Times New Roman" w:hAnsi="Times New Roman"/>
                <w:sz w:val="20"/>
              </w:rPr>
              <w:t>Female</w:t>
            </w:r>
          </w:p>
        </w:tc>
        <w:tc>
          <w:tcPr>
            <w:tcW w:type="dxa" w:w="2880"/>
          </w:tcPr>
          <w:p>
            <w:r/>
            <w:r>
              <w:rPr>
                <w:rFonts w:ascii="Times New Roman" w:hAnsi="Times New Roman"/>
                <w:sz w:val="20"/>
              </w:rPr>
              <w:t>4.50 (3.42-5.92)</w:t>
            </w:r>
          </w:p>
        </w:tc>
        <w:tc>
          <w:tcPr>
            <w:tcW w:type="dxa" w:w="2880"/>
          </w:tcPr>
          <w:p>
            <w:r/>
            <w:r>
              <w:rPr>
                <w:rFonts w:ascii="Times New Roman" w:hAnsi="Times New Roman"/>
                <w:sz w:val="20"/>
              </w:rPr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Times New Roman" w:hAnsi="Times New Roman"/>
                <w:sz w:val="20"/>
              </w:rPr>
              <w:t>Age 50-64</w:t>
            </w:r>
          </w:p>
        </w:tc>
        <w:tc>
          <w:tcPr>
            <w:tcW w:type="dxa" w:w="2880"/>
          </w:tcPr>
          <w:p>
            <w:r/>
            <w:r>
              <w:rPr>
                <w:rFonts w:ascii="Times New Roman" w:hAnsi="Times New Roman"/>
                <w:sz w:val="20"/>
              </w:rPr>
              <w:t>6.64 (4.86-9.08)</w:t>
            </w:r>
          </w:p>
        </w:tc>
        <w:tc>
          <w:tcPr>
            <w:tcW w:type="dxa" w:w="2880"/>
          </w:tcPr>
          <w:p>
            <w:r/>
            <w:r>
              <w:rPr>
                <w:rFonts w:ascii="Times New Roman" w:hAnsi="Times New Roman"/>
                <w:sz w:val="20"/>
              </w:rPr>
              <w:t>0.025 (age)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Times New Roman" w:hAnsi="Times New Roman"/>
                <w:sz w:val="20"/>
              </w:rPr>
              <w:t>Age &gt;=65</w:t>
            </w:r>
          </w:p>
        </w:tc>
        <w:tc>
          <w:tcPr>
            <w:tcW w:type="dxa" w:w="2880"/>
          </w:tcPr>
          <w:p>
            <w:r/>
            <w:r>
              <w:rPr>
                <w:rFonts w:ascii="Times New Roman" w:hAnsi="Times New Roman"/>
                <w:sz w:val="20"/>
              </w:rPr>
              <w:t>3.65 (2.75-4.85)</w:t>
            </w:r>
          </w:p>
        </w:tc>
        <w:tc>
          <w:tcPr>
            <w:tcW w:type="dxa" w:w="2880"/>
          </w:tcPr>
          <w:p>
            <w:r/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spacing w:after="160"/>
      </w:pPr>
      <w:r>
        <w:rPr>
          <w:rFonts w:ascii="Times New Roman" w:hAnsi="Times New Roman"/>
          <w:b w:val="0"/>
          <w:i/>
          <w:sz w:val="20"/>
        </w:rPr>
        <w:t>Exploratory; not corrected for multiple comparisons.</w:t>
      </w:r>
    </w:p>
    <w:p>
      <w:pPr>
        <w:spacing w:after="160"/>
      </w:pPr>
    </w:p>
    <w:p>
      <w:pPr>
        <w:spacing w:after="160"/>
      </w:pPr>
      <w:r>
        <w:rPr>
          <w:rFonts w:ascii="Times New Roman" w:hAnsi="Times New Roman"/>
          <w:b/>
          <w:i w:val="0"/>
          <w:sz w:val="24"/>
        </w:rPr>
        <w:t>Table S2. Sensitivity analyses (fully adjusted M4).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/>
            <w:r>
              <w:rPr>
                <w:rFonts w:ascii="Times New Roman" w:hAnsi="Times New Roman"/>
                <w:b/>
                <w:sz w:val="20"/>
              </w:rPr>
              <w:t>Analysis</w:t>
            </w:r>
          </w:p>
        </w:tc>
        <w:tc>
          <w:tcPr>
            <w:tcW w:type="dxa" w:w="1728"/>
          </w:tcPr>
          <w:p>
            <w:r/>
            <w:r>
              <w:rPr>
                <w:rFonts w:ascii="Times New Roman" w:hAnsi="Times New Roman"/>
                <w:b/>
                <w:sz w:val="20"/>
              </w:rPr>
              <w:t>N</w:t>
            </w:r>
          </w:p>
        </w:tc>
        <w:tc>
          <w:tcPr>
            <w:tcW w:type="dxa" w:w="1728"/>
          </w:tcPr>
          <w:p>
            <w:r/>
            <w:r>
              <w:rPr>
                <w:rFonts w:ascii="Times New Roman" w:hAnsi="Times New Roman"/>
                <w:b/>
                <w:sz w:val="20"/>
              </w:rPr>
              <w:t>OR per 1 unit (95% CI)</w:t>
            </w:r>
          </w:p>
        </w:tc>
        <w:tc>
          <w:tcPr>
            <w:tcW w:type="dxa" w:w="1728"/>
          </w:tcPr>
          <w:p>
            <w:r/>
            <w:r>
              <w:rPr>
                <w:rFonts w:ascii="Times New Roman" w:hAnsi="Times New Roman"/>
                <w:b/>
                <w:sz w:val="20"/>
              </w:rPr>
              <w:t>OR per 0.1 (95% CI)</w:t>
            </w:r>
          </w:p>
        </w:tc>
        <w:tc>
          <w:tcPr>
            <w:tcW w:type="dxa" w:w="1728"/>
          </w:tcPr>
          <w:p>
            <w:r/>
            <w:r>
              <w:rPr>
                <w:rFonts w:ascii="Times New Roman" w:hAnsi="Times New Roman"/>
                <w:b/>
                <w:sz w:val="20"/>
              </w:rPr>
              <w:t>P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Times New Roman" w:hAnsi="Times New Roman"/>
                <w:sz w:val="20"/>
              </w:rPr>
              <w:t>Main (M4)</w:t>
            </w:r>
          </w:p>
        </w:tc>
        <w:tc>
          <w:tcPr>
            <w:tcW w:type="dxa" w:w="1728"/>
          </w:tcPr>
          <w:p>
            <w:r/>
            <w:r>
              <w:rPr>
                <w:rFonts w:ascii="Times New Roman" w:hAnsi="Times New Roman"/>
                <w:sz w:val="20"/>
              </w:rPr>
              <w:t>9,805</w:t>
            </w:r>
          </w:p>
        </w:tc>
        <w:tc>
          <w:tcPr>
            <w:tcW w:type="dxa" w:w="1728"/>
          </w:tcPr>
          <w:p>
            <w:r/>
            <w:r>
              <w:rPr>
                <w:rFonts w:ascii="Times New Roman" w:hAnsi="Times New Roman"/>
                <w:sz w:val="20"/>
              </w:rPr>
              <w:t>3.33 (2.60-4.28)</w:t>
            </w:r>
          </w:p>
        </w:tc>
        <w:tc>
          <w:tcPr>
            <w:tcW w:type="dxa" w:w="1728"/>
          </w:tcPr>
          <w:p>
            <w:r/>
            <w:r>
              <w:rPr>
                <w:rFonts w:ascii="Times New Roman" w:hAnsi="Times New Roman"/>
                <w:sz w:val="20"/>
              </w:rPr>
              <w:t>1.128 (1.100-1.157)</w:t>
            </w:r>
          </w:p>
        </w:tc>
        <w:tc>
          <w:tcPr>
            <w:tcW w:type="dxa" w:w="1728"/>
          </w:tcPr>
          <w:p>
            <w:r/>
            <w:r>
              <w:rPr>
                <w:rFonts w:ascii="Times New Roman" w:hAnsi="Times New Roman"/>
                <w:sz w:val="20"/>
              </w:rPr>
              <w:t>&lt;0.001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Times New Roman" w:hAnsi="Times New Roman"/>
                <w:sz w:val="20"/>
              </w:rPr>
              <w:t>Multiple imputation (m=5)</w:t>
            </w:r>
          </w:p>
        </w:tc>
        <w:tc>
          <w:tcPr>
            <w:tcW w:type="dxa" w:w="1728"/>
          </w:tcPr>
          <w:p>
            <w:r/>
            <w:r>
              <w:rPr>
                <w:rFonts w:ascii="Times New Roman" w:hAnsi="Times New Roman"/>
                <w:sz w:val="20"/>
              </w:rPr>
              <w:t>11,430</w:t>
            </w:r>
          </w:p>
        </w:tc>
        <w:tc>
          <w:tcPr>
            <w:tcW w:type="dxa" w:w="1728"/>
          </w:tcPr>
          <w:p>
            <w:r/>
            <w:r>
              <w:rPr>
                <w:rFonts w:ascii="Times New Roman" w:hAnsi="Times New Roman"/>
                <w:sz w:val="20"/>
              </w:rPr>
              <w:t>3.16 (2.53-3.95)</w:t>
            </w:r>
          </w:p>
        </w:tc>
        <w:tc>
          <w:tcPr>
            <w:tcW w:type="dxa" w:w="1728"/>
          </w:tcPr>
          <w:p>
            <w:r/>
            <w:r>
              <w:rPr>
                <w:rFonts w:ascii="Times New Roman" w:hAnsi="Times New Roman"/>
                <w:sz w:val="20"/>
              </w:rPr>
              <w:t>1.122 (1.097-1.148)</w:t>
            </w:r>
          </w:p>
        </w:tc>
        <w:tc>
          <w:tcPr>
            <w:tcW w:type="dxa" w:w="1728"/>
          </w:tcPr>
          <w:p>
            <w:r/>
            <w:r>
              <w:rPr>
                <w:rFonts w:ascii="Times New Roman" w:hAnsi="Times New Roman"/>
                <w:sz w:val="20"/>
              </w:rPr>
              <w:t>&lt;0.001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Times New Roman" w:hAnsi="Times New Roman"/>
                <w:sz w:val="20"/>
              </w:rPr>
              <w:t>Exclude LEFI=1.0</w:t>
            </w:r>
          </w:p>
        </w:tc>
        <w:tc>
          <w:tcPr>
            <w:tcW w:type="dxa" w:w="1728"/>
          </w:tcPr>
          <w:p>
            <w:r/>
            <w:r>
              <w:rPr>
                <w:rFonts w:ascii="Times New Roman" w:hAnsi="Times New Roman"/>
                <w:sz w:val="20"/>
              </w:rPr>
              <w:t>9,793</w:t>
            </w:r>
          </w:p>
        </w:tc>
        <w:tc>
          <w:tcPr>
            <w:tcW w:type="dxa" w:w="1728"/>
          </w:tcPr>
          <w:p>
            <w:r/>
            <w:r>
              <w:rPr>
                <w:rFonts w:ascii="Times New Roman" w:hAnsi="Times New Roman"/>
                <w:sz w:val="20"/>
              </w:rPr>
              <w:t>3.32 (2.57-4.27)</w:t>
            </w:r>
          </w:p>
        </w:tc>
        <w:tc>
          <w:tcPr>
            <w:tcW w:type="dxa" w:w="1728"/>
          </w:tcPr>
          <w:p>
            <w:r/>
            <w:r>
              <w:rPr>
                <w:rFonts w:ascii="Times New Roman" w:hAnsi="Times New Roman"/>
                <w:sz w:val="20"/>
              </w:rPr>
              <w:t>1.127 (1.099-1.156)</w:t>
            </w:r>
          </w:p>
        </w:tc>
        <w:tc>
          <w:tcPr>
            <w:tcW w:type="dxa" w:w="1728"/>
          </w:tcPr>
          <w:p>
            <w:r/>
            <w:r>
              <w:rPr>
                <w:rFonts w:ascii="Times New Roman" w:hAnsi="Times New Roman"/>
                <w:sz w:val="20"/>
              </w:rPr>
              <w:t>&lt;0.001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Times New Roman" w:hAnsi="Times New Roman"/>
                <w:sz w:val="20"/>
              </w:rPr>
              <w:t>Complete cases</w:t>
            </w:r>
          </w:p>
        </w:tc>
        <w:tc>
          <w:tcPr>
            <w:tcW w:type="dxa" w:w="1728"/>
          </w:tcPr>
          <w:p>
            <w:r/>
            <w:r>
              <w:rPr>
                <w:rFonts w:ascii="Times New Roman" w:hAnsi="Times New Roman"/>
                <w:sz w:val="20"/>
              </w:rPr>
              <w:t>9,805</w:t>
            </w:r>
          </w:p>
        </w:tc>
        <w:tc>
          <w:tcPr>
            <w:tcW w:type="dxa" w:w="1728"/>
          </w:tcPr>
          <w:p>
            <w:r/>
            <w:r>
              <w:rPr>
                <w:rFonts w:ascii="Times New Roman" w:hAnsi="Times New Roman"/>
                <w:sz w:val="20"/>
              </w:rPr>
              <w:t>3.33 (2.60-4.28)</w:t>
            </w:r>
          </w:p>
        </w:tc>
        <w:tc>
          <w:tcPr>
            <w:tcW w:type="dxa" w:w="1728"/>
          </w:tcPr>
          <w:p>
            <w:r/>
            <w:r>
              <w:rPr>
                <w:rFonts w:ascii="Times New Roman" w:hAnsi="Times New Roman"/>
                <w:sz w:val="20"/>
              </w:rPr>
              <w:t>1.128 (1.100-1.157)</w:t>
            </w:r>
          </w:p>
        </w:tc>
        <w:tc>
          <w:tcPr>
            <w:tcW w:type="dxa" w:w="1728"/>
          </w:tcPr>
          <w:p>
            <w:r/>
            <w:r>
              <w:rPr>
                <w:rFonts w:ascii="Times New Roman" w:hAnsi="Times New Roman"/>
                <w:sz w:val="20"/>
              </w:rPr>
              <w:t>&lt;0.001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Times New Roman" w:hAnsi="Times New Roman"/>
                <w:sz w:val="20"/>
              </w:rPr>
              <w:t>Incident (fall-naive)</w:t>
            </w:r>
          </w:p>
        </w:tc>
        <w:tc>
          <w:tcPr>
            <w:tcW w:type="dxa" w:w="1728"/>
          </w:tcPr>
          <w:p>
            <w:r/>
            <w:r>
              <w:rPr>
                <w:rFonts w:ascii="Times New Roman" w:hAnsi="Times New Roman"/>
                <w:sz w:val="20"/>
              </w:rPr>
              <w:t>7,886</w:t>
            </w:r>
          </w:p>
        </w:tc>
        <w:tc>
          <w:tcPr>
            <w:tcW w:type="dxa" w:w="1728"/>
          </w:tcPr>
          <w:p>
            <w:r/>
            <w:r>
              <w:rPr>
                <w:rFonts w:ascii="Times New Roman" w:hAnsi="Times New Roman"/>
                <w:sz w:val="20"/>
              </w:rPr>
              <w:t>3.70 (2.72-5.01)</w:t>
            </w:r>
          </w:p>
        </w:tc>
        <w:tc>
          <w:tcPr>
            <w:tcW w:type="dxa" w:w="1728"/>
          </w:tcPr>
          <w:p>
            <w:r/>
            <w:r>
              <w:rPr>
                <w:rFonts w:ascii="Times New Roman" w:hAnsi="Times New Roman"/>
                <w:sz w:val="20"/>
              </w:rPr>
              <w:t>1.140 (1.105-1.175)</w:t>
            </w:r>
          </w:p>
        </w:tc>
        <w:tc>
          <w:tcPr>
            <w:tcW w:type="dxa" w:w="1728"/>
          </w:tcPr>
          <w:p>
            <w:r/>
            <w:r>
              <w:rPr>
                <w:rFonts w:ascii="Times New Roman" w:hAnsi="Times New Roman"/>
                <w:sz w:val="20"/>
              </w:rPr>
              <w:t>&lt;0.001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Times New Roman" w:hAnsi="Times New Roman"/>
                <w:sz w:val="20"/>
              </w:rPr>
              <w:t>Survey-weighted</w:t>
            </w:r>
          </w:p>
        </w:tc>
        <w:tc>
          <w:tcPr>
            <w:tcW w:type="dxa" w:w="1728"/>
          </w:tcPr>
          <w:p>
            <w:r/>
            <w:r>
              <w:rPr>
                <w:rFonts w:ascii="Times New Roman" w:hAnsi="Times New Roman"/>
                <w:sz w:val="20"/>
              </w:rPr>
              <w:t>11,344</w:t>
            </w:r>
          </w:p>
        </w:tc>
        <w:tc>
          <w:tcPr>
            <w:tcW w:type="dxa" w:w="1728"/>
          </w:tcPr>
          <w:p>
            <w:r/>
            <w:r>
              <w:rPr>
                <w:rFonts w:ascii="Times New Roman" w:hAnsi="Times New Roman"/>
                <w:sz w:val="20"/>
              </w:rPr>
              <w:t>3.61 (2.68-4.87)</w:t>
            </w:r>
          </w:p>
        </w:tc>
        <w:tc>
          <w:tcPr>
            <w:tcW w:type="dxa" w:w="1728"/>
          </w:tcPr>
          <w:p>
            <w:r/>
            <w:r>
              <w:rPr>
                <w:rFonts w:ascii="Times New Roman" w:hAnsi="Times New Roman"/>
                <w:sz w:val="20"/>
              </w:rPr>
              <w:t>1.137 (1.103-1.171)</w:t>
            </w:r>
          </w:p>
        </w:tc>
        <w:tc>
          <w:tcPr>
            <w:tcW w:type="dxa" w:w="1728"/>
          </w:tcPr>
          <w:p>
            <w:r/>
            <w:r>
              <w:rPr>
                <w:rFonts w:ascii="Times New Roman" w:hAnsi="Times New Roman"/>
                <w:sz w:val="20"/>
              </w:rPr>
              <w:t>&lt;0.001</w:t>
            </w:r>
          </w:p>
        </w:tc>
      </w:tr>
    </w:tbl>
    <w:p>
      <w:pPr>
        <w:spacing w:after="160"/>
      </w:pPr>
      <w:r>
        <w:rPr>
          <w:rFonts w:ascii="Times New Roman" w:hAnsi="Times New Roman"/>
          <w:b w:val="0"/>
          <w:i/>
          <w:sz w:val="20"/>
        </w:rPr>
        <w:t>All analyses except incident-fall adjusted for baseline fall history. m=20 gave a near-identical estimate (per 0.1 OR 1.122).</w:t>
      </w:r>
    </w:p>
    <w:p>
      <w:pPr>
        <w:spacing w:after="160"/>
      </w:pPr>
    </w:p>
    <w:p>
      <w:pPr>
        <w:spacing w:after="160"/>
      </w:pPr>
      <w:r>
        <w:rPr>
          <w:rFonts w:ascii="Times New Roman" w:hAnsi="Times New Roman"/>
          <w:b/>
          <w:i w:val="0"/>
          <w:sz w:val="24"/>
        </w:rPr>
        <w:t>Table S3. Discrimination: LEFI versus individual items (DeLong).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/>
            <w:r>
              <w:rPr>
                <w:rFonts w:ascii="Times New Roman" w:hAnsi="Times New Roman"/>
                <w:b/>
                <w:sz w:val="20"/>
              </w:rPr>
              <w:t>Comparison</w:t>
            </w:r>
          </w:p>
        </w:tc>
        <w:tc>
          <w:tcPr>
            <w:tcW w:type="dxa" w:w="1728"/>
          </w:tcPr>
          <w:p>
            <w:r/>
            <w:r>
              <w:rPr>
                <w:rFonts w:ascii="Times New Roman" w:hAnsi="Times New Roman"/>
                <w:b/>
                <w:sz w:val="20"/>
              </w:rPr>
              <w:t>AUC LEFI</w:t>
            </w:r>
          </w:p>
        </w:tc>
        <w:tc>
          <w:tcPr>
            <w:tcW w:type="dxa" w:w="1728"/>
          </w:tcPr>
          <w:p>
            <w:r/>
            <w:r>
              <w:rPr>
                <w:rFonts w:ascii="Times New Roman" w:hAnsi="Times New Roman"/>
                <w:b/>
                <w:sz w:val="20"/>
              </w:rPr>
              <w:t>AUC item</w:t>
            </w:r>
          </w:p>
        </w:tc>
        <w:tc>
          <w:tcPr>
            <w:tcW w:type="dxa" w:w="1728"/>
          </w:tcPr>
          <w:p>
            <w:r/>
            <w:r>
              <w:rPr>
                <w:rFonts w:ascii="Times New Roman" w:hAnsi="Times New Roman"/>
                <w:b/>
                <w:sz w:val="20"/>
              </w:rPr>
              <w:t>Difference</w:t>
            </w:r>
          </w:p>
        </w:tc>
        <w:tc>
          <w:tcPr>
            <w:tcW w:type="dxa" w:w="1728"/>
          </w:tcPr>
          <w:p>
            <w:r/>
            <w:r>
              <w:rPr>
                <w:rFonts w:ascii="Times New Roman" w:hAnsi="Times New Roman"/>
                <w:b/>
                <w:sz w:val="20"/>
              </w:rPr>
              <w:t>P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Times New Roman" w:hAnsi="Times New Roman"/>
                <w:sz w:val="20"/>
              </w:rPr>
              <w:t>vs walking 1 km</w:t>
            </w:r>
          </w:p>
        </w:tc>
        <w:tc>
          <w:tcPr>
            <w:tcW w:type="dxa" w:w="1728"/>
          </w:tcPr>
          <w:p>
            <w:r/>
            <w:r>
              <w:rPr>
                <w:rFonts w:ascii="Times New Roman" w:hAnsi="Times New Roman"/>
                <w:sz w:val="20"/>
              </w:rPr>
              <w:t>0.610</w:t>
            </w:r>
          </w:p>
        </w:tc>
        <w:tc>
          <w:tcPr>
            <w:tcW w:type="dxa" w:w="1728"/>
          </w:tcPr>
          <w:p>
            <w:r/>
            <w:r>
              <w:rPr>
                <w:rFonts w:ascii="Times New Roman" w:hAnsi="Times New Roman"/>
                <w:sz w:val="20"/>
              </w:rPr>
              <w:t>0.553</w:t>
            </w:r>
          </w:p>
        </w:tc>
        <w:tc>
          <w:tcPr>
            <w:tcW w:type="dxa" w:w="1728"/>
          </w:tcPr>
          <w:p>
            <w:r/>
            <w:r>
              <w:rPr>
                <w:rFonts w:ascii="Times New Roman" w:hAnsi="Times New Roman"/>
                <w:sz w:val="20"/>
              </w:rPr>
              <w:t>0.057</w:t>
            </w:r>
          </w:p>
        </w:tc>
        <w:tc>
          <w:tcPr>
            <w:tcW w:type="dxa" w:w="1728"/>
          </w:tcPr>
          <w:p>
            <w:r/>
            <w:r>
              <w:rPr>
                <w:rFonts w:ascii="Times New Roman" w:hAnsi="Times New Roman"/>
                <w:sz w:val="20"/>
              </w:rPr>
              <w:t>&lt;0.001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Times New Roman" w:hAnsi="Times New Roman"/>
                <w:sz w:val="20"/>
              </w:rPr>
              <w:t>vs chair rise</w:t>
            </w:r>
          </w:p>
        </w:tc>
        <w:tc>
          <w:tcPr>
            <w:tcW w:type="dxa" w:w="1728"/>
          </w:tcPr>
          <w:p>
            <w:r/>
            <w:r>
              <w:rPr>
                <w:rFonts w:ascii="Times New Roman" w:hAnsi="Times New Roman"/>
                <w:sz w:val="20"/>
              </w:rPr>
              <w:t>0.610</w:t>
            </w:r>
          </w:p>
        </w:tc>
        <w:tc>
          <w:tcPr>
            <w:tcW w:type="dxa" w:w="1728"/>
          </w:tcPr>
          <w:p>
            <w:r/>
            <w:r>
              <w:rPr>
                <w:rFonts w:ascii="Times New Roman" w:hAnsi="Times New Roman"/>
                <w:sz w:val="20"/>
              </w:rPr>
              <w:t>0.563</w:t>
            </w:r>
          </w:p>
        </w:tc>
        <w:tc>
          <w:tcPr>
            <w:tcW w:type="dxa" w:w="1728"/>
          </w:tcPr>
          <w:p>
            <w:r/>
            <w:r>
              <w:rPr>
                <w:rFonts w:ascii="Times New Roman" w:hAnsi="Times New Roman"/>
                <w:sz w:val="20"/>
              </w:rPr>
              <w:t>0.047</w:t>
            </w:r>
          </w:p>
        </w:tc>
        <w:tc>
          <w:tcPr>
            <w:tcW w:type="dxa" w:w="1728"/>
          </w:tcPr>
          <w:p>
            <w:r/>
            <w:r>
              <w:rPr>
                <w:rFonts w:ascii="Times New Roman" w:hAnsi="Times New Roman"/>
                <w:sz w:val="20"/>
              </w:rPr>
              <w:t>&lt;0.001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Times New Roman" w:hAnsi="Times New Roman"/>
                <w:sz w:val="20"/>
              </w:rPr>
              <w:t>vs climbing stairs</w:t>
            </w:r>
          </w:p>
        </w:tc>
        <w:tc>
          <w:tcPr>
            <w:tcW w:type="dxa" w:w="1728"/>
          </w:tcPr>
          <w:p>
            <w:r/>
            <w:r>
              <w:rPr>
                <w:rFonts w:ascii="Times New Roman" w:hAnsi="Times New Roman"/>
                <w:sz w:val="20"/>
              </w:rPr>
              <w:t>0.610</w:t>
            </w:r>
          </w:p>
        </w:tc>
        <w:tc>
          <w:tcPr>
            <w:tcW w:type="dxa" w:w="1728"/>
          </w:tcPr>
          <w:p>
            <w:r/>
            <w:r>
              <w:rPr>
                <w:rFonts w:ascii="Times New Roman" w:hAnsi="Times New Roman"/>
                <w:sz w:val="20"/>
              </w:rPr>
              <w:t>0.560</w:t>
            </w:r>
          </w:p>
        </w:tc>
        <w:tc>
          <w:tcPr>
            <w:tcW w:type="dxa" w:w="1728"/>
          </w:tcPr>
          <w:p>
            <w:r/>
            <w:r>
              <w:rPr>
                <w:rFonts w:ascii="Times New Roman" w:hAnsi="Times New Roman"/>
                <w:sz w:val="20"/>
              </w:rPr>
              <w:t>0.050</w:t>
            </w:r>
          </w:p>
        </w:tc>
        <w:tc>
          <w:tcPr>
            <w:tcW w:type="dxa" w:w="1728"/>
          </w:tcPr>
          <w:p>
            <w:r/>
            <w:r>
              <w:rPr>
                <w:rFonts w:ascii="Times New Roman" w:hAnsi="Times New Roman"/>
                <w:sz w:val="20"/>
              </w:rPr>
              <w:t>&lt;0.001</w:t>
            </w:r>
          </w:p>
        </w:tc>
      </w:tr>
    </w:tbl>
    <w:p>
      <w:pPr>
        <w:spacing w:after="160"/>
      </w:pPr>
    </w:p>
    <w:p>
      <w:pPr>
        <w:spacing w:after="160"/>
      </w:pPr>
      <w:r>
        <w:rPr>
          <w:rFonts w:ascii="Times New Roman" w:hAnsi="Times New Roman"/>
          <w:b/>
          <w:i w:val="0"/>
          <w:sz w:val="24"/>
        </w:rPr>
        <w:t>Table S4. Classification performance at three thresholds.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/>
            <w:r>
              <w:rPr>
                <w:rFonts w:ascii="Times New Roman" w:hAnsi="Times New Roman"/>
                <w:b/>
                <w:sz w:val="20"/>
              </w:rPr>
              <w:t>Rule</w:t>
            </w:r>
          </w:p>
        </w:tc>
        <w:tc>
          <w:tcPr>
            <w:tcW w:type="dxa" w:w="1234"/>
          </w:tcPr>
          <w:p>
            <w:r/>
            <w:r>
              <w:rPr>
                <w:rFonts w:ascii="Times New Roman" w:hAnsi="Times New Roman"/>
                <w:b/>
                <w:sz w:val="20"/>
              </w:rPr>
              <w:t>Threshold</w:t>
            </w:r>
          </w:p>
        </w:tc>
        <w:tc>
          <w:tcPr>
            <w:tcW w:type="dxa" w:w="1234"/>
          </w:tcPr>
          <w:p>
            <w:r/>
            <w:r>
              <w:rPr>
                <w:rFonts w:ascii="Times New Roman" w:hAnsi="Times New Roman"/>
                <w:b/>
                <w:sz w:val="20"/>
              </w:rPr>
              <w:t>Sensitivity</w:t>
            </w:r>
          </w:p>
        </w:tc>
        <w:tc>
          <w:tcPr>
            <w:tcW w:type="dxa" w:w="1234"/>
          </w:tcPr>
          <w:p>
            <w:r/>
            <w:r>
              <w:rPr>
                <w:rFonts w:ascii="Times New Roman" w:hAnsi="Times New Roman"/>
                <w:b/>
                <w:sz w:val="20"/>
              </w:rPr>
              <w:t>Specificity</w:t>
            </w:r>
          </w:p>
        </w:tc>
        <w:tc>
          <w:tcPr>
            <w:tcW w:type="dxa" w:w="1234"/>
          </w:tcPr>
          <w:p>
            <w:r/>
            <w:r>
              <w:rPr>
                <w:rFonts w:ascii="Times New Roman" w:hAnsi="Times New Roman"/>
                <w:b/>
                <w:sz w:val="20"/>
              </w:rPr>
              <w:t>PPV</w:t>
            </w:r>
          </w:p>
        </w:tc>
        <w:tc>
          <w:tcPr>
            <w:tcW w:type="dxa" w:w="1234"/>
          </w:tcPr>
          <w:p>
            <w:r/>
            <w:r>
              <w:rPr>
                <w:rFonts w:ascii="Times New Roman" w:hAnsi="Times New Roman"/>
                <w:b/>
                <w:sz w:val="20"/>
              </w:rPr>
              <w:t>NPV</w:t>
            </w:r>
          </w:p>
        </w:tc>
        <w:tc>
          <w:tcPr>
            <w:tcW w:type="dxa" w:w="1234"/>
          </w:tcPr>
          <w:p>
            <w:r/>
            <w:r>
              <w:rPr>
                <w:rFonts w:ascii="Times New Roman" w:hAnsi="Times New Roman"/>
                <w:b/>
                <w:sz w:val="20"/>
              </w:rPr>
              <w:t>Flagged %</w:t>
            </w:r>
          </w:p>
        </w:tc>
      </w:tr>
      <w:tr>
        <w:tc>
          <w:tcPr>
            <w:tcW w:type="dxa" w:w="1234"/>
          </w:tcPr>
          <w:p>
            <w:r/>
            <w:r>
              <w:rPr>
                <w:rFonts w:ascii="Times New Roman" w:hAnsi="Times New Roman"/>
                <w:sz w:val="20"/>
              </w:rPr>
              <w:t>Youden-optimal</w:t>
            </w:r>
          </w:p>
        </w:tc>
        <w:tc>
          <w:tcPr>
            <w:tcW w:type="dxa" w:w="1234"/>
          </w:tcPr>
          <w:p>
            <w:r/>
            <w:r>
              <w:rPr>
                <w:rFonts w:ascii="Times New Roman" w:hAnsi="Times New Roman"/>
                <w:sz w:val="20"/>
              </w:rPr>
              <w:t>0.148</w:t>
            </w:r>
          </w:p>
        </w:tc>
        <w:tc>
          <w:tcPr>
            <w:tcW w:type="dxa" w:w="1234"/>
          </w:tcPr>
          <w:p>
            <w:r/>
            <w:r>
              <w:rPr>
                <w:rFonts w:ascii="Times New Roman" w:hAnsi="Times New Roman"/>
                <w:sz w:val="20"/>
              </w:rPr>
              <w:t>0.53</w:t>
            </w:r>
          </w:p>
        </w:tc>
        <w:tc>
          <w:tcPr>
            <w:tcW w:type="dxa" w:w="1234"/>
          </w:tcPr>
          <w:p>
            <w:r/>
            <w:r>
              <w:rPr>
                <w:rFonts w:ascii="Times New Roman" w:hAnsi="Times New Roman"/>
                <w:sz w:val="20"/>
              </w:rPr>
              <w:t>0.64</w:t>
            </w:r>
          </w:p>
        </w:tc>
        <w:tc>
          <w:tcPr>
            <w:tcW w:type="dxa" w:w="1234"/>
          </w:tcPr>
          <w:p>
            <w:r/>
            <w:r>
              <w:rPr>
                <w:rFonts w:ascii="Times New Roman" w:hAnsi="Times New Roman"/>
                <w:sz w:val="20"/>
              </w:rPr>
              <w:t>0.30</w:t>
            </w:r>
          </w:p>
        </w:tc>
        <w:tc>
          <w:tcPr>
            <w:tcW w:type="dxa" w:w="1234"/>
          </w:tcPr>
          <w:p>
            <w:r/>
            <w:r>
              <w:rPr>
                <w:rFonts w:ascii="Times New Roman" w:hAnsi="Times New Roman"/>
                <w:sz w:val="20"/>
              </w:rPr>
              <w:t>0.83</w:t>
            </w:r>
          </w:p>
        </w:tc>
        <w:tc>
          <w:tcPr>
            <w:tcW w:type="dxa" w:w="1234"/>
          </w:tcPr>
          <w:p>
            <w:r/>
            <w:r>
              <w:rPr>
                <w:rFonts w:ascii="Times New Roman" w:hAnsi="Times New Roman"/>
                <w:sz w:val="20"/>
              </w:rPr>
              <w:t>39.7</w:t>
            </w:r>
          </w:p>
        </w:tc>
      </w:tr>
      <w:tr>
        <w:tc>
          <w:tcPr>
            <w:tcW w:type="dxa" w:w="1234"/>
          </w:tcPr>
          <w:p>
            <w:r/>
            <w:r>
              <w:rPr>
                <w:rFonts w:ascii="Times New Roman" w:hAnsi="Times New Roman"/>
                <w:sz w:val="20"/>
              </w:rPr>
              <w:t>LEFI &gt;=0.10</w:t>
            </w:r>
          </w:p>
        </w:tc>
        <w:tc>
          <w:tcPr>
            <w:tcW w:type="dxa" w:w="1234"/>
          </w:tcPr>
          <w:p>
            <w:r/>
            <w:r>
              <w:rPr>
                <w:rFonts w:ascii="Times New Roman" w:hAnsi="Times New Roman"/>
                <w:sz w:val="20"/>
              </w:rPr>
              <w:t>0.10</w:t>
            </w:r>
          </w:p>
        </w:tc>
        <w:tc>
          <w:tcPr>
            <w:tcW w:type="dxa" w:w="1234"/>
          </w:tcPr>
          <w:p>
            <w:r/>
            <w:r>
              <w:rPr>
                <w:rFonts w:ascii="Times New Roman" w:hAnsi="Times New Roman"/>
                <w:sz w:val="20"/>
              </w:rPr>
              <w:t>0.65</w:t>
            </w:r>
          </w:p>
        </w:tc>
        <w:tc>
          <w:tcPr>
            <w:tcW w:type="dxa" w:w="1234"/>
          </w:tcPr>
          <w:p>
            <w:r/>
            <w:r>
              <w:rPr>
                <w:rFonts w:ascii="Times New Roman" w:hAnsi="Times New Roman"/>
                <w:sz w:val="20"/>
              </w:rPr>
              <w:t>0.52</w:t>
            </w:r>
          </w:p>
        </w:tc>
        <w:tc>
          <w:tcPr>
            <w:tcW w:type="dxa" w:w="1234"/>
          </w:tcPr>
          <w:p>
            <w:r/>
            <w:r>
              <w:rPr>
                <w:rFonts w:ascii="Times New Roman" w:hAnsi="Times New Roman"/>
                <w:sz w:val="20"/>
              </w:rPr>
              <w:t>0.28</w:t>
            </w:r>
          </w:p>
        </w:tc>
        <w:tc>
          <w:tcPr>
            <w:tcW w:type="dxa" w:w="1234"/>
          </w:tcPr>
          <w:p>
            <w:r/>
            <w:r>
              <w:rPr>
                <w:rFonts w:ascii="Times New Roman" w:hAnsi="Times New Roman"/>
                <w:sz w:val="20"/>
              </w:rPr>
              <w:t>0.84</w:t>
            </w:r>
          </w:p>
        </w:tc>
        <w:tc>
          <w:tcPr>
            <w:tcW w:type="dxa" w:w="1234"/>
          </w:tcPr>
          <w:p>
            <w:r/>
            <w:r>
              <w:rPr>
                <w:rFonts w:ascii="Times New Roman" w:hAnsi="Times New Roman"/>
                <w:sz w:val="20"/>
              </w:rPr>
              <w:t>52.1</w:t>
            </w:r>
          </w:p>
        </w:tc>
      </w:tr>
      <w:tr>
        <w:tc>
          <w:tcPr>
            <w:tcW w:type="dxa" w:w="1234"/>
          </w:tcPr>
          <w:p>
            <w:r/>
            <w:r>
              <w:rPr>
                <w:rFonts w:ascii="Times New Roman" w:hAnsi="Times New Roman"/>
                <w:sz w:val="20"/>
              </w:rPr>
              <w:t>LEFI &gt;=0.21</w:t>
            </w:r>
          </w:p>
        </w:tc>
        <w:tc>
          <w:tcPr>
            <w:tcW w:type="dxa" w:w="1234"/>
          </w:tcPr>
          <w:p>
            <w:r/>
            <w:r>
              <w:rPr>
                <w:rFonts w:ascii="Times New Roman" w:hAnsi="Times New Roman"/>
                <w:sz w:val="20"/>
              </w:rPr>
              <w:t>0.21</w:t>
            </w:r>
          </w:p>
        </w:tc>
        <w:tc>
          <w:tcPr>
            <w:tcW w:type="dxa" w:w="1234"/>
          </w:tcPr>
          <w:p>
            <w:r/>
            <w:r>
              <w:rPr>
                <w:rFonts w:ascii="Times New Roman" w:hAnsi="Times New Roman"/>
                <w:sz w:val="20"/>
              </w:rPr>
              <w:t>0.46</w:t>
            </w:r>
          </w:p>
        </w:tc>
        <w:tc>
          <w:tcPr>
            <w:tcW w:type="dxa" w:w="1234"/>
          </w:tcPr>
          <w:p>
            <w:r/>
            <w:r>
              <w:rPr>
                <w:rFonts w:ascii="Times New Roman" w:hAnsi="Times New Roman"/>
                <w:sz w:val="20"/>
              </w:rPr>
              <w:t>0.71</w:t>
            </w:r>
          </w:p>
        </w:tc>
        <w:tc>
          <w:tcPr>
            <w:tcW w:type="dxa" w:w="1234"/>
          </w:tcPr>
          <w:p>
            <w:r/>
            <w:r>
              <w:rPr>
                <w:rFonts w:ascii="Times New Roman" w:hAnsi="Times New Roman"/>
                <w:sz w:val="20"/>
              </w:rPr>
              <w:t>0.31</w:t>
            </w:r>
          </w:p>
        </w:tc>
        <w:tc>
          <w:tcPr>
            <w:tcW w:type="dxa" w:w="1234"/>
          </w:tcPr>
          <w:p>
            <w:r/>
            <w:r>
              <w:rPr>
                <w:rFonts w:ascii="Times New Roman" w:hAnsi="Times New Roman"/>
                <w:sz w:val="20"/>
              </w:rPr>
              <w:t>0.82</w:t>
            </w:r>
          </w:p>
        </w:tc>
        <w:tc>
          <w:tcPr>
            <w:tcW w:type="dxa" w:w="1234"/>
          </w:tcPr>
          <w:p>
            <w:r/>
            <w:r>
              <w:rPr>
                <w:rFonts w:ascii="Times New Roman" w:hAnsi="Times New Roman"/>
                <w:sz w:val="20"/>
              </w:rPr>
              <w:t>33.1</w:t>
            </w:r>
          </w:p>
        </w:tc>
      </w:tr>
    </w:tbl>
    <w:p>
      <w:pPr>
        <w:spacing w:after="160"/>
      </w:pPr>
      <w:r>
        <w:rPr>
          <w:rFonts w:ascii="Times New Roman" w:hAnsi="Times New Roman"/>
          <w:b w:val="0"/>
          <w:i/>
          <w:sz w:val="20"/>
        </w:rPr>
        <w:t>Full sample (n=11,430; fall prevalence 22.5%).</w:t>
      </w:r>
    </w:p>
    <w:p>
      <w:pPr>
        <w:spacing w:after="160"/>
      </w:pPr>
    </w:p>
    <w:p>
      <w:pPr>
        <w:spacing w:after="160"/>
      </w:pPr>
      <w:r>
        <w:rPr>
          <w:rFonts w:ascii="Times New Roman" w:hAnsi="Times New Roman"/>
          <w:b/>
          <w:i w:val="0"/>
          <w:sz w:val="24"/>
        </w:rPr>
        <w:t>Table S5. Complete fully adjusted model (M4): all covariates.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/>
            <w:r>
              <w:rPr>
                <w:rFonts w:ascii="Times New Roman" w:hAnsi="Times New Roman"/>
                <w:b/>
                <w:sz w:val="20"/>
              </w:rPr>
              <w:t>Covariate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/>
                <w:b/>
                <w:sz w:val="20"/>
              </w:rPr>
              <w:t>OR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/>
                <w:b/>
                <w:sz w:val="20"/>
              </w:rPr>
              <w:t>95% CI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/>
                <w:b/>
                <w:sz w:val="20"/>
              </w:rPr>
              <w:t>P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Times New Roman" w:hAnsi="Times New Roman"/>
                <w:sz w:val="20"/>
              </w:rPr>
              <w:t>LEFI (per 1 unit)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/>
                <w:sz w:val="20"/>
              </w:rPr>
              <w:t>3.33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/>
                <w:sz w:val="20"/>
              </w:rPr>
              <w:t>2.60-4.28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/>
                <w:sz w:val="20"/>
              </w:rPr>
              <w:t>&lt;0.001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Times New Roman" w:hAnsi="Times New Roman"/>
                <w:sz w:val="20"/>
              </w:rPr>
              <w:t>Age (per year)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/>
                <w:sz w:val="20"/>
              </w:rPr>
              <w:t>1.01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/>
                <w:sz w:val="20"/>
              </w:rPr>
              <w:t>1.01-1.02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/>
                <w:sz w:val="20"/>
              </w:rPr>
              <w:t>&lt;0.001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Times New Roman" w:hAnsi="Times New Roman"/>
                <w:sz w:val="20"/>
              </w:rPr>
              <w:t>Male (vs female)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/>
                <w:sz w:val="20"/>
              </w:rPr>
              <w:t>0.75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/>
                <w:sz w:val="20"/>
              </w:rPr>
              <w:t>0.67-0.83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/>
                <w:sz w:val="20"/>
              </w:rPr>
              <w:t>&lt;0.001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Times New Roman" w:hAnsi="Times New Roman"/>
                <w:sz w:val="20"/>
              </w:rPr>
              <w:t>BMI (per kg/m2)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/>
                <w:sz w:val="20"/>
              </w:rPr>
              <w:t>0.99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/>
                <w:sz w:val="20"/>
              </w:rPr>
              <w:t>0.98-1.00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/>
                <w:sz w:val="20"/>
              </w:rPr>
              <w:t>0.189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Times New Roman" w:hAnsi="Times New Roman"/>
                <w:sz w:val="20"/>
              </w:rPr>
              <w:t>Hypertension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/>
                <w:sz w:val="20"/>
              </w:rPr>
              <w:t>0.98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/>
                <w:sz w:val="20"/>
              </w:rPr>
              <w:t>0.87-1.11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/>
                <w:sz w:val="20"/>
              </w:rPr>
              <w:t>0.798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Times New Roman" w:hAnsi="Times New Roman"/>
                <w:sz w:val="20"/>
              </w:rPr>
              <w:t>Diabetes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/>
                <w:sz w:val="20"/>
              </w:rPr>
              <w:t>0.98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/>
                <w:sz w:val="20"/>
              </w:rPr>
              <w:t>0.83-1.16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/>
                <w:sz w:val="20"/>
              </w:rPr>
              <w:t>0.834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Times New Roman" w:hAnsi="Times New Roman"/>
                <w:sz w:val="20"/>
              </w:rPr>
              <w:t>Arthritis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/>
                <w:sz w:val="20"/>
              </w:rPr>
              <w:t>1.22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/>
                <w:sz w:val="20"/>
              </w:rPr>
              <w:t>1.10-1.34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/>
                <w:sz w:val="20"/>
              </w:rPr>
              <w:t>&lt;0.001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Times New Roman" w:hAnsi="Times New Roman"/>
                <w:sz w:val="20"/>
              </w:rPr>
              <w:t>Baseline fall history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/>
                <w:sz w:val="20"/>
              </w:rPr>
              <w:t>2.87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/>
                <w:sz w:val="20"/>
              </w:rPr>
              <w:t>2.57-3.21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/>
                <w:sz w:val="20"/>
              </w:rPr>
              <w:t>&lt;0.001</w:t>
            </w:r>
          </w:p>
        </w:tc>
      </w:tr>
    </w:tbl>
    <w:p>
      <w:pPr>
        <w:spacing w:after="160"/>
      </w:pPr>
    </w:p>
    <w:p/>
    <w:p/>
    <w:p>
      <w:r>
        <w:rPr>
          <w:b/>
        </w:rPr>
        <w:t>Figure S1. Participant flow from eligibility to the analytic sample.</w:t>
      </w:r>
    </w:p>
    <w:p>
      <w:r>
        <w:drawing>
          <wp:inline xmlns:a="http://schemas.openxmlformats.org/drawingml/2006/main" xmlns:pic="http://schemas.openxmlformats.org/drawingml/2006/picture">
            <wp:extent cx="4754880" cy="409402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ureS1_participant_flow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409402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