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40" w:lineRule="exact"/>
      </w:pPr>
      <w:r>
        <w:rPr>
          <w:rFonts w:ascii="Arial" w:hAnsi="Arial"/>
          <w:b/>
          <w:color w:val="0F6E56"/>
          <w:sz w:val="26"/>
        </w:rPr>
        <w:t>PRISMA Extension for Scoping Reviews (PRISMA-ScR) Checklist</w:t>
      </w:r>
    </w:p>
    <w:p>
      <w:pPr>
        <w:spacing w:before="0" w:after="40" w:line="240" w:lineRule="exact"/>
      </w:pPr>
      <w:r>
        <w:rPr>
          <w:rFonts w:ascii="Arial" w:hAnsi="Arial"/>
          <w:b/>
          <w:color w:val="444441"/>
          <w:sz w:val="19"/>
        </w:rPr>
        <w:t xml:space="preserve">Manuscript: </w:t>
      </w:r>
      <w:r>
        <w:rPr>
          <w:rFonts w:ascii="Arial" w:hAnsi="Arial"/>
          <w:i/>
          <w:color w:val="444441"/>
          <w:sz w:val="19"/>
        </w:rPr>
        <w:t>Artificial Intelligence for Post-Marketing Pharmacovigilance of Herbal and Botanical Medicines: A Scoping Review and the MIAHPV Framework</w:t>
      </w:r>
    </w:p>
    <w:p>
      <w:pPr>
        <w:spacing w:before="0" w:after="160" w:line="240" w:lineRule="exact"/>
      </w:pPr>
      <w:r>
        <w:rPr>
          <w:rFonts w:ascii="Arial" w:hAnsi="Arial"/>
          <w:i/>
          <w:color w:val="555555"/>
          <w:sz w:val="17"/>
        </w:rPr>
        <w:t>Author: Soham Sanjay More  |  OSF Registration: https://osf.io/bk3hv  |  Reporting standard: Tricco et al. 2018 (Ann Intern Med)</w:t>
      </w:r>
    </w:p>
    <w:p>
      <w:pPr>
        <w:spacing w:before="0" w:after="200" w:line="240" w:lineRule="exact"/>
      </w:pPr>
      <w:r>
        <w:rPr>
          <w:rFonts w:ascii="Arial" w:hAnsi="Arial"/>
          <w:i/>
          <w:color w:val="666666"/>
          <w:sz w:val="16"/>
        </w:rPr>
        <w:t>* Items 12 and 16 (critical appraisal of individual sources) are not applicable to scoping reviews by design. Per JBI Manual for Evidence Synthesis and Tricco et al. 2018, scoping reviews do not appraise individual source quality; the objective is to map evidence breadth, not evaluate study rigour. Database search was limited to PubMed/MEDLINE and the Cochrane Library, as the author is an independent undergraduate researcher without institutional subscription access to Embase, Scopus, or Web of Science; this constraint is disclosed transparently in Sections 2.2 and 6 of the manuscript.</w:t>
      </w:r>
    </w:p>
    <w:tbl>
      <w:tblPr>
        <w:tblStyle w:val="TableGrid"/>
        <w:tblW w:type="auto" w:w="0"/>
        <w:tblLook w:firstColumn="1" w:firstRow="1" w:lastColumn="0" w:lastRow="0" w:noHBand="0" w:noVBand="1" w:val="04A0"/>
      </w:tblPr>
      <w:tblGrid>
        <w:gridCol w:w="1928"/>
        <w:gridCol w:w="1928"/>
        <w:gridCol w:w="1928"/>
        <w:gridCol w:w="1928"/>
        <w:gridCol w:w="1928"/>
      </w:tblGrid>
      <w:tr>
        <w:tc>
          <w:tcPr>
            <w:tcW w:type="dxa" w:w="624"/>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FFFFFF"/>
                <w:sz w:val="17"/>
              </w:rPr>
              <w:t>Item</w:t>
              <w:br/>
              <w:t>No.</w:t>
            </w:r>
          </w:p>
        </w:tc>
        <w:tc>
          <w:tcPr>
            <w:tcW w:type="dxa" w:w="1417"/>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FFFFFF"/>
                <w:sz w:val="17"/>
              </w:rPr>
              <w:t>Section /</w:t>
              <w:br/>
              <w:t>Topic</w:t>
            </w:r>
          </w:p>
        </w:tc>
        <w:tc>
          <w:tcPr>
            <w:tcW w:type="dxa" w:w="2154"/>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FFFFFF"/>
                <w:sz w:val="17"/>
              </w:rPr>
              <w:t>PRISMA-ScR Reporting Guidance</w:t>
            </w:r>
          </w:p>
        </w:tc>
        <w:tc>
          <w:tcPr>
            <w:tcW w:type="dxa" w:w="4422"/>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FFFFFF"/>
                <w:sz w:val="17"/>
              </w:rPr>
              <w:t>Location in Manuscript / Details</w:t>
            </w:r>
          </w:p>
        </w:tc>
        <w:tc>
          <w:tcPr>
            <w:tcW w:type="dxa" w:w="737"/>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FFFFFF"/>
                <w:sz w:val="17"/>
              </w:rPr>
              <w:t>Reported?</w:t>
              <w:br/>
              <w:t>(Yes/No/N/A)</w:t>
            </w:r>
          </w:p>
        </w:tc>
      </w:tr>
      <w:tr>
        <w:tc>
          <w:tcPr>
            <w:tcW w:type="dxa" w:w="9640"/>
            <w:gridSpan w:val="5"/>
            <w:shd w:val="clear" w:color="auto" w:fill="1A5276"/>
            <w:tcBorders>
              <w:top w:val="single" w:sz="4" w:space="0" w:color="B4B2A9"/>
              <w:left w:val="single" w:sz="4" w:space="0" w:color="B4B2A9"/>
              <w:bottom w:val="single" w:sz="4" w:space="0" w:color="B4B2A9"/>
              <w:right w:val="single" w:sz="4" w:space="0" w:color="B4B2A9"/>
            </w:tcBorders>
          </w:tcPr>
          <w:p>
            <w:pPr>
              <w:spacing w:before="60" w:after="60" w:line="240" w:lineRule="exact"/>
            </w:pPr>
            <w:r>
              <w:rPr>
                <w:rFonts w:ascii="Arial" w:hAnsi="Arial"/>
                <w:b/>
                <w:i w:val="0"/>
                <w:color w:val="FFFFFF"/>
                <w:sz w:val="18"/>
              </w:rPr>
              <w:t>TITLE</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Title</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Identify the report as a scoping review.</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Title page (p. 1). The title explicitly reads '…A Scoping Review and the MIAHPV Framework.'</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9640"/>
            <w:gridSpan w:val="5"/>
            <w:shd w:val="clear" w:color="auto" w:fill="1A5276"/>
            <w:tcBorders>
              <w:top w:val="single" w:sz="4" w:space="0" w:color="B4B2A9"/>
              <w:left w:val="single" w:sz="4" w:space="0" w:color="B4B2A9"/>
              <w:bottom w:val="single" w:sz="4" w:space="0" w:color="B4B2A9"/>
              <w:right w:val="single" w:sz="4" w:space="0" w:color="B4B2A9"/>
            </w:tcBorders>
          </w:tcPr>
          <w:p>
            <w:pPr>
              <w:spacing w:before="60" w:after="60" w:line="240" w:lineRule="exact"/>
            </w:pPr>
            <w:r>
              <w:rPr>
                <w:rFonts w:ascii="Arial" w:hAnsi="Arial"/>
                <w:b/>
                <w:i w:val="0"/>
                <w:color w:val="FFFFFF"/>
                <w:sz w:val="18"/>
              </w:rPr>
              <w:t>ABSTRACT</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2</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Structured summary</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Provide a structured summary including background, objectives, eligibility criteria, sources of evidence, charting methods, results, and conclusions.</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Abstract (p. 1). Structured abstract with Background, Objective, Methods, Results, and Conclusions headings, including eligibility criteria, databases searched, number of sources included, and framework output.</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9640"/>
            <w:gridSpan w:val="5"/>
            <w:shd w:val="clear" w:color="auto" w:fill="1A5276"/>
            <w:tcBorders>
              <w:top w:val="single" w:sz="4" w:space="0" w:color="B4B2A9"/>
              <w:left w:val="single" w:sz="4" w:space="0" w:color="B4B2A9"/>
              <w:bottom w:val="single" w:sz="4" w:space="0" w:color="B4B2A9"/>
              <w:right w:val="single" w:sz="4" w:space="0" w:color="B4B2A9"/>
            </w:tcBorders>
          </w:tcPr>
          <w:p>
            <w:pPr>
              <w:spacing w:before="60" w:after="60" w:line="240" w:lineRule="exact"/>
            </w:pPr>
            <w:r>
              <w:rPr>
                <w:rFonts w:ascii="Arial" w:hAnsi="Arial"/>
                <w:b/>
                <w:i w:val="0"/>
                <w:color w:val="FFFFFF"/>
                <w:sz w:val="18"/>
              </w:rPr>
              <w:t>INTRODUCTION</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3</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Rationale</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Describe the rationale for the review in the context of what is already known. Explain why the review questions or objectives lend themselves to a scoping review approach.</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1 — Introduction (pp. 2–4). Rationale established through three evidence pillars: (a) epidemiological burden of herb-drug co-administration; (b) documented signal detection failures in herbal ICSRs; (c) absence of AI methods applied to herbal ICSRs as primary exposure. Scoping approach justified explicitly over systematic review on grounds of evidence-mapping objective.</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4</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Objective</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Provide an explicit statement of the questions being addressed with reference to their key elements (population, concept, context) or other relevant key elements.</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1, final paragraph (p. 4). Three explicit research objectives stated: (1) map AI/ML methods applied to herbal pharmacovigilance; (2) identify structural ICSR data-quality barriers; (3) propose MIAHPV minimum information framework. Population: AI/ML studies; Concept: pharmacovigilance signal detection; Context: herbal/botanical medicines.</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9640"/>
            <w:gridSpan w:val="5"/>
            <w:shd w:val="clear" w:color="auto" w:fill="1A5276"/>
            <w:tcBorders>
              <w:top w:val="single" w:sz="4" w:space="0" w:color="B4B2A9"/>
              <w:left w:val="single" w:sz="4" w:space="0" w:color="B4B2A9"/>
              <w:bottom w:val="single" w:sz="4" w:space="0" w:color="B4B2A9"/>
              <w:right w:val="single" w:sz="4" w:space="0" w:color="B4B2A9"/>
            </w:tcBorders>
          </w:tcPr>
          <w:p>
            <w:pPr>
              <w:spacing w:before="60" w:after="60" w:line="240" w:lineRule="exact"/>
            </w:pPr>
            <w:r>
              <w:rPr>
                <w:rFonts w:ascii="Arial" w:hAnsi="Arial"/>
                <w:b/>
                <w:i w:val="0"/>
                <w:color w:val="FFFFFF"/>
                <w:sz w:val="18"/>
              </w:rPr>
              <w:t>METHODS</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5</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Protocol and registration</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Indicate whether a review protocol exists; if so, provide a link; provide registration information including registration number.</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2.1 — Study Design (p. 4). Protocol registered retrospectively on Open Science Framework prior to submission (OSF Registration: https://osf.io/bk3hv). Retrospective nature disclosed per PRISMA-ScR and JBI guidance. Rationale: PROSPERO does not accept scoping review registrations.</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6</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Eligibility criteria</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Specify characteristics of the sources of evidence used as eligibility criteria (e.g., years considered, language, publication status) and provide a rationale.</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2.3 — Eligibility Criteria (p. 4–5). Included: peer-reviewed studies and regulatory/technical reports applying AI/ML to pharmacovigilance of herbal/botanical/traditional medicines; English language; no date restriction on background literature (AI/ML method literature restricted to Jan 2010–Mar 2026, justified in Section 2.2). Excluded: AI applied exclusively to synthetic drugs with no herbal component; conference abstracts without full text; non-English publications; in vitro or animal studies without pharmacovigilance application.</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7</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Information sources</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Describe all information sources in the search (databases with date ranges accessed, grey literature sources) and the date the most recent search was executed.</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2.2 — Search Strategy (p. 5). Two bibliographic databases directly searched: PubMed/MEDLINE and the Cochrane Library, covering January 2010 to March 2026. Embase, Scopus, and Web of Science were not accessible to the author (an independent undergraduate researcher without institutional subscription access) and were therefore not searched; this constraint is disclosed in Section 2.2 and as a named Limitation (Section 6). Grey literature: general web search for AI-in-traditional-medicine narrative/commentary sources, and FDA/EMA/WHO/CDSCO regulatory websites, reported narratively in Section 3.1.</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8</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Search</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Present the full electronic search strategy for at least one database, including any limits used, such that it could be replicated.</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2.2 — Search Strategy (p. 5). Full Boolean search strategy presented in three concept blocks (pharmacovigilance, AI/ML methods, herbal medicines) joined by AND, with OR operators within each block. Strategy executed verbatim in PubMed/MEDLINE (297 records retrieved) and the Cochrane Library (0 records retrieved); exact query and per-database counts reported in Section 2.2 and Figure 1.</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9</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Selection of sources of evidence</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State the process for selecting sources of evidence (screening and eligibility) including who screened sources and whether independent screening was performed.</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2.4 — Source Selection (p. 5–6) and Figure 1. Two-stage screening by the single author: (1) title/abstract screening of all 297 PubMed/MEDLINE records against the herbal/botanical relevance criterion (286 excluded, 11 retained); (2) full-citation assessment of the 11 retained records against full eligibility criteria (4 excluded with documented reasons, 7 included). Single-author screening without independent second-reviewer verification is disclosed as a limitation (Section 6).</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10</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Data charting process</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Describe the methods for charting data from included sources of evidence and any processes for obtaining and confirming data from investigators.</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2.5 — Data Charting (p. 6). Standardised charting form capturing: study design, AI/ML method type, data source type, herbal product specification method, co-medication capture approach, signal detection outcome, and author-identified limitations. Single-author charting disclosed. No contact with study authors required.</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11</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Data items</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List and define all variables for which data were sought and any assumptions about missing or unclear information.</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2.5 — Data Charting (p. 6). All charted variables explicitly listed: study design, AI/ML methodology, data source type, herbal product specification method, co-medication capture, signal detection outcome, and study-identified limitations.</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888888"/>
                <w:sz w:val="18"/>
              </w:rPr>
              <w:t>12</w:t>
            </w:r>
          </w:p>
        </w:tc>
        <w:tc>
          <w:tcPr>
            <w:tcW w:type="dxa" w:w="1417"/>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888888"/>
                <w:sz w:val="17"/>
              </w:rPr>
              <w:t>Critical appraisal of individual sources of evidence*</w:t>
            </w:r>
          </w:p>
        </w:tc>
        <w:tc>
          <w:tcPr>
            <w:tcW w:type="dxa" w:w="2154"/>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If done, provide rationale for conducting critical appraisal; describe methods used and how information was used in data synthesis.</w:t>
            </w:r>
          </w:p>
        </w:tc>
        <w:tc>
          <w:tcPr>
            <w:tcW w:type="dxa" w:w="4422"/>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777777"/>
                <w:sz w:val="17"/>
              </w:rPr>
              <w:t>NOT APPLICABLE. Scoping reviews do not appraise individual source quality by design (JBI Manual; Tricco et al. 2018). The objective of this review is to map the evidence landscape and characterise data-quality barriers, not to evaluate the methodological rigour of individual AI studies.</w:t>
            </w:r>
          </w:p>
        </w:tc>
        <w:tc>
          <w:tcPr>
            <w:tcW w:type="dxa" w:w="737"/>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888888"/>
                <w:sz w:val="18"/>
              </w:rPr>
              <w:t>N/A</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13</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Synthesis of results</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Describe the methods of handling and summarising the data that were charted.</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2.6 — Synthesis Approach (p. 6–7). Narrative synthesis method applied: convergent thematic grouping of charted data around three structural ICSR deficiency patterns (botanical identity gaps, co-medication underspecification, ICSR underreporting). AI method requirements extracted and mapped to ICSR quality dimensions to derive MIAHPV criteria inductively.</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9640"/>
            <w:gridSpan w:val="5"/>
            <w:shd w:val="clear" w:color="auto" w:fill="1A5276"/>
            <w:tcBorders>
              <w:top w:val="single" w:sz="4" w:space="0" w:color="B4B2A9"/>
              <w:left w:val="single" w:sz="4" w:space="0" w:color="B4B2A9"/>
              <w:bottom w:val="single" w:sz="4" w:space="0" w:color="B4B2A9"/>
              <w:right w:val="single" w:sz="4" w:space="0" w:color="B4B2A9"/>
            </w:tcBorders>
          </w:tcPr>
          <w:p>
            <w:pPr>
              <w:spacing w:before="60" w:after="60" w:line="240" w:lineRule="exact"/>
            </w:pPr>
            <w:r>
              <w:rPr>
                <w:rFonts w:ascii="Arial" w:hAnsi="Arial"/>
                <w:b/>
                <w:i w:val="0"/>
                <w:color w:val="FFFFFF"/>
                <w:sz w:val="18"/>
              </w:rPr>
              <w:t>RESULTS</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14</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Selection of sources of evidence</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Give numbers of sources of evidence screened, assessed for eligibility, and included in the review, with reasons for exclusions at each stage, ideally using a flow diagram.</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3.1 (p. 7) and Figure 1 — PRISMA-ScR Flow Diagram. Real, traceable numbers: 297 records identified (PubMed/MEDLINE: 297; Cochrane Library: 0); 297 screened by title/abstract; 286 excluded for no herbal/botanical relevance; 11 assessed in full; 4 excluded with documented reasons (no AI/ML component: 2; keyword false-match: 1; manual non-AI tool: 1); 7 included in qualitative synthesis. Zero of the 7 included studies meet the strict criterion of applying AI-based signal detection to herbal ICSRs as primary exposure — a finding that independently corroborates the review's central gap claim.</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15</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Characteristics of sources of evidence</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For each source of evidence, present characteristics for which data were charted and provide the citations.</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3.1 narrative (p. 7–8) with full citations (References 21–27). Each of the 7 included studies is individually described with its AI/ML method, data source, and relationship to the review's target application (herbal ICSR signal detection as primary exposure).</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888888"/>
                <w:sz w:val="18"/>
              </w:rPr>
              <w:t>16</w:t>
            </w:r>
          </w:p>
        </w:tc>
        <w:tc>
          <w:tcPr>
            <w:tcW w:type="dxa" w:w="1417"/>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888888"/>
                <w:sz w:val="17"/>
              </w:rPr>
              <w:t>Critical appraisal within sources of evidence*</w:t>
            </w:r>
          </w:p>
        </w:tc>
        <w:tc>
          <w:tcPr>
            <w:tcW w:type="dxa" w:w="2154"/>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If done, present data on critical appraisal of included sources (see item 12).</w:t>
            </w:r>
          </w:p>
        </w:tc>
        <w:tc>
          <w:tcPr>
            <w:tcW w:type="dxa" w:w="4422"/>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777777"/>
                <w:sz w:val="17"/>
              </w:rPr>
              <w:t>NOT APPLICABLE. Consistent with item 12 — scoping reviews do not conduct formal quality appraisal of included sources. Absence of critical appraisal disclosed and justified as a limitation in Section 6.</w:t>
            </w:r>
          </w:p>
        </w:tc>
        <w:tc>
          <w:tcPr>
            <w:tcW w:type="dxa" w:w="737"/>
            <w:shd w:val="clear" w:color="auto" w:fill="F5F5F5"/>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888888"/>
                <w:sz w:val="18"/>
              </w:rPr>
              <w:t>N/A</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17</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Results of individual sources of evidence</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For each included source of evidence, present the relevant data that were charted that relate to the review questions and objectives.</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3.1 narrative (p. 7–8). Each of the 7 included studies (References 21–27) is discussed individually with respect to its AI/ML method and its distance from the review's target application. Broader thematic findings on ICSR structural deficiencies and cross-jurisdictional regulatory comparison presented in Sections 3.2–3.4 and Table 1.</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18</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Synthesis of results</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Summarise and/or present the charting results as they relate to the review questions and objectives.</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3.2 — Evidence Synthesis (pp. 8–9) and Section 4 — MIAHPV Framework (pp. 9–10). Narrative synthesis consolidates findings into three ICSR deficiency patterns and inductively derives the 7-criterion MIAHPV framework. Table 2 presents the full framework.</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19</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Knowledge gaps and research agenda</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For each relevant scoping review objective, provide a narrative relating review findings to their implications for practice or policy and identify knowledge gaps and research priorities.</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5.5 — Policy and Research Agenda (p. 12–13). Explicit research agenda with priority recommendations including MIAHPV prospective validation, mandatory Latin binomial disclosure on reporting forms, WHO HATC implementation, and PvPI-specific ICSR data fields for Ayurvedic/traditional medicines.</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9640"/>
            <w:gridSpan w:val="5"/>
            <w:shd w:val="clear" w:color="auto" w:fill="1A5276"/>
            <w:tcBorders>
              <w:top w:val="single" w:sz="4" w:space="0" w:color="B4B2A9"/>
              <w:left w:val="single" w:sz="4" w:space="0" w:color="B4B2A9"/>
              <w:bottom w:val="single" w:sz="4" w:space="0" w:color="B4B2A9"/>
              <w:right w:val="single" w:sz="4" w:space="0" w:color="B4B2A9"/>
            </w:tcBorders>
          </w:tcPr>
          <w:p>
            <w:pPr>
              <w:spacing w:before="60" w:after="60" w:line="240" w:lineRule="exact"/>
            </w:pPr>
            <w:r>
              <w:rPr>
                <w:rFonts w:ascii="Arial" w:hAnsi="Arial"/>
                <w:b/>
                <w:i w:val="0"/>
                <w:color w:val="FFFFFF"/>
                <w:sz w:val="18"/>
              </w:rPr>
              <w:t>DISCUSSION</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20</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Limitations</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Discuss the limitations of the scoping review process.</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6 — Limitations (p. 13–14). Explicit limitations include: single-author screening and charting without independent verification; restricted database access (PubMed/MEDLINE and Cochrane Library only, due to lack of institutional subscriptions); MIAHPV framework not yet empirically validated; tier proportion estimates are inferences, not measurements; publication bias in the eligible literature; English-language restriction; scoping review design cannot establish causal claims.</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21</w:t>
            </w:r>
          </w:p>
        </w:tc>
        <w:tc>
          <w:tcPr>
            <w:tcW w:type="dxa" w:w="141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Conclusions</w:t>
            </w:r>
          </w:p>
        </w:tc>
        <w:tc>
          <w:tcPr>
            <w:tcW w:type="dxa" w:w="215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Provide a general interpretation of the results with respect to the review questions and objectives, as well as potential implications and/or next steps.</w:t>
            </w:r>
          </w:p>
        </w:tc>
        <w:tc>
          <w:tcPr>
            <w:tcW w:type="dxa" w:w="4422"/>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Section 7 — Conclusions (p. 14). Conclusions address all three review objectives. No published AI study has applied ML/NLP to herbal ICSRs as primary exposure — a finding independently corroborated by the review's own database search. Three structural deficiency patterns identified. MIAHPV framework proposed as minimum information standard pending prospective validation.</w:t>
            </w:r>
          </w:p>
        </w:tc>
        <w:tc>
          <w:tcPr>
            <w:tcW w:type="dxa" w:w="73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r>
        <w:tc>
          <w:tcPr>
            <w:tcW w:type="dxa" w:w="62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22</w:t>
            </w:r>
          </w:p>
        </w:tc>
        <w:tc>
          <w:tcPr>
            <w:tcW w:type="dxa" w:w="141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i w:val="0"/>
                <w:color w:val="444441"/>
                <w:sz w:val="17"/>
              </w:rPr>
              <w:t>Funding</w:t>
            </w:r>
          </w:p>
        </w:tc>
        <w:tc>
          <w:tcPr>
            <w:tcW w:type="dxa" w:w="215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color w:val="555555"/>
                <w:sz w:val="16"/>
              </w:rPr>
              <w:t>Describe sources of support (e.g., funding, supply of data) for the scoping review and the role of funders in completing the review.</w:t>
            </w:r>
          </w:p>
        </w:tc>
        <w:tc>
          <w:tcPr>
            <w:tcW w:type="dxa" w:w="4422"/>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pPr>
            <w:r>
              <w:rPr>
                <w:rFonts w:ascii="Arial" w:hAnsi="Arial"/>
                <w:b w:val="0"/>
                <w:i w:val="0"/>
                <w:color w:val="444441"/>
                <w:sz w:val="17"/>
              </w:rPr>
              <w:t>Declarations — Funding (p. 14). Explicitly states: 'No external funding was received for this work.'</w:t>
            </w:r>
          </w:p>
        </w:tc>
        <w:tc>
          <w:tcPr>
            <w:tcW w:type="dxa" w:w="73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8"/>
              </w:rPr>
              <w:t>Yes</w:t>
            </w:r>
          </w:p>
        </w:tc>
      </w:tr>
    </w:tbl>
    <w:p>
      <w:pPr>
        <w:spacing w:before="160" w:after="0" w:line="240" w:lineRule="exact"/>
      </w:pPr>
      <w:r>
        <w:rPr>
          <w:rFonts w:ascii="Arial" w:hAnsi="Arial"/>
          <w:b w:val="0"/>
          <w:i/>
          <w:color w:val="666666"/>
          <w:sz w:val="15"/>
        </w:rPr>
        <w:t>This checklist is based on: Tricco AC, Lillie E, Zarin W, et al. PRISMA Extension for Scoping Reviews (PRISMA-ScR): Checklist and Explanation. Ann Intern Med. 2018;169(7):467-473.  Items 12 and 16 are marked N/A in accordance with JBI Manual for Evidence Synthesis (Aromataris &amp; Munn, 2020): scoping reviews do not conduct formal quality appraisal of included sources.  ICSR = Individual Case Safety Report; OSF = Open Science Framework; HATC = Herbal Anatomic-Therapeutic-Chemical; PvPI = Pharmacovigilance Programme of India; MIAHPV = Minimum Information for AI-Assisted Herbal Pharmacovigilance.</w:t>
      </w:r>
    </w:p>
    <w:sectPr w:rsidR="00FC693F" w:rsidRPr="0006063C" w:rsidSect="00034616">
      <w:pgSz w:w="11909" w:h="16834"/>
      <w:pgMar w:top="1247"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