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line="240" w:lineRule="exact"/>
        <w:jc w:val="left"/>
      </w:pPr>
      <w:r>
        <w:rPr>
          <w:rFonts w:ascii="Arial" w:hAnsi="Arial"/>
          <w:b/>
          <w:color w:val="0F6E56"/>
          <w:sz w:val="22"/>
        </w:rPr>
        <w:t>Supplementary Table S1.</w:t>
      </w:r>
      <w:r>
        <w:rPr>
          <w:rFonts w:ascii="Arial" w:hAnsi="Arial"/>
          <w:b w:val="0"/>
          <w:color w:val="222222"/>
          <w:sz w:val="22"/>
        </w:rPr>
        <w:t xml:space="preserve">  MIAHPV Framework: Criterion Traceability to Evidence</w:t>
      </w:r>
    </w:p>
    <w:p>
      <w:pPr>
        <w:spacing w:before="0" w:after="160" w:line="240" w:lineRule="exact"/>
      </w:pPr>
      <w:r>
        <w:rPr>
          <w:rFonts w:ascii="Arial" w:hAnsi="Arial"/>
          <w:i/>
          <w:color w:val="555555"/>
          <w:sz w:val="18"/>
        </w:rPr>
        <w:t>Each criterion is linked to: (i) its minimum requirement as specified in Table 2 of the main manuscript; (ii) the AI/ML method requirement that motivates it; (iii) the primary evidence source from the scoping review; (iv) the ICSR structural deficiency it addresses; and (v) its classification as Discriminating or Threshold.</w:t>
      </w:r>
    </w:p>
    <w:tbl>
      <w:tblPr>
        <w:tblStyle w:val="TableGrid"/>
        <w:tblW w:type="auto" w:w="0"/>
        <w:tblLook w:firstColumn="1" w:firstRow="1" w:lastColumn="0" w:lastRow="0" w:noHBand="0" w:noVBand="1" w:val="04A0"/>
        <w:tblBorders>
          <w:top w:val="single" w:sz="4" w:space="0" w:color="B4B2A9"/>
          <w:left w:val="single" w:sz="4" w:space="0" w:color="B4B2A9"/>
          <w:bottom w:val="single" w:sz="4" w:space="0" w:color="B4B2A9"/>
          <w:right w:val="single" w:sz="4" w:space="0" w:color="B4B2A9"/>
          <w:insideH w:val="single" w:sz="4" w:space="0" w:color="B4B2A9"/>
          <w:insideV w:val="single" w:sz="4" w:space="0" w:color="B4B2A9"/>
        </w:tblBorders>
      </w:tblPr>
      <w:tblGrid>
        <w:gridCol w:w="2113"/>
        <w:gridCol w:w="2113"/>
        <w:gridCol w:w="2113"/>
        <w:gridCol w:w="2113"/>
        <w:gridCol w:w="2113"/>
        <w:gridCol w:w="2113"/>
        <w:gridCol w:w="2113"/>
      </w:tblGrid>
      <w:tr>
        <w:tc>
          <w:tcPr>
            <w:tcW w:type="dxa" w:w="567"/>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FFFFFF"/>
                <w:sz w:val="17"/>
              </w:rPr>
              <w:t>No.</w:t>
            </w:r>
          </w:p>
        </w:tc>
        <w:tc>
          <w:tcPr>
            <w:tcW w:type="dxa" w:w="1361"/>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FFFFFF"/>
                <w:sz w:val="17"/>
              </w:rPr>
              <w:t>Criterion Name</w:t>
            </w:r>
          </w:p>
        </w:tc>
        <w:tc>
          <w:tcPr>
            <w:tcW w:type="dxa" w:w="2381"/>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FFFFFF"/>
                <w:sz w:val="17"/>
              </w:rPr>
              <w:t>Minimum Requirement</w:t>
              <w:br/>
              <w:t>(from Table 2)</w:t>
            </w:r>
          </w:p>
        </w:tc>
        <w:tc>
          <w:tcPr>
            <w:tcW w:type="dxa" w:w="2551"/>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FFFFFF"/>
                <w:sz w:val="17"/>
              </w:rPr>
              <w:t>AI/ML Method Requirement</w:t>
              <w:br/>
              <w:t>That Motivates This Criterion</w:t>
            </w:r>
          </w:p>
        </w:tc>
        <w:tc>
          <w:tcPr>
            <w:tcW w:type="dxa" w:w="2835"/>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FFFFFF"/>
                <w:sz w:val="17"/>
              </w:rPr>
              <w:t>Primary Evidence Source(s)</w:t>
              <w:br/>
              <w:t>from Manuscript</w:t>
            </w:r>
          </w:p>
        </w:tc>
        <w:tc>
          <w:tcPr>
            <w:tcW w:type="dxa" w:w="2381"/>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FFFFFF"/>
                <w:sz w:val="17"/>
              </w:rPr>
              <w:t>ICSR Structural Deficiency</w:t>
              <w:br/>
              <w:t>Addressed</w:t>
            </w:r>
          </w:p>
        </w:tc>
        <w:tc>
          <w:tcPr>
            <w:tcW w:type="dxa" w:w="1134"/>
            <w:shd w:val="clear" w:color="auto" w:fill="0F6E56"/>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FFFFFF"/>
                <w:sz w:val="17"/>
              </w:rPr>
              <w:t>Role</w:t>
            </w:r>
          </w:p>
        </w:tc>
      </w:tr>
      <w:tr>
        <w:tc>
          <w:tcPr>
            <w:tcW w:type="dxa" w:w="56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22"/>
              </w:rPr>
              <w:t>1</w:t>
            </w:r>
          </w:p>
        </w:tc>
        <w:tc>
          <w:tcPr>
            <w:tcW w:type="dxa" w:w="136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444441"/>
                <w:sz w:val="18"/>
              </w:rPr>
              <w:t>Botanical identity</w:t>
              <w:br/>
              <w:t>completeness</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ICSR contains Latin binomial name (genus + species) AND plant part used AND preparation type (e.g. standardised extract, crude powder, decoction).</w:t>
            </w:r>
          </w:p>
        </w:tc>
        <w:tc>
          <w:tcPr>
            <w:tcW w:type="dxa" w:w="255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NLP entity recognition requires standardised botanical strings for unambiguous plant identification. Signal aggregation across reports requires consistent botanical identifiers; vernacular names map to multiple species and cannot be resolved algorithmically.</w:t>
            </w:r>
          </w:p>
        </w:tc>
        <w:tc>
          <w:tcPr>
            <w:tcW w:type="dxa" w:w="2835"/>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 xml:space="preserve">Kongkaew 2024 </w:t>
            </w:r>
            <w:r>
              <w:rPr>
                <w:rFonts w:ascii="Arial" w:hAnsi="Arial"/>
                <w:b/>
                <w:i w:val="0"/>
                <w:color w:val="444441"/>
                <w:sz w:val="17"/>
              </w:rPr>
              <w:t>[2]</w:t>
            </w:r>
            <w:r>
              <w:rPr>
                <w:rFonts w:ascii="Arial" w:hAnsi="Arial"/>
                <w:b w:val="0"/>
                <w:i w:val="0"/>
                <w:color w:val="444441"/>
                <w:sz w:val="17"/>
              </w:rPr>
              <w:t xml:space="preserve">: zero of 26 eligible studies had complete botanical disclosure; kava hepatotoxicity signal delay attributable partly to preparation-type inconsistency. WHO Guidelines on Safety Monitoring of Herbal Medicines </w:t>
            </w:r>
            <w:r>
              <w:rPr>
                <w:rFonts w:ascii="Arial" w:hAnsi="Arial"/>
                <w:b/>
                <w:i w:val="0"/>
                <w:color w:val="444441"/>
                <w:sz w:val="17"/>
              </w:rPr>
              <w:t>[9]</w:t>
            </w:r>
            <w:r>
              <w:rPr>
                <w:rFonts w:ascii="Arial" w:hAnsi="Arial"/>
                <w:b w:val="0"/>
                <w:i w:val="0"/>
                <w:color w:val="444441"/>
                <w:sz w:val="17"/>
              </w:rPr>
              <w:t>: Latin binomial + plant part + preparation minimum standard.</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Botanical identity inconsistency — vernacular or trade names, absent Latin binomial, undisclosed plant part and preparation type — prevents cross-report aggregation.</w:t>
            </w:r>
          </w:p>
        </w:tc>
        <w:tc>
          <w:tcPr>
            <w:tcW w:type="dxa" w:w="113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7"/>
              </w:rPr>
              <w:t>Discriminating</w:t>
            </w:r>
          </w:p>
        </w:tc>
      </w:tr>
      <w:tr>
        <w:tc>
          <w:tcPr>
            <w:tcW w:type="dxa" w:w="56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22"/>
              </w:rPr>
              <w:t>2</w:t>
            </w:r>
          </w:p>
        </w:tc>
        <w:tc>
          <w:tcPr>
            <w:tcW w:type="dxa" w:w="136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444441"/>
                <w:sz w:val="18"/>
              </w:rPr>
              <w:t>Co-medication</w:t>
              <w:br/>
              <w:t>disclosure</w:t>
              <w:br/>
              <w:t>completeness</w:t>
            </w:r>
          </w:p>
        </w:tc>
        <w:tc>
          <w:tcPr>
            <w:tcW w:type="dxa" w:w="238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All prescription medications taken within 30 days before or during the adverse event are listed, with dosing information present for at least the primary suspect conventional drug.</w:t>
            </w:r>
          </w:p>
        </w:tc>
        <w:tc>
          <w:tcPr>
            <w:tcW w:type="dxa" w:w="255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Graph neural network models for herb–drug interaction signal detection require complete co-medication data. Without full co-medication disclosure, AI cannot distinguish herb-alone adverse events from herb–drug interaction events.</w:t>
            </w:r>
          </w:p>
        </w:tc>
        <w:tc>
          <w:tcPr>
            <w:tcW w:type="dxa" w:w="2835"/>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 xml:space="preserve">Alghamdi 2023 </w:t>
            </w:r>
            <w:r>
              <w:rPr>
                <w:rFonts w:ascii="Arial" w:hAnsi="Arial"/>
                <w:b/>
                <w:i w:val="0"/>
                <w:color w:val="444441"/>
                <w:sz w:val="17"/>
              </w:rPr>
              <w:t>[18]</w:t>
            </w:r>
            <w:r>
              <w:rPr>
                <w:rFonts w:ascii="Arial" w:hAnsi="Arial"/>
                <w:b w:val="0"/>
                <w:i w:val="0"/>
                <w:color w:val="444441"/>
                <w:sz w:val="17"/>
              </w:rPr>
              <w:t xml:space="preserve">: co-medication data quality identified as the primary barrier to herbal signal detection in Saudi FDA pharmacovigilance experience. Pilipiec et al. 2022 </w:t>
            </w:r>
            <w:r>
              <w:rPr>
                <w:rFonts w:ascii="Arial" w:hAnsi="Arial"/>
                <w:b/>
                <w:i w:val="0"/>
                <w:color w:val="444441"/>
                <w:sz w:val="17"/>
              </w:rPr>
              <w:t>[3]</w:t>
            </w:r>
            <w:r>
              <w:rPr>
                <w:rFonts w:ascii="Arial" w:hAnsi="Arial"/>
                <w:b w:val="0"/>
                <w:i w:val="0"/>
                <w:color w:val="444441"/>
                <w:sz w:val="17"/>
              </w:rPr>
              <w:t>: co-medication underspecification listed among three primary ICSR data-quality barriers to AI adoption.</w:t>
            </w:r>
          </w:p>
        </w:tc>
        <w:tc>
          <w:tcPr>
            <w:tcW w:type="dxa" w:w="238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Co-medication underspecification prevents AI attribution of adverse events to herb–drug interactions versus the herbal product alone.</w:t>
            </w:r>
          </w:p>
        </w:tc>
        <w:tc>
          <w:tcPr>
            <w:tcW w:type="dxa" w:w="113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7"/>
              </w:rPr>
              <w:t>Discriminating</w:t>
            </w:r>
          </w:p>
        </w:tc>
      </w:tr>
      <w:tr>
        <w:tc>
          <w:tcPr>
            <w:tcW w:type="dxa" w:w="56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22"/>
              </w:rPr>
              <w:t>3</w:t>
            </w:r>
          </w:p>
        </w:tc>
        <w:tc>
          <w:tcPr>
            <w:tcW w:type="dxa" w:w="136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444441"/>
                <w:sz w:val="18"/>
              </w:rPr>
              <w:t>MedDRA-coded</w:t>
              <w:br/>
              <w:t>adverse outcome</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At least one adverse event coded at MedDRA Preferred Term level; uncoded free-text narrative alone is insufficient.</w:t>
            </w:r>
          </w:p>
        </w:tc>
        <w:tc>
          <w:tcPr>
            <w:tcW w:type="dxa" w:w="255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Disproportionality analysis algorithms (PRR, ROR, Bayesian confidence propagation) require coded outcomes to compute signal scores. NLP-based signal extraction requires vocabulary anchors for cross-report frequency aggregation.</w:t>
            </w:r>
          </w:p>
        </w:tc>
        <w:tc>
          <w:tcPr>
            <w:tcW w:type="dxa" w:w="2835"/>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 xml:space="preserve">Warner et al. 2025 </w:t>
            </w:r>
            <w:r>
              <w:rPr>
                <w:rFonts w:ascii="Arial" w:hAnsi="Arial"/>
                <w:b/>
                <w:i w:val="0"/>
                <w:color w:val="444441"/>
                <w:sz w:val="17"/>
              </w:rPr>
              <w:t>[14]</w:t>
            </w:r>
            <w:r>
              <w:rPr>
                <w:rFonts w:ascii="Arial" w:hAnsi="Arial"/>
                <w:b w:val="0"/>
                <w:i w:val="0"/>
                <w:color w:val="444441"/>
                <w:sz w:val="17"/>
              </w:rPr>
              <w:t xml:space="preserve">: MedDRA coding is a prerequisite for AI-driven signal management in spontaneous reporting databases. Pilipiec et al. 2022 </w:t>
            </w:r>
            <w:r>
              <w:rPr>
                <w:rFonts w:ascii="Arial" w:hAnsi="Arial"/>
                <w:b/>
                <w:i w:val="0"/>
                <w:color w:val="444441"/>
                <w:sz w:val="17"/>
              </w:rPr>
              <w:t>[3]</w:t>
            </w:r>
            <w:r>
              <w:rPr>
                <w:rFonts w:ascii="Arial" w:hAnsi="Arial"/>
                <w:b w:val="0"/>
                <w:i w:val="0"/>
                <w:color w:val="444441"/>
                <w:sz w:val="17"/>
              </w:rPr>
              <w:t>: standardised outcome vocabulary identified as a minimum requirement for automated signal detection across herbal ICSR datasets.</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Absence of MedDRA-coded outcomes prevents quantitative signal aggregation and automated adverse event classification across reporting systems.</w:t>
            </w:r>
          </w:p>
        </w:tc>
        <w:tc>
          <w:tcPr>
            <w:tcW w:type="dxa" w:w="113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1A5276"/>
                <w:sz w:val="17"/>
              </w:rPr>
              <w:t>Threshold</w:t>
            </w:r>
          </w:p>
        </w:tc>
      </w:tr>
      <w:tr>
        <w:tc>
          <w:tcPr>
            <w:tcW w:type="dxa" w:w="56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22"/>
              </w:rPr>
              <w:t>4</w:t>
            </w:r>
          </w:p>
        </w:tc>
        <w:tc>
          <w:tcPr>
            <w:tcW w:type="dxa" w:w="136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444441"/>
                <w:sz w:val="18"/>
              </w:rPr>
              <w:t>Reporter type</w:t>
              <w:br/>
              <w:t>and qualification</w:t>
            </w:r>
          </w:p>
        </w:tc>
        <w:tc>
          <w:tcPr>
            <w:tcW w:type="dxa" w:w="238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Reporter identified as physician, pharmacist, other healthcare professional, or consumer with explicit clinical diagnosis documentation.</w:t>
            </w:r>
          </w:p>
        </w:tc>
        <w:tc>
          <w:tcPr>
            <w:tcW w:type="dxa" w:w="255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Signal weighting algorithms in pharmacovigilance ML models assign differential credibility scores by reporter qualification. Unknown or consumer-only reporter type without clinical documentation prevents appropriate signal weighting and priority ranking.</w:t>
            </w:r>
          </w:p>
        </w:tc>
        <w:tc>
          <w:tcPr>
            <w:tcW w:type="dxa" w:w="2835"/>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 xml:space="preserve">Pilipiec et al. 2022 </w:t>
            </w:r>
            <w:r>
              <w:rPr>
                <w:rFonts w:ascii="Arial" w:hAnsi="Arial"/>
                <w:b/>
                <w:i w:val="0"/>
                <w:color w:val="444441"/>
                <w:sz w:val="17"/>
              </w:rPr>
              <w:t>[3]</w:t>
            </w:r>
            <w:r>
              <w:rPr>
                <w:rFonts w:ascii="Arial" w:hAnsi="Arial"/>
                <w:b w:val="0"/>
                <w:i w:val="0"/>
                <w:color w:val="444441"/>
                <w:sz w:val="17"/>
              </w:rPr>
              <w:t xml:space="preserve">: reporter qualification identified as a determinant of signal reliability in automated pharmacovigilance. WHO Uppsala Monitoring Centre VigiBase documentation </w:t>
            </w:r>
            <w:r>
              <w:rPr>
                <w:rFonts w:ascii="Arial" w:hAnsi="Arial"/>
                <w:b/>
                <w:i w:val="0"/>
                <w:color w:val="444441"/>
                <w:sz w:val="17"/>
              </w:rPr>
              <w:t>[20]</w:t>
            </w:r>
            <w:r>
              <w:rPr>
                <w:rFonts w:ascii="Arial" w:hAnsi="Arial"/>
                <w:b w:val="0"/>
                <w:i w:val="0"/>
                <w:color w:val="444441"/>
                <w:sz w:val="17"/>
              </w:rPr>
              <w:t>: healthcare professional reports generate more clinically actionable signals than unqualified consumer reports.</w:t>
            </w:r>
          </w:p>
        </w:tc>
        <w:tc>
          <w:tcPr>
            <w:tcW w:type="dxa" w:w="238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Unknown or unqualified reporter type prevents appropriate credibility weighting of signals in automated analysis, increasing false positive rates.</w:t>
            </w:r>
          </w:p>
        </w:tc>
        <w:tc>
          <w:tcPr>
            <w:tcW w:type="dxa" w:w="113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1A5276"/>
                <w:sz w:val="17"/>
              </w:rPr>
              <w:t>Threshold</w:t>
            </w:r>
          </w:p>
        </w:tc>
      </w:tr>
      <w:tr>
        <w:tc>
          <w:tcPr>
            <w:tcW w:type="dxa" w:w="56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22"/>
              </w:rPr>
              <w:t>5</w:t>
            </w:r>
          </w:p>
        </w:tc>
        <w:tc>
          <w:tcPr>
            <w:tcW w:type="dxa" w:w="136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444441"/>
                <w:sz w:val="18"/>
              </w:rPr>
              <w:t>Product</w:t>
              <w:br/>
              <w:t>authentication</w:t>
              <w:br/>
              <w:t>documentation</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One of: (a) verified commercial product name with batch number; OR (b) independent laboratory confirmation of botanical identity (DNA barcoding or chromatographic fingerprinting); OR (c) GMP-certified manufacturer with known constituent specification on product label.</w:t>
            </w:r>
          </w:p>
        </w:tc>
        <w:tc>
          <w:tcPr>
            <w:tcW w:type="dxa" w:w="255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No AI algorithm can correctly attribute harm to a plant that the underlying ICSR misidentifies. Authentic product identity is a prerequisite for any downstream AI method — it cannot be recovered or inferred by the algorithm after the fact.</w:t>
            </w:r>
          </w:p>
        </w:tc>
        <w:tc>
          <w:tcPr>
            <w:tcW w:type="dxa" w:w="2835"/>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 xml:space="preserve">Aristolochic acid nephropathy case (Introduction, Section 1): misidentification of Aristolochia as Stephania persisted because ICSRs recorded commercial name rather than verified botanical identity, leading to delayed signal recognition across jurisdictions. Skalli et al. 2024 </w:t>
            </w:r>
            <w:r>
              <w:rPr>
                <w:rFonts w:ascii="Arial" w:hAnsi="Arial"/>
                <w:b/>
                <w:i w:val="0"/>
                <w:color w:val="444441"/>
                <w:sz w:val="17"/>
              </w:rPr>
              <w:t>[10]</w:t>
            </w:r>
            <w:r>
              <w:rPr>
                <w:rFonts w:ascii="Arial" w:hAnsi="Arial"/>
                <w:b w:val="0"/>
                <w:i w:val="0"/>
                <w:color w:val="444441"/>
                <w:sz w:val="17"/>
              </w:rPr>
              <w:t>: product misidentification among top barriers to herbal pharmacovigilance effectiveness.</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Product misidentification errors in ICSRs render AI-attributed safety signals botanically unverifiable and potentially misleading for regulatory action.</w:t>
            </w:r>
          </w:p>
        </w:tc>
        <w:tc>
          <w:tcPr>
            <w:tcW w:type="dxa" w:w="113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17"/>
              </w:rPr>
              <w:t>Discriminating</w:t>
            </w:r>
          </w:p>
        </w:tc>
      </w:tr>
      <w:tr>
        <w:tc>
          <w:tcPr>
            <w:tcW w:type="dxa" w:w="567"/>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22"/>
              </w:rPr>
              <w:t>6</w:t>
            </w:r>
          </w:p>
        </w:tc>
        <w:tc>
          <w:tcPr>
            <w:tcW w:type="dxa" w:w="136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444441"/>
                <w:sz w:val="18"/>
              </w:rPr>
              <w:t>Time-to-onset</w:t>
              <w:br/>
              <w:t>plausibility</w:t>
            </w:r>
          </w:p>
        </w:tc>
        <w:tc>
          <w:tcPr>
            <w:tcW w:type="dxa" w:w="238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Interval between herb exposure initiation and adverse event onset falls within a pharmacologically plausible window for the suspected mechanism of harm.</w:t>
            </w:r>
          </w:p>
        </w:tc>
        <w:tc>
          <w:tcPr>
            <w:tcW w:type="dxa" w:w="255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Automated temporal pattern analysis requires plausible time-to-onset windows. Implausible or entirely missing temporal data inflate false positive rates and undermine AI-based causality scoring by introducing unresolvable noise into training and inference datasets.</w:t>
            </w:r>
          </w:p>
        </w:tc>
        <w:tc>
          <w:tcPr>
            <w:tcW w:type="dxa" w:w="2835"/>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 xml:space="preserve">Teschke et al. 2014 </w:t>
            </w:r>
            <w:r>
              <w:rPr>
                <w:rFonts w:ascii="Arial" w:hAnsi="Arial"/>
                <w:b/>
                <w:i w:val="0"/>
                <w:color w:val="444441"/>
                <w:sz w:val="17"/>
              </w:rPr>
              <w:t>[16]</w:t>
            </w:r>
            <w:r>
              <w:rPr>
                <w:rFonts w:ascii="Arial" w:hAnsi="Arial"/>
                <w:b w:val="0"/>
                <w:i w:val="0"/>
                <w:color w:val="444441"/>
                <w:sz w:val="17"/>
              </w:rPr>
              <w:t>: time-to-onset plausibility is an essential component of structured causality assessment in herb-induced injury; applied as Bradford Hill temporality criterion in pharmacovigilance. Reports with implausible temporal relationships generate noise rather than actionable signals (Section 3.2, MIAHPV derivation).</w:t>
            </w:r>
          </w:p>
        </w:tc>
        <w:tc>
          <w:tcPr>
            <w:tcW w:type="dxa" w:w="2381"/>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Missing or pharmacologically implausible time-to-onset data undermine automated causality scoring and corrupt temporal pattern recognition in AI signal detection models.</w:t>
            </w:r>
          </w:p>
        </w:tc>
        <w:tc>
          <w:tcPr>
            <w:tcW w:type="dxa" w:w="1134"/>
            <w:shd w:val="clear" w:color="auto" w:fill="E1F5EE"/>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1A5276"/>
                <w:sz w:val="17"/>
              </w:rPr>
              <w:t>Threshold</w:t>
            </w:r>
          </w:p>
        </w:tc>
      </w:tr>
      <w:tr>
        <w:tc>
          <w:tcPr>
            <w:tcW w:type="dxa" w:w="567"/>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0F6E56"/>
                <w:sz w:val="22"/>
              </w:rPr>
              <w:t>7</w:t>
            </w:r>
          </w:p>
        </w:tc>
        <w:tc>
          <w:tcPr>
            <w:tcW w:type="dxa" w:w="136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i w:val="0"/>
                <w:color w:val="444441"/>
                <w:sz w:val="18"/>
              </w:rPr>
              <w:t>Causality</w:t>
              <w:br/>
              <w:t>pre-assessment</w:t>
              <w:br/>
              <w:t>documentation</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At least a narrative causality assessment is present OR WHO-UMC causality terminology (certain/probable/possible/unlikely) has been applied at the time of reporting.</w:t>
            </w:r>
          </w:p>
        </w:tc>
        <w:tc>
          <w:tcPr>
            <w:tcW w:type="dxa" w:w="255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AI signal ranking algorithms require at least one structured causality anchor to prioritise reports for regulatory review. ICSRs with zero causality documentation cannot be ranked for clinical significance by automated systems and cannot contribute to validated signal outputs.</w:t>
            </w:r>
          </w:p>
        </w:tc>
        <w:tc>
          <w:tcPr>
            <w:tcW w:type="dxa" w:w="2835"/>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 xml:space="preserve">FUTURE-AI criteria — Dimitsaki et al. </w:t>
            </w:r>
            <w:r>
              <w:rPr>
                <w:rFonts w:ascii="Arial" w:hAnsi="Arial"/>
                <w:b/>
                <w:i w:val="0"/>
                <w:color w:val="444441"/>
                <w:sz w:val="17"/>
              </w:rPr>
              <w:t>[13]</w:t>
            </w:r>
            <w:r>
              <w:rPr>
                <w:rFonts w:ascii="Arial" w:hAnsi="Arial"/>
                <w:b w:val="0"/>
                <w:i w:val="0"/>
                <w:color w:val="444441"/>
                <w:sz w:val="17"/>
              </w:rPr>
              <w:t xml:space="preserve">: clinical anchoring is required for AI outputs to be actionable in healthcare contexts. Choudhury et al. 2023 </w:t>
            </w:r>
            <w:r>
              <w:rPr>
                <w:rFonts w:ascii="Arial" w:hAnsi="Arial"/>
                <w:b/>
                <w:i w:val="0"/>
                <w:color w:val="444441"/>
                <w:sz w:val="17"/>
              </w:rPr>
              <w:t>[17]</w:t>
            </w:r>
            <w:r>
              <w:rPr>
                <w:rFonts w:ascii="Arial" w:hAnsi="Arial"/>
                <w:b w:val="0"/>
                <w:i w:val="0"/>
                <w:color w:val="444441"/>
                <w:sz w:val="17"/>
              </w:rPr>
              <w:t xml:space="preserve">: absence of causality documentation is a systemic limitation of existing herbal pharmacovigilance datasets. WHO-UMC standardised causality categories </w:t>
            </w:r>
            <w:r>
              <w:rPr>
                <w:rFonts w:ascii="Arial" w:hAnsi="Arial"/>
                <w:b/>
                <w:i w:val="0"/>
                <w:color w:val="444441"/>
                <w:sz w:val="17"/>
              </w:rPr>
              <w:t>[9]</w:t>
            </w:r>
            <w:r>
              <w:rPr>
                <w:rFonts w:ascii="Arial" w:hAnsi="Arial"/>
                <w:b w:val="0"/>
                <w:i w:val="0"/>
                <w:color w:val="444441"/>
                <w:sz w:val="17"/>
              </w:rPr>
              <w:t>: minimum documentation standard for pharmacovigilance reporting.</w:t>
            </w:r>
          </w:p>
        </w:tc>
        <w:tc>
          <w:tcPr>
            <w:tcW w:type="dxa" w:w="2381"/>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left"/>
            </w:pPr>
            <w:r>
              <w:rPr>
                <w:rFonts w:ascii="Arial" w:hAnsi="Arial"/>
                <w:b w:val="0"/>
                <w:i w:val="0"/>
                <w:color w:val="444441"/>
                <w:sz w:val="17"/>
              </w:rPr>
              <w:t>Complete absence of causality documentation renders AI-generated signals uninterpretable for clinical prioritisation and prevents regulatory action on signal outputs.</w:t>
            </w:r>
          </w:p>
        </w:tc>
        <w:tc>
          <w:tcPr>
            <w:tcW w:type="dxa" w:w="1134"/>
            <w:shd w:val="clear" w:color="auto" w:fill="FFFFFF"/>
            <w:tcBorders>
              <w:top w:val="single" w:sz="4" w:space="0" w:color="B4B2A9"/>
              <w:left w:val="single" w:sz="4" w:space="0" w:color="B4B2A9"/>
              <w:bottom w:val="single" w:sz="4" w:space="0" w:color="B4B2A9"/>
              <w:right w:val="single" w:sz="4" w:space="0" w:color="B4B2A9"/>
            </w:tcBorders>
            <w:vAlign w:val="top"/>
          </w:tcPr>
          <w:p>
            <w:pPr>
              <w:spacing w:before="40" w:after="40" w:line="240" w:lineRule="exact"/>
              <w:jc w:val="center"/>
            </w:pPr>
            <w:r>
              <w:rPr>
                <w:rFonts w:ascii="Arial" w:hAnsi="Arial"/>
                <w:b/>
                <w:i w:val="0"/>
                <w:color w:val="1A5276"/>
                <w:sz w:val="17"/>
              </w:rPr>
              <w:t>Threshold</w:t>
            </w:r>
          </w:p>
        </w:tc>
      </w:tr>
    </w:tbl>
    <w:p>
      <w:pPr>
        <w:spacing w:before="120" w:after="0" w:line="240" w:lineRule="exact"/>
      </w:pPr>
      <w:r>
        <w:rPr>
          <w:rFonts w:ascii="Arial" w:hAnsi="Arial"/>
          <w:i/>
          <w:color w:val="666666"/>
          <w:sz w:val="16"/>
        </w:rPr>
        <w:t>Discriminating criterion: absence renders the ICSR unsuitable for AI-based signal detection regardless of other data quality.  Threshold criterion: absence degrades signal quality and requires transparent acknowledgment as a study limitation but does not render the report entirely unusable.  Reference numbers in brackets correspond to the reference list in the main manuscript.  ICSR = Individual Case Safety Report; NLP = Natural Language Processing; PRR = Proportional Reporting Ratio; ROR = Reporting Odds Ratio; MedDRA = Medical Dictionary for Regulatory Activities; GMP = Good Manufacturing Practice; WHO-UMC = World Health Organisation Uppsala Monitoring Centre.</w:t>
      </w:r>
    </w:p>
    <w:sectPr w:rsidR="00FC693F" w:rsidRPr="0006063C" w:rsidSect="00034616">
      <w:pgSz w:w="16834" w:h="11909"/>
      <w:pgMar w:top="1134" w:right="1020" w:bottom="113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