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69AF5" w14:textId="77777777" w:rsidR="00D6251E" w:rsidRPr="00DE7E3A" w:rsidRDefault="00000000" w:rsidP="00DE7E3A">
      <w:pPr>
        <w:spacing w:before="480" w:after="120"/>
        <w:jc w:val="center"/>
        <w:rPr>
          <w:rFonts w:ascii="Times New Roman" w:hAnsi="Times New Roman" w:cs="Times New Roman"/>
          <w:sz w:val="24"/>
          <w:szCs w:val="24"/>
        </w:rPr>
      </w:pPr>
      <w:r w:rsidRPr="00DE7E3A">
        <w:rPr>
          <w:rFonts w:ascii="Times New Roman" w:hAnsi="Times New Roman" w:cs="Times New Roman"/>
          <w:b/>
          <w:bCs/>
          <w:sz w:val="24"/>
          <w:szCs w:val="24"/>
        </w:rPr>
        <w:t>SUPPLEMENTARY MATERIAL</w:t>
      </w:r>
    </w:p>
    <w:p w14:paraId="2E538159" w14:textId="77777777" w:rsidR="00D6251E" w:rsidRPr="00DE7E3A" w:rsidRDefault="00000000" w:rsidP="00DE7E3A">
      <w:pPr>
        <w:pBdr>
          <w:bottom w:val="single" w:sz="8" w:space="6" w:color="2E75B6"/>
        </w:pBdr>
        <w:spacing w:before="60" w:after="240"/>
        <w:jc w:val="center"/>
        <w:rPr>
          <w:rFonts w:ascii="Times New Roman" w:hAnsi="Times New Roman" w:cs="Times New Roman"/>
          <w:sz w:val="24"/>
          <w:szCs w:val="24"/>
        </w:rPr>
      </w:pPr>
      <w:r w:rsidRPr="00DE7E3A">
        <w:rPr>
          <w:rFonts w:ascii="Times New Roman" w:hAnsi="Times New Roman" w:cs="Times New Roman"/>
          <w:b/>
          <w:bCs/>
          <w:sz w:val="24"/>
          <w:szCs w:val="24"/>
        </w:rPr>
        <w:t>AI-Guided Adaptive Control in Membrane Bioreactors for Real-Time Micropollutant Removal: Bridging the Explainability and Multi-Contaminant Gap in Intelligent Wastewater Treatment</w:t>
      </w:r>
    </w:p>
    <w:p w14:paraId="2D94E16F" w14:textId="77777777" w:rsidR="00DE7E3A" w:rsidRPr="00DE7E3A" w:rsidRDefault="00DE7E3A" w:rsidP="00DE7E3A">
      <w:pPr>
        <w:spacing w:before="40" w:after="80"/>
        <w:jc w:val="both"/>
        <w:rPr>
          <w:rFonts w:ascii="Times New Roman" w:hAnsi="Times New Roman" w:cs="Times New Roman"/>
          <w:sz w:val="24"/>
          <w:szCs w:val="24"/>
        </w:rPr>
      </w:pPr>
      <w:r w:rsidRPr="00DE7E3A">
        <w:rPr>
          <w:rFonts w:ascii="Times New Roman" w:hAnsi="Times New Roman" w:cs="Times New Roman"/>
          <w:b/>
          <w:bCs/>
          <w:sz w:val="24"/>
          <w:szCs w:val="24"/>
        </w:rPr>
        <w:t>Table of Contents</w:t>
      </w:r>
    </w:p>
    <w:p w14:paraId="43992289"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S1 – IoT Sensor Network Specifications</w:t>
      </w:r>
    </w:p>
    <w:p w14:paraId="64CEB8FC"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S2 – LSTM Network Architecture</w:t>
      </w:r>
    </w:p>
    <w:p w14:paraId="699B85DE"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S3 – Bayesian Hyperparameter Optimisation Search Space</w:t>
      </w:r>
    </w:p>
    <w:p w14:paraId="0E6B8C30"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S4 – Compound-Level Micropollutant Removal Efficiencies</w:t>
      </w:r>
    </w:p>
    <w:p w14:paraId="4EEDCE8D"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S5 – SHAP Feature Importance Values Across All Plants</w:t>
      </w:r>
    </w:p>
    <w:p w14:paraId="1419CB25"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S6 – NSGA-II Multi-Objective Optimisation Parameters</w:t>
      </w:r>
    </w:p>
    <w:p w14:paraId="3C930EB4"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S7 – Transfer Learning Performance Summary</w:t>
      </w:r>
    </w:p>
    <w:p w14:paraId="70A7D512"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S8 – Detailed Energy Consumption Breakdown</w:t>
      </w:r>
    </w:p>
    <w:p w14:paraId="71A610E4"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S9 – Cost-Benefit Analysis for 10,000 m³/day Plant</w:t>
      </w:r>
    </w:p>
    <w:p w14:paraId="0AE2F6B0"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S10 – Statistical Significance Tests</w:t>
      </w:r>
    </w:p>
    <w:p w14:paraId="401E7B27"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S11 – Data Preprocessing Pipeline</w:t>
      </w:r>
    </w:p>
    <w:p w14:paraId="6C67705D"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Table S12 – Regulatory Compliance Summary</w:t>
      </w:r>
    </w:p>
    <w:p w14:paraId="574EA0E3"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S1 – XAI-AMBR System Architecture</w:t>
      </w:r>
    </w:p>
    <w:p w14:paraId="7E7EFD1A"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S2 – Data Preprocessing and Training Workflow</w:t>
      </w:r>
    </w:p>
    <w:p w14:paraId="68C0CA13"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S3 – LSTM Training and Validation Curves</w:t>
      </w:r>
    </w:p>
    <w:p w14:paraId="47153004"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S4 – SHAP Summary Plots (All Plants)</w:t>
      </w:r>
    </w:p>
    <w:p w14:paraId="12DFDFA0"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S5 – Pareto Front (NSGA-II Optimisation)</w:t>
      </w:r>
    </w:p>
    <w:p w14:paraId="3192AC42"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S6 – TMP Prediction Accuracy (LSTM vs Actual)</w:t>
      </w:r>
    </w:p>
    <w:p w14:paraId="62E71D1E" w14:textId="77777777" w:rsidR="00DE7E3A" w:rsidRPr="00DE7E3A" w:rsidRDefault="00DE7E3A" w:rsidP="00DE7E3A">
      <w:pPr>
        <w:spacing w:before="30" w:after="30"/>
        <w:jc w:val="both"/>
        <w:rPr>
          <w:rFonts w:ascii="Times New Roman" w:hAnsi="Times New Roman" w:cs="Times New Roman"/>
          <w:sz w:val="24"/>
          <w:szCs w:val="24"/>
        </w:rPr>
      </w:pPr>
      <w:r w:rsidRPr="00DE7E3A">
        <w:rPr>
          <w:rFonts w:ascii="Times New Roman" w:hAnsi="Times New Roman" w:cs="Times New Roman"/>
          <w:sz w:val="24"/>
          <w:szCs w:val="24"/>
        </w:rPr>
        <w:t>• Figure S7 – Transfer Learning Performance Visualisation</w:t>
      </w:r>
    </w:p>
    <w:p w14:paraId="15955F11" w14:textId="5754EA21" w:rsidR="00D6251E" w:rsidRPr="00DE7E3A" w:rsidRDefault="00DE7E3A" w:rsidP="00DE7E3A">
      <w:pPr>
        <w:jc w:val="both"/>
        <w:rPr>
          <w:rFonts w:ascii="Times New Roman" w:hAnsi="Times New Roman" w:cs="Times New Roman"/>
          <w:sz w:val="24"/>
          <w:szCs w:val="24"/>
        </w:rPr>
      </w:pPr>
      <w:r w:rsidRPr="00DE7E3A">
        <w:rPr>
          <w:rFonts w:ascii="Times New Roman" w:hAnsi="Times New Roman" w:cs="Times New Roman"/>
          <w:sz w:val="24"/>
          <w:szCs w:val="24"/>
        </w:rPr>
        <w:t>• Figure S8 – Micropollutant Removal Radar Charts</w:t>
      </w:r>
      <w:r w:rsidR="00000000" w:rsidRPr="00DE7E3A">
        <w:rPr>
          <w:rFonts w:ascii="Times New Roman" w:hAnsi="Times New Roman" w:cs="Times New Roman"/>
          <w:sz w:val="24"/>
          <w:szCs w:val="24"/>
        </w:rPr>
        <w:br w:type="page"/>
      </w:r>
    </w:p>
    <w:p w14:paraId="1E6CC0B5" w14:textId="77777777" w:rsidR="00D6251E" w:rsidRPr="00DE7E3A" w:rsidRDefault="00000000" w:rsidP="00DE7E3A">
      <w:pPr>
        <w:pStyle w:val="Heading1"/>
        <w:jc w:val="both"/>
        <w:rPr>
          <w:rFonts w:ascii="Times New Roman" w:hAnsi="Times New Roman" w:cs="Times New Roman"/>
          <w:color w:val="auto"/>
          <w:sz w:val="24"/>
          <w:szCs w:val="24"/>
        </w:rPr>
      </w:pPr>
      <w:r w:rsidRPr="00DE7E3A">
        <w:rPr>
          <w:rFonts w:ascii="Times New Roman" w:hAnsi="Times New Roman" w:cs="Times New Roman"/>
          <w:color w:val="auto"/>
          <w:sz w:val="24"/>
          <w:szCs w:val="24"/>
        </w:rPr>
        <w:lastRenderedPageBreak/>
        <w:t>Table S1. IoT Sensor Network Specifications</w:t>
      </w:r>
    </w:p>
    <w:p w14:paraId="4D2995B4"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This table provides full technical specifications for all instruments deployed across the five MBR plants. Sensors were calibrated monthly and verified against grab samples from accredited laboratories (ISO/IEC 17025).</w:t>
      </w:r>
    </w:p>
    <w:p w14:paraId="4F60EBD6"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137"/>
        <w:gridCol w:w="2149"/>
        <w:gridCol w:w="1593"/>
        <w:gridCol w:w="1398"/>
        <w:gridCol w:w="1323"/>
        <w:gridCol w:w="1200"/>
      </w:tblGrid>
      <w:tr w:rsidR="00D6251E" w:rsidRPr="00DE7E3A" w14:paraId="01E6C3DD" w14:textId="77777777" w:rsidTr="00DE7E3A">
        <w:tc>
          <w:tcPr>
            <w:tcW w:w="1800" w:type="dxa"/>
          </w:tcPr>
          <w:p w14:paraId="54445B9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Sensor/Instrument</w:t>
            </w:r>
          </w:p>
        </w:tc>
        <w:tc>
          <w:tcPr>
            <w:tcW w:w="1600" w:type="dxa"/>
          </w:tcPr>
          <w:p w14:paraId="5D7A8A7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Measurement Principle</w:t>
            </w:r>
          </w:p>
        </w:tc>
        <w:tc>
          <w:tcPr>
            <w:tcW w:w="1600" w:type="dxa"/>
          </w:tcPr>
          <w:p w14:paraId="411E02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Range</w:t>
            </w:r>
          </w:p>
        </w:tc>
        <w:tc>
          <w:tcPr>
            <w:tcW w:w="1400" w:type="dxa"/>
          </w:tcPr>
          <w:p w14:paraId="3741368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Accuracy</w:t>
            </w:r>
          </w:p>
        </w:tc>
        <w:tc>
          <w:tcPr>
            <w:tcW w:w="1200" w:type="dxa"/>
          </w:tcPr>
          <w:p w14:paraId="5BD61E1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Sampling Frequency</w:t>
            </w:r>
          </w:p>
        </w:tc>
        <w:tc>
          <w:tcPr>
            <w:tcW w:w="1200" w:type="dxa"/>
          </w:tcPr>
          <w:p w14:paraId="404DC0B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Plants Deployed</w:t>
            </w:r>
          </w:p>
        </w:tc>
      </w:tr>
      <w:tr w:rsidR="00D6251E" w:rsidRPr="00DE7E3A" w14:paraId="1E21C3AC" w14:textId="77777777" w:rsidTr="00DE7E3A">
        <w:tc>
          <w:tcPr>
            <w:tcW w:w="1800" w:type="dxa"/>
          </w:tcPr>
          <w:p w14:paraId="0CF49C2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pH sensor</w:t>
            </w:r>
          </w:p>
        </w:tc>
        <w:tc>
          <w:tcPr>
            <w:tcW w:w="1600" w:type="dxa"/>
          </w:tcPr>
          <w:p w14:paraId="1F1828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Electrochemical</w:t>
            </w:r>
          </w:p>
        </w:tc>
        <w:tc>
          <w:tcPr>
            <w:tcW w:w="1600" w:type="dxa"/>
          </w:tcPr>
          <w:p w14:paraId="7CCC9E5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4–10 pH units</w:t>
            </w:r>
          </w:p>
        </w:tc>
        <w:tc>
          <w:tcPr>
            <w:tcW w:w="1400" w:type="dxa"/>
          </w:tcPr>
          <w:p w14:paraId="50E359A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±0.01 pH</w:t>
            </w:r>
          </w:p>
        </w:tc>
        <w:tc>
          <w:tcPr>
            <w:tcW w:w="1200" w:type="dxa"/>
          </w:tcPr>
          <w:p w14:paraId="3CF3C02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Continuous (1 min)</w:t>
            </w:r>
          </w:p>
        </w:tc>
        <w:tc>
          <w:tcPr>
            <w:tcW w:w="1200" w:type="dxa"/>
          </w:tcPr>
          <w:p w14:paraId="6E1E5EA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56330CF7" w14:textId="77777777" w:rsidTr="00DE7E3A">
        <w:tc>
          <w:tcPr>
            <w:tcW w:w="1800" w:type="dxa"/>
          </w:tcPr>
          <w:p w14:paraId="105C6E5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DO probe</w:t>
            </w:r>
          </w:p>
        </w:tc>
        <w:tc>
          <w:tcPr>
            <w:tcW w:w="1600" w:type="dxa"/>
          </w:tcPr>
          <w:p w14:paraId="45018C5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Optical/luminescent</w:t>
            </w:r>
          </w:p>
        </w:tc>
        <w:tc>
          <w:tcPr>
            <w:tcW w:w="1600" w:type="dxa"/>
          </w:tcPr>
          <w:p w14:paraId="6771E12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0–20 mg/L</w:t>
            </w:r>
          </w:p>
        </w:tc>
        <w:tc>
          <w:tcPr>
            <w:tcW w:w="1400" w:type="dxa"/>
          </w:tcPr>
          <w:p w14:paraId="16D7CFE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 mg/L</w:t>
            </w:r>
          </w:p>
        </w:tc>
        <w:tc>
          <w:tcPr>
            <w:tcW w:w="1200" w:type="dxa"/>
          </w:tcPr>
          <w:p w14:paraId="704F2A2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Continuous (1 min)</w:t>
            </w:r>
          </w:p>
        </w:tc>
        <w:tc>
          <w:tcPr>
            <w:tcW w:w="1200" w:type="dxa"/>
          </w:tcPr>
          <w:p w14:paraId="281204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2BA776F7" w14:textId="77777777" w:rsidTr="00DE7E3A">
        <w:tc>
          <w:tcPr>
            <w:tcW w:w="1800" w:type="dxa"/>
          </w:tcPr>
          <w:p w14:paraId="7F85452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MLSS sensor</w:t>
            </w:r>
          </w:p>
        </w:tc>
        <w:tc>
          <w:tcPr>
            <w:tcW w:w="1600" w:type="dxa"/>
          </w:tcPr>
          <w:p w14:paraId="36BBF3A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Near-infrared (NIR)</w:t>
            </w:r>
          </w:p>
        </w:tc>
        <w:tc>
          <w:tcPr>
            <w:tcW w:w="1600" w:type="dxa"/>
          </w:tcPr>
          <w:p w14:paraId="637FA7A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1–20 g/L</w:t>
            </w:r>
          </w:p>
        </w:tc>
        <w:tc>
          <w:tcPr>
            <w:tcW w:w="1400" w:type="dxa"/>
          </w:tcPr>
          <w:p w14:paraId="334EDAC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±0.05 g/L</w:t>
            </w:r>
          </w:p>
        </w:tc>
        <w:tc>
          <w:tcPr>
            <w:tcW w:w="1200" w:type="dxa"/>
          </w:tcPr>
          <w:p w14:paraId="732ADC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15-min interval</w:t>
            </w:r>
          </w:p>
        </w:tc>
        <w:tc>
          <w:tcPr>
            <w:tcW w:w="1200" w:type="dxa"/>
          </w:tcPr>
          <w:p w14:paraId="4E6C4BD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08D61585" w14:textId="77777777" w:rsidTr="00DE7E3A">
        <w:tc>
          <w:tcPr>
            <w:tcW w:w="1800" w:type="dxa"/>
          </w:tcPr>
          <w:p w14:paraId="528BAA1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TMP gauge</w:t>
            </w:r>
          </w:p>
        </w:tc>
        <w:tc>
          <w:tcPr>
            <w:tcW w:w="1600" w:type="dxa"/>
          </w:tcPr>
          <w:p w14:paraId="5309DFD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Differential pressure</w:t>
            </w:r>
          </w:p>
        </w:tc>
        <w:tc>
          <w:tcPr>
            <w:tcW w:w="1600" w:type="dxa"/>
          </w:tcPr>
          <w:p w14:paraId="3CDD3BF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0–100 kPa</w:t>
            </w:r>
          </w:p>
        </w:tc>
        <w:tc>
          <w:tcPr>
            <w:tcW w:w="1400" w:type="dxa"/>
          </w:tcPr>
          <w:p w14:paraId="0E52F63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 kPa</w:t>
            </w:r>
          </w:p>
        </w:tc>
        <w:tc>
          <w:tcPr>
            <w:tcW w:w="1200" w:type="dxa"/>
          </w:tcPr>
          <w:p w14:paraId="1FBC29E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Continuous (1 min)</w:t>
            </w:r>
          </w:p>
        </w:tc>
        <w:tc>
          <w:tcPr>
            <w:tcW w:w="1200" w:type="dxa"/>
          </w:tcPr>
          <w:p w14:paraId="10A0EDF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612ABED3" w14:textId="77777777" w:rsidTr="00DE7E3A">
        <w:tc>
          <w:tcPr>
            <w:tcW w:w="1800" w:type="dxa"/>
          </w:tcPr>
          <w:p w14:paraId="18043B4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Turbidity meter</w:t>
            </w:r>
          </w:p>
        </w:tc>
        <w:tc>
          <w:tcPr>
            <w:tcW w:w="1600" w:type="dxa"/>
          </w:tcPr>
          <w:p w14:paraId="7563C45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Optical (nephelometric)</w:t>
            </w:r>
          </w:p>
        </w:tc>
        <w:tc>
          <w:tcPr>
            <w:tcW w:w="1600" w:type="dxa"/>
          </w:tcPr>
          <w:p w14:paraId="0F7080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0–3000 NTU</w:t>
            </w:r>
          </w:p>
        </w:tc>
        <w:tc>
          <w:tcPr>
            <w:tcW w:w="1400" w:type="dxa"/>
          </w:tcPr>
          <w:p w14:paraId="69F2CD5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 full scale</w:t>
            </w:r>
          </w:p>
        </w:tc>
        <w:tc>
          <w:tcPr>
            <w:tcW w:w="1200" w:type="dxa"/>
          </w:tcPr>
          <w:p w14:paraId="22BD426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15-min interval</w:t>
            </w:r>
          </w:p>
        </w:tc>
        <w:tc>
          <w:tcPr>
            <w:tcW w:w="1200" w:type="dxa"/>
          </w:tcPr>
          <w:p w14:paraId="51A9262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0D638E62" w14:textId="77777777" w:rsidTr="00DE7E3A">
        <w:tc>
          <w:tcPr>
            <w:tcW w:w="1800" w:type="dxa"/>
          </w:tcPr>
          <w:p w14:paraId="3FE7981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Temperature probe</w:t>
            </w:r>
          </w:p>
        </w:tc>
        <w:tc>
          <w:tcPr>
            <w:tcW w:w="1600" w:type="dxa"/>
          </w:tcPr>
          <w:p w14:paraId="32C38D3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PT100 RTD</w:t>
            </w:r>
          </w:p>
        </w:tc>
        <w:tc>
          <w:tcPr>
            <w:tcW w:w="1600" w:type="dxa"/>
          </w:tcPr>
          <w:p w14:paraId="130D5A6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-10–80 °C</w:t>
            </w:r>
          </w:p>
        </w:tc>
        <w:tc>
          <w:tcPr>
            <w:tcW w:w="1400" w:type="dxa"/>
          </w:tcPr>
          <w:p w14:paraId="0252496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 °C</w:t>
            </w:r>
          </w:p>
        </w:tc>
        <w:tc>
          <w:tcPr>
            <w:tcW w:w="1200" w:type="dxa"/>
          </w:tcPr>
          <w:p w14:paraId="29D6FDC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Continuous (1 min)</w:t>
            </w:r>
          </w:p>
        </w:tc>
        <w:tc>
          <w:tcPr>
            <w:tcW w:w="1200" w:type="dxa"/>
          </w:tcPr>
          <w:p w14:paraId="37D1F9A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3C3F4FFC" w14:textId="77777777" w:rsidTr="00DE7E3A">
        <w:tc>
          <w:tcPr>
            <w:tcW w:w="1800" w:type="dxa"/>
          </w:tcPr>
          <w:p w14:paraId="3F59EBB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Flow meter</w:t>
            </w:r>
          </w:p>
        </w:tc>
        <w:tc>
          <w:tcPr>
            <w:tcW w:w="1600" w:type="dxa"/>
          </w:tcPr>
          <w:p w14:paraId="77B59C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Electromagnetic</w:t>
            </w:r>
          </w:p>
        </w:tc>
        <w:tc>
          <w:tcPr>
            <w:tcW w:w="1600" w:type="dxa"/>
          </w:tcPr>
          <w:p w14:paraId="0D5341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0–2000 m³/h</w:t>
            </w:r>
          </w:p>
        </w:tc>
        <w:tc>
          <w:tcPr>
            <w:tcW w:w="1400" w:type="dxa"/>
          </w:tcPr>
          <w:p w14:paraId="4DF2F4F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w:t>
            </w:r>
          </w:p>
        </w:tc>
        <w:tc>
          <w:tcPr>
            <w:tcW w:w="1200" w:type="dxa"/>
          </w:tcPr>
          <w:p w14:paraId="7CACD43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15-min interval</w:t>
            </w:r>
          </w:p>
        </w:tc>
        <w:tc>
          <w:tcPr>
            <w:tcW w:w="1200" w:type="dxa"/>
          </w:tcPr>
          <w:p w14:paraId="0D56211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0DC2566A" w14:textId="77777777" w:rsidTr="00DE7E3A">
        <w:tc>
          <w:tcPr>
            <w:tcW w:w="1800" w:type="dxa"/>
          </w:tcPr>
          <w:p w14:paraId="63EC42F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Ammonia analyzer</w:t>
            </w:r>
          </w:p>
        </w:tc>
        <w:tc>
          <w:tcPr>
            <w:tcW w:w="1600" w:type="dxa"/>
          </w:tcPr>
          <w:p w14:paraId="79D22EC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Ion-selective electrode</w:t>
            </w:r>
          </w:p>
        </w:tc>
        <w:tc>
          <w:tcPr>
            <w:tcW w:w="1600" w:type="dxa"/>
          </w:tcPr>
          <w:p w14:paraId="0F59B72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0–200 mg NH4+-N/L</w:t>
            </w:r>
          </w:p>
        </w:tc>
        <w:tc>
          <w:tcPr>
            <w:tcW w:w="1400" w:type="dxa"/>
          </w:tcPr>
          <w:p w14:paraId="7FD5116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w:t>
            </w:r>
          </w:p>
        </w:tc>
        <w:tc>
          <w:tcPr>
            <w:tcW w:w="1200" w:type="dxa"/>
          </w:tcPr>
          <w:p w14:paraId="2C08ED3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30-min interval</w:t>
            </w:r>
          </w:p>
        </w:tc>
        <w:tc>
          <w:tcPr>
            <w:tcW w:w="1200" w:type="dxa"/>
          </w:tcPr>
          <w:p w14:paraId="6D81205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 P4, P5</w:t>
            </w:r>
          </w:p>
        </w:tc>
      </w:tr>
      <w:tr w:rsidR="00D6251E" w:rsidRPr="00DE7E3A" w14:paraId="48163BE4" w14:textId="77777777" w:rsidTr="00DE7E3A">
        <w:tc>
          <w:tcPr>
            <w:tcW w:w="1800" w:type="dxa"/>
          </w:tcPr>
          <w:p w14:paraId="7379EB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Nitrate analyzer</w:t>
            </w:r>
          </w:p>
        </w:tc>
        <w:tc>
          <w:tcPr>
            <w:tcW w:w="1600" w:type="dxa"/>
          </w:tcPr>
          <w:p w14:paraId="275E12D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UV spectrophotometric</w:t>
            </w:r>
          </w:p>
        </w:tc>
        <w:tc>
          <w:tcPr>
            <w:tcW w:w="1600" w:type="dxa"/>
          </w:tcPr>
          <w:p w14:paraId="5F0566E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0–100 mg NO3--N/L</w:t>
            </w:r>
          </w:p>
        </w:tc>
        <w:tc>
          <w:tcPr>
            <w:tcW w:w="1400" w:type="dxa"/>
          </w:tcPr>
          <w:p w14:paraId="6D49402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w:t>
            </w:r>
          </w:p>
        </w:tc>
        <w:tc>
          <w:tcPr>
            <w:tcW w:w="1200" w:type="dxa"/>
          </w:tcPr>
          <w:p w14:paraId="2E2ECD4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30-min interval</w:t>
            </w:r>
          </w:p>
        </w:tc>
        <w:tc>
          <w:tcPr>
            <w:tcW w:w="1200" w:type="dxa"/>
          </w:tcPr>
          <w:p w14:paraId="548687D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 P4, P5</w:t>
            </w:r>
          </w:p>
        </w:tc>
      </w:tr>
      <w:tr w:rsidR="00D6251E" w:rsidRPr="00DE7E3A" w14:paraId="6D4584B3" w14:textId="77777777" w:rsidTr="00DE7E3A">
        <w:tc>
          <w:tcPr>
            <w:tcW w:w="1800" w:type="dxa"/>
          </w:tcPr>
          <w:p w14:paraId="18046C2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Phosphate analyzer</w:t>
            </w:r>
          </w:p>
        </w:tc>
        <w:tc>
          <w:tcPr>
            <w:tcW w:w="1600" w:type="dxa"/>
          </w:tcPr>
          <w:p w14:paraId="7CB6C5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Colorimetric (molybdate)</w:t>
            </w:r>
          </w:p>
        </w:tc>
        <w:tc>
          <w:tcPr>
            <w:tcW w:w="1600" w:type="dxa"/>
          </w:tcPr>
          <w:p w14:paraId="0ACC40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0–50 mg PO4-P/L</w:t>
            </w:r>
          </w:p>
        </w:tc>
        <w:tc>
          <w:tcPr>
            <w:tcW w:w="1400" w:type="dxa"/>
          </w:tcPr>
          <w:p w14:paraId="58C2C1B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w:t>
            </w:r>
          </w:p>
        </w:tc>
        <w:tc>
          <w:tcPr>
            <w:tcW w:w="1200" w:type="dxa"/>
          </w:tcPr>
          <w:p w14:paraId="428F494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30-min interval</w:t>
            </w:r>
          </w:p>
        </w:tc>
        <w:tc>
          <w:tcPr>
            <w:tcW w:w="1200" w:type="dxa"/>
          </w:tcPr>
          <w:p w14:paraId="0DFAE59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 P4, P5</w:t>
            </w:r>
          </w:p>
        </w:tc>
      </w:tr>
      <w:tr w:rsidR="00D6251E" w:rsidRPr="00DE7E3A" w14:paraId="670C15A7" w14:textId="77777777" w:rsidTr="00DE7E3A">
        <w:tc>
          <w:tcPr>
            <w:tcW w:w="1800" w:type="dxa"/>
          </w:tcPr>
          <w:p w14:paraId="1F00BA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COD sensor</w:t>
            </w:r>
          </w:p>
        </w:tc>
        <w:tc>
          <w:tcPr>
            <w:tcW w:w="1600" w:type="dxa"/>
          </w:tcPr>
          <w:p w14:paraId="79FF4A2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UV/Vis spectrophotometry</w:t>
            </w:r>
          </w:p>
        </w:tc>
        <w:tc>
          <w:tcPr>
            <w:tcW w:w="1600" w:type="dxa"/>
          </w:tcPr>
          <w:p w14:paraId="51CD17A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0–2000 mg/L</w:t>
            </w:r>
          </w:p>
        </w:tc>
        <w:tc>
          <w:tcPr>
            <w:tcW w:w="1400" w:type="dxa"/>
          </w:tcPr>
          <w:p w14:paraId="44115F2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w:t>
            </w:r>
          </w:p>
        </w:tc>
        <w:tc>
          <w:tcPr>
            <w:tcW w:w="1200" w:type="dxa"/>
          </w:tcPr>
          <w:p w14:paraId="697CFE5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15-min interval</w:t>
            </w:r>
          </w:p>
        </w:tc>
        <w:tc>
          <w:tcPr>
            <w:tcW w:w="1200" w:type="dxa"/>
          </w:tcPr>
          <w:p w14:paraId="7B3623E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49DA9815" w14:textId="77777777" w:rsidTr="00DE7E3A">
        <w:tc>
          <w:tcPr>
            <w:tcW w:w="1800" w:type="dxa"/>
          </w:tcPr>
          <w:p w14:paraId="55A7A57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UV254 probe</w:t>
            </w:r>
          </w:p>
        </w:tc>
        <w:tc>
          <w:tcPr>
            <w:tcW w:w="1600" w:type="dxa"/>
          </w:tcPr>
          <w:p w14:paraId="1B83EBD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UV spectrophotometry</w:t>
            </w:r>
          </w:p>
        </w:tc>
        <w:tc>
          <w:tcPr>
            <w:tcW w:w="1600" w:type="dxa"/>
          </w:tcPr>
          <w:p w14:paraId="2EFAC17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0–10 abs/m</w:t>
            </w:r>
          </w:p>
        </w:tc>
        <w:tc>
          <w:tcPr>
            <w:tcW w:w="1400" w:type="dxa"/>
          </w:tcPr>
          <w:p w14:paraId="64DCB47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w:t>
            </w:r>
          </w:p>
        </w:tc>
        <w:tc>
          <w:tcPr>
            <w:tcW w:w="1200" w:type="dxa"/>
          </w:tcPr>
          <w:p w14:paraId="020428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15-min interval</w:t>
            </w:r>
          </w:p>
        </w:tc>
        <w:tc>
          <w:tcPr>
            <w:tcW w:w="1200" w:type="dxa"/>
          </w:tcPr>
          <w:p w14:paraId="74A3C57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P1–P5</w:t>
            </w:r>
          </w:p>
        </w:tc>
      </w:tr>
      <w:tr w:rsidR="00D6251E" w:rsidRPr="00DE7E3A" w14:paraId="374BFEB4" w14:textId="77777777" w:rsidTr="00DE7E3A">
        <w:tc>
          <w:tcPr>
            <w:tcW w:w="1800" w:type="dxa"/>
          </w:tcPr>
          <w:p w14:paraId="62093D2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Microplastic sensor</w:t>
            </w:r>
          </w:p>
        </w:tc>
        <w:tc>
          <w:tcPr>
            <w:tcW w:w="1600" w:type="dxa"/>
          </w:tcPr>
          <w:p w14:paraId="177C3E7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Laser diffraction</w:t>
            </w:r>
          </w:p>
        </w:tc>
        <w:tc>
          <w:tcPr>
            <w:tcW w:w="1600" w:type="dxa"/>
          </w:tcPr>
          <w:p w14:paraId="147421C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0.1–3000 µm</w:t>
            </w:r>
          </w:p>
        </w:tc>
        <w:tc>
          <w:tcPr>
            <w:tcW w:w="1400" w:type="dxa"/>
          </w:tcPr>
          <w:p w14:paraId="4640E05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w:t>
            </w:r>
          </w:p>
        </w:tc>
        <w:tc>
          <w:tcPr>
            <w:tcW w:w="1200" w:type="dxa"/>
          </w:tcPr>
          <w:p w14:paraId="41EBCFB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Batch (4-hourly)</w:t>
            </w:r>
          </w:p>
        </w:tc>
        <w:tc>
          <w:tcPr>
            <w:tcW w:w="1200" w:type="dxa"/>
          </w:tcPr>
          <w:p w14:paraId="0E8C4BF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P1, P4, P5</w:t>
            </w:r>
          </w:p>
        </w:tc>
      </w:tr>
    </w:tbl>
    <w:p w14:paraId="79771867"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All sensors were factory-calibrated and field-verified quarterly. Data streams were transmitted via MQTT protocol to the central SCADA system at 15-second intervals and aggregated at 15-minute intervals for model input.</w:t>
      </w:r>
    </w:p>
    <w:p w14:paraId="68F01F87" w14:textId="77777777" w:rsidR="00D6251E" w:rsidRPr="00DE7E3A" w:rsidRDefault="00D6251E" w:rsidP="00DE7E3A">
      <w:pPr>
        <w:spacing w:before="60" w:after="60"/>
        <w:jc w:val="both"/>
        <w:rPr>
          <w:rFonts w:ascii="Times New Roman" w:hAnsi="Times New Roman" w:cs="Times New Roman"/>
          <w:sz w:val="24"/>
          <w:szCs w:val="24"/>
        </w:rPr>
      </w:pPr>
    </w:p>
    <w:p w14:paraId="5EF65E7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br w:type="page"/>
      </w:r>
    </w:p>
    <w:p w14:paraId="2C933F65" w14:textId="77777777" w:rsidR="00D6251E" w:rsidRPr="00DE7E3A" w:rsidRDefault="00000000" w:rsidP="00DE7E3A">
      <w:pPr>
        <w:pStyle w:val="Heading1"/>
        <w:jc w:val="both"/>
        <w:rPr>
          <w:rFonts w:ascii="Times New Roman" w:hAnsi="Times New Roman" w:cs="Times New Roman"/>
          <w:color w:val="auto"/>
          <w:sz w:val="24"/>
          <w:szCs w:val="24"/>
        </w:rPr>
      </w:pPr>
      <w:r w:rsidRPr="00DE7E3A">
        <w:rPr>
          <w:rFonts w:ascii="Times New Roman" w:hAnsi="Times New Roman" w:cs="Times New Roman"/>
          <w:color w:val="auto"/>
          <w:sz w:val="24"/>
          <w:szCs w:val="24"/>
        </w:rPr>
        <w:lastRenderedPageBreak/>
        <w:t>Table S2. LSTM Network Architecture</w:t>
      </w:r>
    </w:p>
    <w:p w14:paraId="27F3CDB3"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The three-layer stacked LSTM network was designed through systematic architecture search. The table below details each layer, its configuration, and the number of trainable parameters.</w:t>
      </w:r>
    </w:p>
    <w:p w14:paraId="4F2714DB"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1701"/>
        <w:gridCol w:w="1594"/>
        <w:gridCol w:w="1593"/>
        <w:gridCol w:w="1593"/>
        <w:gridCol w:w="1830"/>
        <w:gridCol w:w="1489"/>
      </w:tblGrid>
      <w:tr w:rsidR="00D6251E" w:rsidRPr="00DE7E3A" w14:paraId="5AEF7512" w14:textId="77777777" w:rsidTr="00DE7E3A">
        <w:tc>
          <w:tcPr>
            <w:tcW w:w="1600" w:type="dxa"/>
          </w:tcPr>
          <w:p w14:paraId="295804A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Layer</w:t>
            </w:r>
          </w:p>
        </w:tc>
        <w:tc>
          <w:tcPr>
            <w:tcW w:w="1500" w:type="dxa"/>
          </w:tcPr>
          <w:p w14:paraId="30B8490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Units</w:t>
            </w:r>
          </w:p>
        </w:tc>
        <w:tc>
          <w:tcPr>
            <w:tcW w:w="1500" w:type="dxa"/>
          </w:tcPr>
          <w:p w14:paraId="28D54AE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Connections</w:t>
            </w:r>
          </w:p>
        </w:tc>
        <w:tc>
          <w:tcPr>
            <w:tcW w:w="1500" w:type="dxa"/>
          </w:tcPr>
          <w:p w14:paraId="19A7922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Activation</w:t>
            </w:r>
          </w:p>
        </w:tc>
        <w:tc>
          <w:tcPr>
            <w:tcW w:w="1500" w:type="dxa"/>
          </w:tcPr>
          <w:p w14:paraId="4C9FB7C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Regularisation</w:t>
            </w:r>
          </w:p>
        </w:tc>
        <w:tc>
          <w:tcPr>
            <w:tcW w:w="1200" w:type="dxa"/>
          </w:tcPr>
          <w:p w14:paraId="2659B7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Parameters</w:t>
            </w:r>
          </w:p>
        </w:tc>
      </w:tr>
      <w:tr w:rsidR="00D6251E" w:rsidRPr="00DE7E3A" w14:paraId="03B30F09" w14:textId="77777777" w:rsidTr="00DE7E3A">
        <w:tc>
          <w:tcPr>
            <w:tcW w:w="1600" w:type="dxa"/>
          </w:tcPr>
          <w:p w14:paraId="2F6B20F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Input Layer</w:t>
            </w:r>
          </w:p>
        </w:tc>
        <w:tc>
          <w:tcPr>
            <w:tcW w:w="1500" w:type="dxa"/>
          </w:tcPr>
          <w:p w14:paraId="3BDB522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500" w:type="dxa"/>
          </w:tcPr>
          <w:p w14:paraId="67EBA0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18</w:t>
            </w:r>
          </w:p>
        </w:tc>
        <w:tc>
          <w:tcPr>
            <w:tcW w:w="1500" w:type="dxa"/>
          </w:tcPr>
          <w:p w14:paraId="55790B6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500" w:type="dxa"/>
          </w:tcPr>
          <w:p w14:paraId="1FB7D5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200" w:type="dxa"/>
          </w:tcPr>
          <w:p w14:paraId="6A7ACA6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r>
      <w:tr w:rsidR="00D6251E" w:rsidRPr="00DE7E3A" w14:paraId="75DB3726" w14:textId="77777777" w:rsidTr="00DE7E3A">
        <w:tc>
          <w:tcPr>
            <w:tcW w:w="1600" w:type="dxa"/>
          </w:tcPr>
          <w:p w14:paraId="0754824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LSTM Layer 1</w:t>
            </w:r>
          </w:p>
        </w:tc>
        <w:tc>
          <w:tcPr>
            <w:tcW w:w="1500" w:type="dxa"/>
          </w:tcPr>
          <w:p w14:paraId="50174FA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128</w:t>
            </w:r>
          </w:p>
        </w:tc>
        <w:tc>
          <w:tcPr>
            <w:tcW w:w="1500" w:type="dxa"/>
          </w:tcPr>
          <w:p w14:paraId="2957ED1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18 × 128</w:t>
            </w:r>
          </w:p>
        </w:tc>
        <w:tc>
          <w:tcPr>
            <w:tcW w:w="1500" w:type="dxa"/>
          </w:tcPr>
          <w:p w14:paraId="2D30993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tanh / sigmoid</w:t>
            </w:r>
          </w:p>
        </w:tc>
        <w:tc>
          <w:tcPr>
            <w:tcW w:w="1500" w:type="dxa"/>
          </w:tcPr>
          <w:p w14:paraId="3C730D2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50% dropout</w:t>
            </w:r>
          </w:p>
        </w:tc>
        <w:tc>
          <w:tcPr>
            <w:tcW w:w="1200" w:type="dxa"/>
          </w:tcPr>
          <w:p w14:paraId="24CD5FA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66,560</w:t>
            </w:r>
          </w:p>
        </w:tc>
      </w:tr>
      <w:tr w:rsidR="00D6251E" w:rsidRPr="00DE7E3A" w14:paraId="4ED1EFC6" w14:textId="77777777" w:rsidTr="00DE7E3A">
        <w:tc>
          <w:tcPr>
            <w:tcW w:w="1600" w:type="dxa"/>
          </w:tcPr>
          <w:p w14:paraId="75DF90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LSTM Layer 2</w:t>
            </w:r>
          </w:p>
        </w:tc>
        <w:tc>
          <w:tcPr>
            <w:tcW w:w="1500" w:type="dxa"/>
          </w:tcPr>
          <w:p w14:paraId="1CB5C8D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w:t>
            </w:r>
          </w:p>
        </w:tc>
        <w:tc>
          <w:tcPr>
            <w:tcW w:w="1500" w:type="dxa"/>
          </w:tcPr>
          <w:p w14:paraId="04E604E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128 × 64</w:t>
            </w:r>
          </w:p>
        </w:tc>
        <w:tc>
          <w:tcPr>
            <w:tcW w:w="1500" w:type="dxa"/>
          </w:tcPr>
          <w:p w14:paraId="0757830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tanh / sigmoid</w:t>
            </w:r>
          </w:p>
        </w:tc>
        <w:tc>
          <w:tcPr>
            <w:tcW w:w="1500" w:type="dxa"/>
          </w:tcPr>
          <w:p w14:paraId="434ADE0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30% dropout</w:t>
            </w:r>
          </w:p>
        </w:tc>
        <w:tc>
          <w:tcPr>
            <w:tcW w:w="1200" w:type="dxa"/>
          </w:tcPr>
          <w:p w14:paraId="2A35037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49,408</w:t>
            </w:r>
          </w:p>
        </w:tc>
      </w:tr>
      <w:tr w:rsidR="00D6251E" w:rsidRPr="00DE7E3A" w14:paraId="343A1AE2" w14:textId="77777777" w:rsidTr="00DE7E3A">
        <w:tc>
          <w:tcPr>
            <w:tcW w:w="1600" w:type="dxa"/>
          </w:tcPr>
          <w:p w14:paraId="66E864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LSTM Layer 3</w:t>
            </w:r>
          </w:p>
        </w:tc>
        <w:tc>
          <w:tcPr>
            <w:tcW w:w="1500" w:type="dxa"/>
          </w:tcPr>
          <w:p w14:paraId="7C545BB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w:t>
            </w:r>
          </w:p>
        </w:tc>
        <w:tc>
          <w:tcPr>
            <w:tcW w:w="1500" w:type="dxa"/>
          </w:tcPr>
          <w:p w14:paraId="4B4F260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 × 32</w:t>
            </w:r>
          </w:p>
        </w:tc>
        <w:tc>
          <w:tcPr>
            <w:tcW w:w="1500" w:type="dxa"/>
          </w:tcPr>
          <w:p w14:paraId="36732E1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tanh / sigmoid</w:t>
            </w:r>
          </w:p>
        </w:tc>
        <w:tc>
          <w:tcPr>
            <w:tcW w:w="1500" w:type="dxa"/>
          </w:tcPr>
          <w:p w14:paraId="7BBB133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 dropout</w:t>
            </w:r>
          </w:p>
        </w:tc>
        <w:tc>
          <w:tcPr>
            <w:tcW w:w="1200" w:type="dxa"/>
          </w:tcPr>
          <w:p w14:paraId="52DE464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12,416</w:t>
            </w:r>
          </w:p>
        </w:tc>
      </w:tr>
      <w:tr w:rsidR="00D6251E" w:rsidRPr="00DE7E3A" w14:paraId="33E49BEE" w14:textId="77777777" w:rsidTr="00DE7E3A">
        <w:tc>
          <w:tcPr>
            <w:tcW w:w="1600" w:type="dxa"/>
          </w:tcPr>
          <w:p w14:paraId="34261FD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Dense Layer 1</w:t>
            </w:r>
          </w:p>
        </w:tc>
        <w:tc>
          <w:tcPr>
            <w:tcW w:w="1500" w:type="dxa"/>
          </w:tcPr>
          <w:p w14:paraId="359FC5A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w:t>
            </w:r>
          </w:p>
        </w:tc>
        <w:tc>
          <w:tcPr>
            <w:tcW w:w="1500" w:type="dxa"/>
          </w:tcPr>
          <w:p w14:paraId="4D6F90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 × 64</w:t>
            </w:r>
          </w:p>
        </w:tc>
        <w:tc>
          <w:tcPr>
            <w:tcW w:w="1500" w:type="dxa"/>
          </w:tcPr>
          <w:p w14:paraId="4C1509E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ReLU</w:t>
            </w:r>
          </w:p>
        </w:tc>
        <w:tc>
          <w:tcPr>
            <w:tcW w:w="1500" w:type="dxa"/>
          </w:tcPr>
          <w:p w14:paraId="5E2AF0A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Batch Norm</w:t>
            </w:r>
          </w:p>
        </w:tc>
        <w:tc>
          <w:tcPr>
            <w:tcW w:w="1200" w:type="dxa"/>
          </w:tcPr>
          <w:p w14:paraId="305E7CC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2,112</w:t>
            </w:r>
          </w:p>
        </w:tc>
      </w:tr>
      <w:tr w:rsidR="00D6251E" w:rsidRPr="00DE7E3A" w14:paraId="5F5C8CBC" w14:textId="77777777" w:rsidTr="00DE7E3A">
        <w:tc>
          <w:tcPr>
            <w:tcW w:w="1600" w:type="dxa"/>
          </w:tcPr>
          <w:p w14:paraId="643ECC8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Dense Layer 2</w:t>
            </w:r>
          </w:p>
        </w:tc>
        <w:tc>
          <w:tcPr>
            <w:tcW w:w="1500" w:type="dxa"/>
          </w:tcPr>
          <w:p w14:paraId="583A4E4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w:t>
            </w:r>
          </w:p>
        </w:tc>
        <w:tc>
          <w:tcPr>
            <w:tcW w:w="1500" w:type="dxa"/>
          </w:tcPr>
          <w:p w14:paraId="4FDA132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 × 32</w:t>
            </w:r>
          </w:p>
        </w:tc>
        <w:tc>
          <w:tcPr>
            <w:tcW w:w="1500" w:type="dxa"/>
          </w:tcPr>
          <w:p w14:paraId="7C1E51D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ReLU</w:t>
            </w:r>
          </w:p>
        </w:tc>
        <w:tc>
          <w:tcPr>
            <w:tcW w:w="1500" w:type="dxa"/>
          </w:tcPr>
          <w:p w14:paraId="3237145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200" w:type="dxa"/>
          </w:tcPr>
          <w:p w14:paraId="061499C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2,080</w:t>
            </w:r>
          </w:p>
        </w:tc>
      </w:tr>
      <w:tr w:rsidR="00D6251E" w:rsidRPr="00DE7E3A" w14:paraId="0DA54159" w14:textId="77777777" w:rsidTr="00DE7E3A">
        <w:tc>
          <w:tcPr>
            <w:tcW w:w="1600" w:type="dxa"/>
          </w:tcPr>
          <w:p w14:paraId="7C8FE4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Output Layer</w:t>
            </w:r>
          </w:p>
        </w:tc>
        <w:tc>
          <w:tcPr>
            <w:tcW w:w="1500" w:type="dxa"/>
          </w:tcPr>
          <w:p w14:paraId="373F26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Var.</w:t>
            </w:r>
          </w:p>
        </w:tc>
        <w:tc>
          <w:tcPr>
            <w:tcW w:w="1500" w:type="dxa"/>
          </w:tcPr>
          <w:p w14:paraId="0CAB2E0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 × n_out</w:t>
            </w:r>
          </w:p>
        </w:tc>
        <w:tc>
          <w:tcPr>
            <w:tcW w:w="1500" w:type="dxa"/>
          </w:tcPr>
          <w:p w14:paraId="1E10C48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Linear</w:t>
            </w:r>
          </w:p>
        </w:tc>
        <w:tc>
          <w:tcPr>
            <w:tcW w:w="1500" w:type="dxa"/>
          </w:tcPr>
          <w:p w14:paraId="044FC1D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200" w:type="dxa"/>
          </w:tcPr>
          <w:p w14:paraId="02CD00D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Variable</w:t>
            </w:r>
          </w:p>
        </w:tc>
      </w:tr>
      <w:tr w:rsidR="00D6251E" w:rsidRPr="00DE7E3A" w14:paraId="7B43069D" w14:textId="77777777" w:rsidTr="00DE7E3A">
        <w:tc>
          <w:tcPr>
            <w:tcW w:w="1600" w:type="dxa"/>
          </w:tcPr>
          <w:p w14:paraId="17C8AAA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Total Trainable Parameters</w:t>
            </w:r>
          </w:p>
        </w:tc>
        <w:tc>
          <w:tcPr>
            <w:tcW w:w="1500" w:type="dxa"/>
          </w:tcPr>
          <w:p w14:paraId="0846D54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500" w:type="dxa"/>
          </w:tcPr>
          <w:p w14:paraId="2070E92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500" w:type="dxa"/>
          </w:tcPr>
          <w:p w14:paraId="26AC2C6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500" w:type="dxa"/>
          </w:tcPr>
          <w:p w14:paraId="3630DCC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200" w:type="dxa"/>
          </w:tcPr>
          <w:p w14:paraId="0B92012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~132,576</w:t>
            </w:r>
          </w:p>
        </w:tc>
      </w:tr>
    </w:tbl>
    <w:p w14:paraId="55619FE2"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Total trainable parameters ≈ 132,576 (single-target output). For multi-target outputs (e.g., simultaneous COD, TN, TP, micropollutant prediction), the output layer expands proportionally. All models were implemented in TensorFlow 2.12 / Keras with mixed-precision (float16/float32) training for GPU efficiency.</w:t>
      </w:r>
    </w:p>
    <w:p w14:paraId="1D3F7BD8" w14:textId="77777777" w:rsidR="00D6251E" w:rsidRPr="00DE7E3A" w:rsidRDefault="00D6251E" w:rsidP="00DE7E3A">
      <w:pPr>
        <w:spacing w:before="60" w:after="60"/>
        <w:jc w:val="both"/>
        <w:rPr>
          <w:rFonts w:ascii="Times New Roman" w:hAnsi="Times New Roman" w:cs="Times New Roman"/>
          <w:sz w:val="24"/>
          <w:szCs w:val="24"/>
        </w:rPr>
      </w:pPr>
    </w:p>
    <w:p w14:paraId="448BF7C9" w14:textId="1B5931F6"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S3. Bayesian Hyperparameter Optimisation Search Space</w:t>
      </w:r>
    </w:p>
    <w:p w14:paraId="48ADACBD"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Optuna v3.0 was used for Bayesian optimisation with Tree-structured Parzen Estimator (TPE) sampler. A total of 100 trials were conducted per target variable with 5-fold cross-validation (time-series split). The table shows the full search space and optimal values selected.</w:t>
      </w:r>
    </w:p>
    <w:p w14:paraId="49C8BCE1"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179"/>
        <w:gridCol w:w="2094"/>
        <w:gridCol w:w="2280"/>
        <w:gridCol w:w="1924"/>
        <w:gridCol w:w="1323"/>
      </w:tblGrid>
      <w:tr w:rsidR="00D6251E" w:rsidRPr="00DE7E3A" w14:paraId="39E286B4" w14:textId="77777777" w:rsidTr="00DE7E3A">
        <w:tc>
          <w:tcPr>
            <w:tcW w:w="2200" w:type="dxa"/>
          </w:tcPr>
          <w:p w14:paraId="3502E4F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Hyperparameter</w:t>
            </w:r>
          </w:p>
        </w:tc>
        <w:tc>
          <w:tcPr>
            <w:tcW w:w="2200" w:type="dxa"/>
          </w:tcPr>
          <w:p w14:paraId="4B17DBA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Type</w:t>
            </w:r>
          </w:p>
        </w:tc>
        <w:tc>
          <w:tcPr>
            <w:tcW w:w="2400" w:type="dxa"/>
          </w:tcPr>
          <w:p w14:paraId="6D51BD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Search Range</w:t>
            </w:r>
          </w:p>
        </w:tc>
        <w:tc>
          <w:tcPr>
            <w:tcW w:w="2000" w:type="dxa"/>
          </w:tcPr>
          <w:p w14:paraId="73D6339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Optimal Value</w:t>
            </w:r>
          </w:p>
        </w:tc>
        <w:tc>
          <w:tcPr>
            <w:tcW w:w="1000" w:type="dxa"/>
          </w:tcPr>
          <w:p w14:paraId="7B850A2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Sampling Strategy</w:t>
            </w:r>
          </w:p>
        </w:tc>
      </w:tr>
      <w:tr w:rsidR="00D6251E" w:rsidRPr="00DE7E3A" w14:paraId="329F7823" w14:textId="77777777" w:rsidTr="00DE7E3A">
        <w:tc>
          <w:tcPr>
            <w:tcW w:w="2200" w:type="dxa"/>
          </w:tcPr>
          <w:p w14:paraId="425684D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LSTM units (layer 1)</w:t>
            </w:r>
          </w:p>
        </w:tc>
        <w:tc>
          <w:tcPr>
            <w:tcW w:w="2200" w:type="dxa"/>
          </w:tcPr>
          <w:p w14:paraId="0C327FE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08616D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64–256</w:t>
            </w:r>
          </w:p>
        </w:tc>
        <w:tc>
          <w:tcPr>
            <w:tcW w:w="2000" w:type="dxa"/>
          </w:tcPr>
          <w:p w14:paraId="1CC3E3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128</w:t>
            </w:r>
          </w:p>
        </w:tc>
        <w:tc>
          <w:tcPr>
            <w:tcW w:w="1000" w:type="dxa"/>
          </w:tcPr>
          <w:p w14:paraId="21FAEE9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6010711B" w14:textId="77777777" w:rsidTr="00DE7E3A">
        <w:tc>
          <w:tcPr>
            <w:tcW w:w="2200" w:type="dxa"/>
          </w:tcPr>
          <w:p w14:paraId="2AD09E6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LSTM units (layer 2)</w:t>
            </w:r>
          </w:p>
        </w:tc>
        <w:tc>
          <w:tcPr>
            <w:tcW w:w="2200" w:type="dxa"/>
          </w:tcPr>
          <w:p w14:paraId="205A688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4769E8D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32–128</w:t>
            </w:r>
          </w:p>
        </w:tc>
        <w:tc>
          <w:tcPr>
            <w:tcW w:w="2000" w:type="dxa"/>
          </w:tcPr>
          <w:p w14:paraId="4515CD4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w:t>
            </w:r>
          </w:p>
        </w:tc>
        <w:tc>
          <w:tcPr>
            <w:tcW w:w="1000" w:type="dxa"/>
          </w:tcPr>
          <w:p w14:paraId="7071FD5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359D033E" w14:textId="77777777" w:rsidTr="00DE7E3A">
        <w:tc>
          <w:tcPr>
            <w:tcW w:w="2200" w:type="dxa"/>
          </w:tcPr>
          <w:p w14:paraId="71D000B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LSTM units (layer 3)</w:t>
            </w:r>
          </w:p>
        </w:tc>
        <w:tc>
          <w:tcPr>
            <w:tcW w:w="2200" w:type="dxa"/>
          </w:tcPr>
          <w:p w14:paraId="53B903A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7BCE62C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16–64</w:t>
            </w:r>
          </w:p>
        </w:tc>
        <w:tc>
          <w:tcPr>
            <w:tcW w:w="2000" w:type="dxa"/>
          </w:tcPr>
          <w:p w14:paraId="37B14EB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w:t>
            </w:r>
          </w:p>
        </w:tc>
        <w:tc>
          <w:tcPr>
            <w:tcW w:w="1000" w:type="dxa"/>
          </w:tcPr>
          <w:p w14:paraId="28252F8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3CA0EBAD" w14:textId="77777777" w:rsidTr="00DE7E3A">
        <w:tc>
          <w:tcPr>
            <w:tcW w:w="2200" w:type="dxa"/>
          </w:tcPr>
          <w:p w14:paraId="63923A0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Dropout rate</w:t>
            </w:r>
          </w:p>
        </w:tc>
        <w:tc>
          <w:tcPr>
            <w:tcW w:w="2200" w:type="dxa"/>
          </w:tcPr>
          <w:p w14:paraId="7BC872C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Float</w:t>
            </w:r>
          </w:p>
        </w:tc>
        <w:tc>
          <w:tcPr>
            <w:tcW w:w="2400" w:type="dxa"/>
          </w:tcPr>
          <w:p w14:paraId="53E85FD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0.1–0.5</w:t>
            </w:r>
          </w:p>
        </w:tc>
        <w:tc>
          <w:tcPr>
            <w:tcW w:w="2000" w:type="dxa"/>
          </w:tcPr>
          <w:p w14:paraId="14B268D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0.2–0.3</w:t>
            </w:r>
          </w:p>
        </w:tc>
        <w:tc>
          <w:tcPr>
            <w:tcW w:w="1000" w:type="dxa"/>
          </w:tcPr>
          <w:p w14:paraId="1B6CEB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Uniform</w:t>
            </w:r>
          </w:p>
        </w:tc>
      </w:tr>
      <w:tr w:rsidR="00D6251E" w:rsidRPr="00DE7E3A" w14:paraId="5C4F00A9" w14:textId="77777777" w:rsidTr="00DE7E3A">
        <w:tc>
          <w:tcPr>
            <w:tcW w:w="2200" w:type="dxa"/>
          </w:tcPr>
          <w:p w14:paraId="047E31C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Learning rate (Adam)</w:t>
            </w:r>
          </w:p>
        </w:tc>
        <w:tc>
          <w:tcPr>
            <w:tcW w:w="2200" w:type="dxa"/>
          </w:tcPr>
          <w:p w14:paraId="78476DC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Float</w:t>
            </w:r>
          </w:p>
        </w:tc>
        <w:tc>
          <w:tcPr>
            <w:tcW w:w="2400" w:type="dxa"/>
          </w:tcPr>
          <w:p w14:paraId="674BAC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1×10⁻⁵ – 1×10⁻²</w:t>
            </w:r>
          </w:p>
        </w:tc>
        <w:tc>
          <w:tcPr>
            <w:tcW w:w="2000" w:type="dxa"/>
          </w:tcPr>
          <w:p w14:paraId="5D23E8D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0.001</w:t>
            </w:r>
          </w:p>
        </w:tc>
        <w:tc>
          <w:tcPr>
            <w:tcW w:w="1000" w:type="dxa"/>
          </w:tcPr>
          <w:p w14:paraId="45A8158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6929391D" w14:textId="77777777" w:rsidTr="00DE7E3A">
        <w:tc>
          <w:tcPr>
            <w:tcW w:w="2200" w:type="dxa"/>
          </w:tcPr>
          <w:p w14:paraId="5DD92FB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Batch size</w:t>
            </w:r>
          </w:p>
        </w:tc>
        <w:tc>
          <w:tcPr>
            <w:tcW w:w="2200" w:type="dxa"/>
          </w:tcPr>
          <w:p w14:paraId="700804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7E96035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16, 32, 64, 128</w:t>
            </w:r>
          </w:p>
        </w:tc>
        <w:tc>
          <w:tcPr>
            <w:tcW w:w="2000" w:type="dxa"/>
          </w:tcPr>
          <w:p w14:paraId="5C0C549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w:t>
            </w:r>
          </w:p>
        </w:tc>
        <w:tc>
          <w:tcPr>
            <w:tcW w:w="1000" w:type="dxa"/>
          </w:tcPr>
          <w:p w14:paraId="6016E3A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Categorical</w:t>
            </w:r>
          </w:p>
        </w:tc>
      </w:tr>
      <w:tr w:rsidR="00D6251E" w:rsidRPr="00DE7E3A" w14:paraId="6B7D04C0" w14:textId="77777777" w:rsidTr="00DE7E3A">
        <w:tc>
          <w:tcPr>
            <w:tcW w:w="2200" w:type="dxa"/>
          </w:tcPr>
          <w:p w14:paraId="6D8102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Lookback window (timesteps)</w:t>
            </w:r>
          </w:p>
        </w:tc>
        <w:tc>
          <w:tcPr>
            <w:tcW w:w="2200" w:type="dxa"/>
          </w:tcPr>
          <w:p w14:paraId="0949B0B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6B0DD3A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12–96</w:t>
            </w:r>
          </w:p>
        </w:tc>
        <w:tc>
          <w:tcPr>
            <w:tcW w:w="2000" w:type="dxa"/>
          </w:tcPr>
          <w:p w14:paraId="0C7E29E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48 (12 hours)</w:t>
            </w:r>
          </w:p>
        </w:tc>
        <w:tc>
          <w:tcPr>
            <w:tcW w:w="1000" w:type="dxa"/>
          </w:tcPr>
          <w:p w14:paraId="5F195FC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64A2124A" w14:textId="77777777" w:rsidTr="00DE7E3A">
        <w:tc>
          <w:tcPr>
            <w:tcW w:w="2200" w:type="dxa"/>
          </w:tcPr>
          <w:p w14:paraId="362C2C5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Dense units (layer 1)</w:t>
            </w:r>
          </w:p>
        </w:tc>
        <w:tc>
          <w:tcPr>
            <w:tcW w:w="2200" w:type="dxa"/>
          </w:tcPr>
          <w:p w14:paraId="57ACEEE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2056C93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32–128</w:t>
            </w:r>
          </w:p>
        </w:tc>
        <w:tc>
          <w:tcPr>
            <w:tcW w:w="2000" w:type="dxa"/>
          </w:tcPr>
          <w:p w14:paraId="3C72625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64</w:t>
            </w:r>
          </w:p>
        </w:tc>
        <w:tc>
          <w:tcPr>
            <w:tcW w:w="1000" w:type="dxa"/>
          </w:tcPr>
          <w:p w14:paraId="0B33FDF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7DE5F8BF" w14:textId="77777777" w:rsidTr="00DE7E3A">
        <w:tc>
          <w:tcPr>
            <w:tcW w:w="2200" w:type="dxa"/>
          </w:tcPr>
          <w:p w14:paraId="38A497D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Dense units (layer 2)</w:t>
            </w:r>
          </w:p>
        </w:tc>
        <w:tc>
          <w:tcPr>
            <w:tcW w:w="2200" w:type="dxa"/>
          </w:tcPr>
          <w:p w14:paraId="1D630A9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7B99649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16–64</w:t>
            </w:r>
          </w:p>
        </w:tc>
        <w:tc>
          <w:tcPr>
            <w:tcW w:w="2000" w:type="dxa"/>
          </w:tcPr>
          <w:p w14:paraId="46B508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w:t>
            </w:r>
          </w:p>
        </w:tc>
        <w:tc>
          <w:tcPr>
            <w:tcW w:w="1000" w:type="dxa"/>
          </w:tcPr>
          <w:p w14:paraId="2A04315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Log-uniform</w:t>
            </w:r>
          </w:p>
        </w:tc>
      </w:tr>
      <w:tr w:rsidR="00D6251E" w:rsidRPr="00DE7E3A" w14:paraId="19031FBF" w14:textId="77777777" w:rsidTr="00DE7E3A">
        <w:tc>
          <w:tcPr>
            <w:tcW w:w="2200" w:type="dxa"/>
          </w:tcPr>
          <w:p w14:paraId="7A84BA4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Early stopping patience</w:t>
            </w:r>
          </w:p>
        </w:tc>
        <w:tc>
          <w:tcPr>
            <w:tcW w:w="2200" w:type="dxa"/>
          </w:tcPr>
          <w:p w14:paraId="50EB68F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7225F17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10–20</w:t>
            </w:r>
          </w:p>
        </w:tc>
        <w:tc>
          <w:tcPr>
            <w:tcW w:w="2000" w:type="dxa"/>
          </w:tcPr>
          <w:p w14:paraId="34AC5A9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w:t>
            </w:r>
          </w:p>
        </w:tc>
        <w:tc>
          <w:tcPr>
            <w:tcW w:w="1000" w:type="dxa"/>
          </w:tcPr>
          <w:p w14:paraId="531CF58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Uniform</w:t>
            </w:r>
          </w:p>
        </w:tc>
      </w:tr>
      <w:tr w:rsidR="00D6251E" w:rsidRPr="00DE7E3A" w14:paraId="04250FEE" w14:textId="77777777" w:rsidTr="00DE7E3A">
        <w:tc>
          <w:tcPr>
            <w:tcW w:w="2200" w:type="dxa"/>
          </w:tcPr>
          <w:p w14:paraId="27E5999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Optimisation trials (Optuna)</w:t>
            </w:r>
          </w:p>
        </w:tc>
        <w:tc>
          <w:tcPr>
            <w:tcW w:w="2200" w:type="dxa"/>
          </w:tcPr>
          <w:p w14:paraId="2E42CA7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535F0EE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100</w:t>
            </w:r>
          </w:p>
        </w:tc>
        <w:tc>
          <w:tcPr>
            <w:tcW w:w="2000" w:type="dxa"/>
          </w:tcPr>
          <w:p w14:paraId="00CC7B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100</w:t>
            </w:r>
          </w:p>
        </w:tc>
        <w:tc>
          <w:tcPr>
            <w:tcW w:w="1000" w:type="dxa"/>
          </w:tcPr>
          <w:p w14:paraId="3F99A39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Fixed</w:t>
            </w:r>
          </w:p>
        </w:tc>
      </w:tr>
      <w:tr w:rsidR="00D6251E" w:rsidRPr="00DE7E3A" w14:paraId="7B0645C5" w14:textId="77777777" w:rsidTr="00DE7E3A">
        <w:tc>
          <w:tcPr>
            <w:tcW w:w="2200" w:type="dxa"/>
          </w:tcPr>
          <w:p w14:paraId="1CE0CE0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Cross-validation folds</w:t>
            </w:r>
          </w:p>
        </w:tc>
        <w:tc>
          <w:tcPr>
            <w:tcW w:w="2200" w:type="dxa"/>
          </w:tcPr>
          <w:p w14:paraId="774C3DE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Integer</w:t>
            </w:r>
          </w:p>
        </w:tc>
        <w:tc>
          <w:tcPr>
            <w:tcW w:w="2400" w:type="dxa"/>
          </w:tcPr>
          <w:p w14:paraId="42EFA79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w:t>
            </w:r>
          </w:p>
        </w:tc>
        <w:tc>
          <w:tcPr>
            <w:tcW w:w="2000" w:type="dxa"/>
          </w:tcPr>
          <w:p w14:paraId="7EFC988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w:t>
            </w:r>
          </w:p>
        </w:tc>
        <w:tc>
          <w:tcPr>
            <w:tcW w:w="1000" w:type="dxa"/>
          </w:tcPr>
          <w:p w14:paraId="3B7462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Fixed</w:t>
            </w:r>
          </w:p>
        </w:tc>
      </w:tr>
    </w:tbl>
    <w:p w14:paraId="3AAF89CF"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The LSTM lookback window of 48 timesteps (12 hours) was confirmed as optimal across all plants. For TMP prediction, a 4-hour prediction horizon was used; for effluent quality, a 2-hour horizon was used. Hyperparameter optimisation was performed independently for each target variable.</w:t>
      </w:r>
    </w:p>
    <w:p w14:paraId="7B468BC2" w14:textId="77777777" w:rsidR="00D6251E" w:rsidRPr="00DE7E3A" w:rsidRDefault="00D6251E" w:rsidP="00DE7E3A">
      <w:pPr>
        <w:spacing w:before="60" w:after="60"/>
        <w:jc w:val="both"/>
        <w:rPr>
          <w:rFonts w:ascii="Times New Roman" w:hAnsi="Times New Roman" w:cs="Times New Roman"/>
          <w:sz w:val="24"/>
          <w:szCs w:val="24"/>
        </w:rPr>
      </w:pPr>
    </w:p>
    <w:p w14:paraId="4BBEB64D" w14:textId="3AEDC02E"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S4. Compound-Level Micropollutant Removal Efficiencies</w:t>
      </w:r>
    </w:p>
    <w:p w14:paraId="6E647DD7"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Removal efficiencies for all 23 targeted micropollutants across four treatment technologies. Values represent mean ± standard deviation from 24 months of weekly sampling (n = 96 per compound per technology). Statistical significance was assessed by paired t-test (α = 0.05). Regulatory limits are based on EU Environmental Quality Standards (EQS), WHO guidelines, and Indian IS:2490 standards.</w:t>
      </w:r>
    </w:p>
    <w:p w14:paraId="203C8117"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030"/>
        <w:gridCol w:w="1683"/>
        <w:gridCol w:w="707"/>
        <w:gridCol w:w="1177"/>
        <w:gridCol w:w="954"/>
        <w:gridCol w:w="967"/>
        <w:gridCol w:w="1363"/>
        <w:gridCol w:w="919"/>
      </w:tblGrid>
      <w:tr w:rsidR="00D6251E" w:rsidRPr="00DE7E3A" w14:paraId="4C9CC1D3" w14:textId="77777777" w:rsidTr="00DE7E3A">
        <w:tc>
          <w:tcPr>
            <w:tcW w:w="1400" w:type="dxa"/>
          </w:tcPr>
          <w:p w14:paraId="4C311D0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Compound</w:t>
            </w:r>
          </w:p>
        </w:tc>
        <w:tc>
          <w:tcPr>
            <w:tcW w:w="1300" w:type="dxa"/>
          </w:tcPr>
          <w:p w14:paraId="133489C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Class</w:t>
            </w:r>
          </w:p>
        </w:tc>
        <w:tc>
          <w:tcPr>
            <w:tcW w:w="1100" w:type="dxa"/>
          </w:tcPr>
          <w:p w14:paraId="6196CCD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CAS (%)</w:t>
            </w:r>
          </w:p>
        </w:tc>
        <w:tc>
          <w:tcPr>
            <w:tcW w:w="1100" w:type="dxa"/>
          </w:tcPr>
          <w:p w14:paraId="713D58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Standard MBR (%)</w:t>
            </w:r>
          </w:p>
        </w:tc>
        <w:tc>
          <w:tcPr>
            <w:tcW w:w="1100" w:type="dxa"/>
          </w:tcPr>
          <w:p w14:paraId="5981C4B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XAI-AMBR (%)</w:t>
            </w:r>
          </w:p>
        </w:tc>
        <w:tc>
          <w:tcPr>
            <w:tcW w:w="1100" w:type="dxa"/>
          </w:tcPr>
          <w:p w14:paraId="6265798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Hybrid MBR-AOP (%)</w:t>
            </w:r>
          </w:p>
        </w:tc>
        <w:tc>
          <w:tcPr>
            <w:tcW w:w="800" w:type="dxa"/>
          </w:tcPr>
          <w:p w14:paraId="69F3F4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Regulatory Limit</w:t>
            </w:r>
          </w:p>
        </w:tc>
        <w:tc>
          <w:tcPr>
            <w:tcW w:w="800" w:type="dxa"/>
          </w:tcPr>
          <w:p w14:paraId="4F09F8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p-value</w:t>
            </w:r>
          </w:p>
        </w:tc>
      </w:tr>
      <w:tr w:rsidR="00D6251E" w:rsidRPr="00DE7E3A" w14:paraId="747F9641" w14:textId="77777777" w:rsidTr="00DE7E3A">
        <w:tc>
          <w:tcPr>
            <w:tcW w:w="9800" w:type="dxa"/>
            <w:gridSpan w:val="8"/>
          </w:tcPr>
          <w:p w14:paraId="34C4947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Pharmaceuticals</w:t>
            </w:r>
          </w:p>
        </w:tc>
      </w:tr>
      <w:tr w:rsidR="00D6251E" w:rsidRPr="00DE7E3A" w14:paraId="163C045B" w14:textId="77777777" w:rsidTr="00DE7E3A">
        <w:tc>
          <w:tcPr>
            <w:tcW w:w="1400" w:type="dxa"/>
          </w:tcPr>
          <w:p w14:paraId="5DB4285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Ibuprofen</w:t>
            </w:r>
          </w:p>
        </w:tc>
        <w:tc>
          <w:tcPr>
            <w:tcW w:w="1300" w:type="dxa"/>
          </w:tcPr>
          <w:p w14:paraId="637C344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Anti-inflammatory</w:t>
            </w:r>
          </w:p>
        </w:tc>
        <w:tc>
          <w:tcPr>
            <w:tcW w:w="1100" w:type="dxa"/>
          </w:tcPr>
          <w:p w14:paraId="2EEF254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89.4 ± 3.2</w:t>
            </w:r>
          </w:p>
        </w:tc>
        <w:tc>
          <w:tcPr>
            <w:tcW w:w="1100" w:type="dxa"/>
          </w:tcPr>
          <w:p w14:paraId="2775A3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94.7 ± 2.1</w:t>
            </w:r>
          </w:p>
        </w:tc>
        <w:tc>
          <w:tcPr>
            <w:tcW w:w="1100" w:type="dxa"/>
          </w:tcPr>
          <w:p w14:paraId="671BCF9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97.3 ± 1.4</w:t>
            </w:r>
          </w:p>
        </w:tc>
        <w:tc>
          <w:tcPr>
            <w:tcW w:w="1100" w:type="dxa"/>
          </w:tcPr>
          <w:p w14:paraId="30F7B5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99.1 ± 0.6</w:t>
            </w:r>
          </w:p>
        </w:tc>
        <w:tc>
          <w:tcPr>
            <w:tcW w:w="800" w:type="dxa"/>
          </w:tcPr>
          <w:p w14:paraId="29EECA6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0.05</w:t>
            </w:r>
          </w:p>
        </w:tc>
        <w:tc>
          <w:tcPr>
            <w:tcW w:w="800" w:type="dxa"/>
          </w:tcPr>
          <w:p w14:paraId="48D7B4B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206A4DE3" w14:textId="77777777" w:rsidTr="00DE7E3A">
        <w:tc>
          <w:tcPr>
            <w:tcW w:w="1400" w:type="dxa"/>
          </w:tcPr>
          <w:p w14:paraId="177FDBE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Diclofenac</w:t>
            </w:r>
          </w:p>
        </w:tc>
        <w:tc>
          <w:tcPr>
            <w:tcW w:w="1300" w:type="dxa"/>
          </w:tcPr>
          <w:p w14:paraId="1F249D7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Anti-inflammatory</w:t>
            </w:r>
          </w:p>
        </w:tc>
        <w:tc>
          <w:tcPr>
            <w:tcW w:w="1100" w:type="dxa"/>
          </w:tcPr>
          <w:p w14:paraId="5AB8AE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62.1 ± 7.4</w:t>
            </w:r>
          </w:p>
        </w:tc>
        <w:tc>
          <w:tcPr>
            <w:tcW w:w="1100" w:type="dxa"/>
          </w:tcPr>
          <w:p w14:paraId="79FAE75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78.3 ± 5.2</w:t>
            </w:r>
          </w:p>
        </w:tc>
        <w:tc>
          <w:tcPr>
            <w:tcW w:w="1100" w:type="dxa"/>
          </w:tcPr>
          <w:p w14:paraId="2988F52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94.6 ± 2.3</w:t>
            </w:r>
          </w:p>
        </w:tc>
        <w:tc>
          <w:tcPr>
            <w:tcW w:w="1100" w:type="dxa"/>
          </w:tcPr>
          <w:p w14:paraId="0631B43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99.0 ± 0.5</w:t>
            </w:r>
          </w:p>
        </w:tc>
        <w:tc>
          <w:tcPr>
            <w:tcW w:w="800" w:type="dxa"/>
          </w:tcPr>
          <w:p w14:paraId="3BDB235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0.05</w:t>
            </w:r>
          </w:p>
        </w:tc>
        <w:tc>
          <w:tcPr>
            <w:tcW w:w="800" w:type="dxa"/>
          </w:tcPr>
          <w:p w14:paraId="60E731B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1283CB03" w14:textId="77777777" w:rsidTr="00DE7E3A">
        <w:tc>
          <w:tcPr>
            <w:tcW w:w="1400" w:type="dxa"/>
          </w:tcPr>
          <w:p w14:paraId="293AB73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Carbamazepine</w:t>
            </w:r>
          </w:p>
        </w:tc>
        <w:tc>
          <w:tcPr>
            <w:tcW w:w="1300" w:type="dxa"/>
          </w:tcPr>
          <w:p w14:paraId="4C94545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Anticonvulsant</w:t>
            </w:r>
          </w:p>
        </w:tc>
        <w:tc>
          <w:tcPr>
            <w:tcW w:w="1100" w:type="dxa"/>
          </w:tcPr>
          <w:p w14:paraId="717525E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21.3 ± 9.1</w:t>
            </w:r>
          </w:p>
        </w:tc>
        <w:tc>
          <w:tcPr>
            <w:tcW w:w="1100" w:type="dxa"/>
          </w:tcPr>
          <w:p w14:paraId="363C495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38.6 ± 8.4</w:t>
            </w:r>
          </w:p>
        </w:tc>
        <w:tc>
          <w:tcPr>
            <w:tcW w:w="1100" w:type="dxa"/>
          </w:tcPr>
          <w:p w14:paraId="41D6657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89.4 ± 3.1</w:t>
            </w:r>
          </w:p>
        </w:tc>
        <w:tc>
          <w:tcPr>
            <w:tcW w:w="1100" w:type="dxa"/>
          </w:tcPr>
          <w:p w14:paraId="58FEB44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97.2 ± 1.1</w:t>
            </w:r>
          </w:p>
        </w:tc>
        <w:tc>
          <w:tcPr>
            <w:tcW w:w="800" w:type="dxa"/>
          </w:tcPr>
          <w:p w14:paraId="3E562CC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0AFFCDB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440209E1" w14:textId="77777777" w:rsidTr="00DE7E3A">
        <w:tc>
          <w:tcPr>
            <w:tcW w:w="1400" w:type="dxa"/>
          </w:tcPr>
          <w:p w14:paraId="650FEA4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Trimethoprim</w:t>
            </w:r>
          </w:p>
        </w:tc>
        <w:tc>
          <w:tcPr>
            <w:tcW w:w="1300" w:type="dxa"/>
          </w:tcPr>
          <w:p w14:paraId="2E9BD53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Antibiotic</w:t>
            </w:r>
          </w:p>
        </w:tc>
        <w:tc>
          <w:tcPr>
            <w:tcW w:w="1100" w:type="dxa"/>
          </w:tcPr>
          <w:p w14:paraId="2B4EE7D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72.4 ± 5.8</w:t>
            </w:r>
          </w:p>
        </w:tc>
        <w:tc>
          <w:tcPr>
            <w:tcW w:w="1100" w:type="dxa"/>
          </w:tcPr>
          <w:p w14:paraId="0D20BC3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84.2 ± 4.1</w:t>
            </w:r>
          </w:p>
        </w:tc>
        <w:tc>
          <w:tcPr>
            <w:tcW w:w="1100" w:type="dxa"/>
          </w:tcPr>
          <w:p w14:paraId="3BE111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96.2 ± 1.8</w:t>
            </w:r>
          </w:p>
        </w:tc>
        <w:tc>
          <w:tcPr>
            <w:tcW w:w="1100" w:type="dxa"/>
          </w:tcPr>
          <w:p w14:paraId="44626F5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98.8 ± 0.7</w:t>
            </w:r>
          </w:p>
        </w:tc>
        <w:tc>
          <w:tcPr>
            <w:tcW w:w="800" w:type="dxa"/>
          </w:tcPr>
          <w:p w14:paraId="0F568D2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06714F7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4FD4B63D" w14:textId="77777777" w:rsidTr="00DE7E3A">
        <w:tc>
          <w:tcPr>
            <w:tcW w:w="1400" w:type="dxa"/>
          </w:tcPr>
          <w:p w14:paraId="1D41D66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Sulfamethoxazole</w:t>
            </w:r>
          </w:p>
        </w:tc>
        <w:tc>
          <w:tcPr>
            <w:tcW w:w="1300" w:type="dxa"/>
          </w:tcPr>
          <w:p w14:paraId="01CBFDB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Antibiotic</w:t>
            </w:r>
          </w:p>
        </w:tc>
        <w:tc>
          <w:tcPr>
            <w:tcW w:w="1100" w:type="dxa"/>
          </w:tcPr>
          <w:p w14:paraId="09D0774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68.1 ± 6.3</w:t>
            </w:r>
          </w:p>
        </w:tc>
        <w:tc>
          <w:tcPr>
            <w:tcW w:w="1100" w:type="dxa"/>
          </w:tcPr>
          <w:p w14:paraId="1D7D6C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81.5 ± 4.9</w:t>
            </w:r>
          </w:p>
        </w:tc>
        <w:tc>
          <w:tcPr>
            <w:tcW w:w="1100" w:type="dxa"/>
          </w:tcPr>
          <w:p w14:paraId="6FA871C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95.7 ± 2.0</w:t>
            </w:r>
          </w:p>
        </w:tc>
        <w:tc>
          <w:tcPr>
            <w:tcW w:w="1100" w:type="dxa"/>
          </w:tcPr>
          <w:p w14:paraId="2C21E2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98.5 ± 0.8</w:t>
            </w:r>
          </w:p>
        </w:tc>
        <w:tc>
          <w:tcPr>
            <w:tcW w:w="800" w:type="dxa"/>
          </w:tcPr>
          <w:p w14:paraId="2AFC479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2B53FB1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0BDC6A16" w14:textId="77777777" w:rsidTr="00DE7E3A">
        <w:tc>
          <w:tcPr>
            <w:tcW w:w="1400" w:type="dxa"/>
          </w:tcPr>
          <w:p w14:paraId="2E6018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Estrone (E1)</w:t>
            </w:r>
          </w:p>
        </w:tc>
        <w:tc>
          <w:tcPr>
            <w:tcW w:w="1300" w:type="dxa"/>
          </w:tcPr>
          <w:p w14:paraId="37A922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Estrogen</w:t>
            </w:r>
          </w:p>
        </w:tc>
        <w:tc>
          <w:tcPr>
            <w:tcW w:w="1100" w:type="dxa"/>
          </w:tcPr>
          <w:p w14:paraId="6EAF935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55.2 ± 8.2</w:t>
            </w:r>
          </w:p>
        </w:tc>
        <w:tc>
          <w:tcPr>
            <w:tcW w:w="1100" w:type="dxa"/>
          </w:tcPr>
          <w:p w14:paraId="60B4EF4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73.8 ± 6.3</w:t>
            </w:r>
          </w:p>
        </w:tc>
        <w:tc>
          <w:tcPr>
            <w:tcW w:w="1100" w:type="dxa"/>
          </w:tcPr>
          <w:p w14:paraId="184CACA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93.1 ± 2.6</w:t>
            </w:r>
          </w:p>
        </w:tc>
        <w:tc>
          <w:tcPr>
            <w:tcW w:w="1100" w:type="dxa"/>
          </w:tcPr>
          <w:p w14:paraId="508809B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98.2 ± 0.9</w:t>
            </w:r>
          </w:p>
        </w:tc>
        <w:tc>
          <w:tcPr>
            <w:tcW w:w="800" w:type="dxa"/>
          </w:tcPr>
          <w:p w14:paraId="0DE967C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 ng/L</w:t>
            </w:r>
          </w:p>
        </w:tc>
        <w:tc>
          <w:tcPr>
            <w:tcW w:w="800" w:type="dxa"/>
          </w:tcPr>
          <w:p w14:paraId="4E4017C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57A2DBE4" w14:textId="77777777" w:rsidTr="00DE7E3A">
        <w:tc>
          <w:tcPr>
            <w:tcW w:w="1400" w:type="dxa"/>
          </w:tcPr>
          <w:p w14:paraId="21DE841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17β-Estradiol (E2)</w:t>
            </w:r>
          </w:p>
        </w:tc>
        <w:tc>
          <w:tcPr>
            <w:tcW w:w="1300" w:type="dxa"/>
          </w:tcPr>
          <w:p w14:paraId="707E45B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Estrogen</w:t>
            </w:r>
          </w:p>
        </w:tc>
        <w:tc>
          <w:tcPr>
            <w:tcW w:w="1100" w:type="dxa"/>
          </w:tcPr>
          <w:p w14:paraId="3746464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61.3 ± 7.9</w:t>
            </w:r>
          </w:p>
        </w:tc>
        <w:tc>
          <w:tcPr>
            <w:tcW w:w="1100" w:type="dxa"/>
          </w:tcPr>
          <w:p w14:paraId="1E027A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76.2 ± 5.8</w:t>
            </w:r>
          </w:p>
        </w:tc>
        <w:tc>
          <w:tcPr>
            <w:tcW w:w="1100" w:type="dxa"/>
          </w:tcPr>
          <w:p w14:paraId="6010BB9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94.3 ± 2.2</w:t>
            </w:r>
          </w:p>
        </w:tc>
        <w:tc>
          <w:tcPr>
            <w:tcW w:w="1100" w:type="dxa"/>
          </w:tcPr>
          <w:p w14:paraId="7CF916D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98.7 ± 0.6</w:t>
            </w:r>
          </w:p>
        </w:tc>
        <w:tc>
          <w:tcPr>
            <w:tcW w:w="800" w:type="dxa"/>
          </w:tcPr>
          <w:p w14:paraId="7AED725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 ng/L</w:t>
            </w:r>
          </w:p>
        </w:tc>
        <w:tc>
          <w:tcPr>
            <w:tcW w:w="800" w:type="dxa"/>
          </w:tcPr>
          <w:p w14:paraId="0249789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57DA60FB" w14:textId="77777777" w:rsidTr="00DE7E3A">
        <w:tc>
          <w:tcPr>
            <w:tcW w:w="1400" w:type="dxa"/>
          </w:tcPr>
          <w:p w14:paraId="1DDAA0C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17α-Ethinylestradiol (EE2)</w:t>
            </w:r>
          </w:p>
        </w:tc>
        <w:tc>
          <w:tcPr>
            <w:tcW w:w="1300" w:type="dxa"/>
          </w:tcPr>
          <w:p w14:paraId="6756F92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Synthetic estrogen</w:t>
            </w:r>
          </w:p>
        </w:tc>
        <w:tc>
          <w:tcPr>
            <w:tcW w:w="1100" w:type="dxa"/>
          </w:tcPr>
          <w:p w14:paraId="0EA1984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48.6 ± 9.4</w:t>
            </w:r>
          </w:p>
        </w:tc>
        <w:tc>
          <w:tcPr>
            <w:tcW w:w="1100" w:type="dxa"/>
          </w:tcPr>
          <w:p w14:paraId="685C85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67.4 ± 7.2</w:t>
            </w:r>
          </w:p>
        </w:tc>
        <w:tc>
          <w:tcPr>
            <w:tcW w:w="1100" w:type="dxa"/>
          </w:tcPr>
          <w:p w14:paraId="4088122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92.1 ± 3.0</w:t>
            </w:r>
          </w:p>
        </w:tc>
        <w:tc>
          <w:tcPr>
            <w:tcW w:w="1100" w:type="dxa"/>
          </w:tcPr>
          <w:p w14:paraId="3F2C413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97.8 ± 1.0</w:t>
            </w:r>
          </w:p>
        </w:tc>
        <w:tc>
          <w:tcPr>
            <w:tcW w:w="800" w:type="dxa"/>
          </w:tcPr>
          <w:p w14:paraId="1FCEFB4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0.035 ng/L</w:t>
            </w:r>
          </w:p>
        </w:tc>
        <w:tc>
          <w:tcPr>
            <w:tcW w:w="800" w:type="dxa"/>
          </w:tcPr>
          <w:p w14:paraId="6289B46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4CAD3B00" w14:textId="77777777" w:rsidTr="00DE7E3A">
        <w:tc>
          <w:tcPr>
            <w:tcW w:w="9800" w:type="dxa"/>
            <w:gridSpan w:val="8"/>
          </w:tcPr>
          <w:p w14:paraId="6FC7524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Endocrine Disruptors</w:t>
            </w:r>
          </w:p>
        </w:tc>
      </w:tr>
      <w:tr w:rsidR="00D6251E" w:rsidRPr="00DE7E3A" w14:paraId="1DB0EF9E" w14:textId="77777777" w:rsidTr="00DE7E3A">
        <w:tc>
          <w:tcPr>
            <w:tcW w:w="1400" w:type="dxa"/>
          </w:tcPr>
          <w:p w14:paraId="2CBD3F8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Bisphenol A (BPA)</w:t>
            </w:r>
          </w:p>
        </w:tc>
        <w:tc>
          <w:tcPr>
            <w:tcW w:w="1300" w:type="dxa"/>
          </w:tcPr>
          <w:p w14:paraId="733BC1D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Plasticizer</w:t>
            </w:r>
          </w:p>
        </w:tc>
        <w:tc>
          <w:tcPr>
            <w:tcW w:w="1100" w:type="dxa"/>
          </w:tcPr>
          <w:p w14:paraId="56872E3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44.2 ± 10.1</w:t>
            </w:r>
          </w:p>
        </w:tc>
        <w:tc>
          <w:tcPr>
            <w:tcW w:w="1100" w:type="dxa"/>
          </w:tcPr>
          <w:p w14:paraId="1B05C6B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65.7 ± 8.3</w:t>
            </w:r>
          </w:p>
        </w:tc>
        <w:tc>
          <w:tcPr>
            <w:tcW w:w="1100" w:type="dxa"/>
          </w:tcPr>
          <w:p w14:paraId="47A5D55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91.7 ± 3.2</w:t>
            </w:r>
          </w:p>
        </w:tc>
        <w:tc>
          <w:tcPr>
            <w:tcW w:w="1100" w:type="dxa"/>
          </w:tcPr>
          <w:p w14:paraId="3FF6498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97.4 ± 1.2</w:t>
            </w:r>
          </w:p>
        </w:tc>
        <w:tc>
          <w:tcPr>
            <w:tcW w:w="800" w:type="dxa"/>
          </w:tcPr>
          <w:p w14:paraId="6670124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747A94F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1A68EBDE" w14:textId="77777777" w:rsidTr="00DE7E3A">
        <w:tc>
          <w:tcPr>
            <w:tcW w:w="1400" w:type="dxa"/>
          </w:tcPr>
          <w:p w14:paraId="27E542D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Nonylphenol (NP)</w:t>
            </w:r>
          </w:p>
        </w:tc>
        <w:tc>
          <w:tcPr>
            <w:tcW w:w="1300" w:type="dxa"/>
          </w:tcPr>
          <w:p w14:paraId="2142D02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Surfactant</w:t>
            </w:r>
          </w:p>
        </w:tc>
        <w:tc>
          <w:tcPr>
            <w:tcW w:w="1100" w:type="dxa"/>
          </w:tcPr>
          <w:p w14:paraId="1B3961E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38.7 ± 11.2</w:t>
            </w:r>
          </w:p>
        </w:tc>
        <w:tc>
          <w:tcPr>
            <w:tcW w:w="1100" w:type="dxa"/>
          </w:tcPr>
          <w:p w14:paraId="036CE7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61.2 ± 9.1</w:t>
            </w:r>
          </w:p>
        </w:tc>
        <w:tc>
          <w:tcPr>
            <w:tcW w:w="1100" w:type="dxa"/>
          </w:tcPr>
          <w:p w14:paraId="03FB0A6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90.4 ± 3.5</w:t>
            </w:r>
          </w:p>
        </w:tc>
        <w:tc>
          <w:tcPr>
            <w:tcW w:w="1100" w:type="dxa"/>
          </w:tcPr>
          <w:p w14:paraId="50C9C0A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97.1 ± 1.3</w:t>
            </w:r>
          </w:p>
        </w:tc>
        <w:tc>
          <w:tcPr>
            <w:tcW w:w="800" w:type="dxa"/>
          </w:tcPr>
          <w:p w14:paraId="66F1380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w:t>
            </w:r>
          </w:p>
        </w:tc>
        <w:tc>
          <w:tcPr>
            <w:tcW w:w="800" w:type="dxa"/>
          </w:tcPr>
          <w:p w14:paraId="4EFEA76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04D7BD8D" w14:textId="77777777" w:rsidTr="00DE7E3A">
        <w:tc>
          <w:tcPr>
            <w:tcW w:w="1400" w:type="dxa"/>
          </w:tcPr>
          <w:p w14:paraId="462D682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4-tert-Octylphenol</w:t>
            </w:r>
          </w:p>
        </w:tc>
        <w:tc>
          <w:tcPr>
            <w:tcW w:w="1300" w:type="dxa"/>
          </w:tcPr>
          <w:p w14:paraId="5700BAF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Surfactant</w:t>
            </w:r>
          </w:p>
        </w:tc>
        <w:tc>
          <w:tcPr>
            <w:tcW w:w="1100" w:type="dxa"/>
          </w:tcPr>
          <w:p w14:paraId="52107A2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35.4 ± 11.8</w:t>
            </w:r>
          </w:p>
        </w:tc>
        <w:tc>
          <w:tcPr>
            <w:tcW w:w="1100" w:type="dxa"/>
          </w:tcPr>
          <w:p w14:paraId="5D2C0D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58.9 ± 9.7</w:t>
            </w:r>
          </w:p>
        </w:tc>
        <w:tc>
          <w:tcPr>
            <w:tcW w:w="1100" w:type="dxa"/>
          </w:tcPr>
          <w:p w14:paraId="7E05489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89.8 ± 3.8</w:t>
            </w:r>
          </w:p>
        </w:tc>
        <w:tc>
          <w:tcPr>
            <w:tcW w:w="1100" w:type="dxa"/>
          </w:tcPr>
          <w:p w14:paraId="2BBE716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96.7 ± 1.5</w:t>
            </w:r>
          </w:p>
        </w:tc>
        <w:tc>
          <w:tcPr>
            <w:tcW w:w="800" w:type="dxa"/>
          </w:tcPr>
          <w:p w14:paraId="4410ED8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5874687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2DEB7F6D" w14:textId="77777777" w:rsidTr="00DE7E3A">
        <w:tc>
          <w:tcPr>
            <w:tcW w:w="1400" w:type="dxa"/>
          </w:tcPr>
          <w:p w14:paraId="638F7F6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Atrazine</w:t>
            </w:r>
          </w:p>
        </w:tc>
        <w:tc>
          <w:tcPr>
            <w:tcW w:w="1300" w:type="dxa"/>
          </w:tcPr>
          <w:p w14:paraId="13182A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Herbicide</w:t>
            </w:r>
          </w:p>
        </w:tc>
        <w:tc>
          <w:tcPr>
            <w:tcW w:w="1100" w:type="dxa"/>
          </w:tcPr>
          <w:p w14:paraId="212BE8E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31.2 ± 12.4</w:t>
            </w:r>
          </w:p>
        </w:tc>
        <w:tc>
          <w:tcPr>
            <w:tcW w:w="1100" w:type="dxa"/>
          </w:tcPr>
          <w:p w14:paraId="2C92BCC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54.6 ± 10.3</w:t>
            </w:r>
          </w:p>
        </w:tc>
        <w:tc>
          <w:tcPr>
            <w:tcW w:w="1100" w:type="dxa"/>
          </w:tcPr>
          <w:p w14:paraId="14604C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88.5 ± 4.1</w:t>
            </w:r>
          </w:p>
        </w:tc>
        <w:tc>
          <w:tcPr>
            <w:tcW w:w="1100" w:type="dxa"/>
          </w:tcPr>
          <w:p w14:paraId="4D5CCA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96.2 ± 1.7</w:t>
            </w:r>
          </w:p>
        </w:tc>
        <w:tc>
          <w:tcPr>
            <w:tcW w:w="800" w:type="dxa"/>
          </w:tcPr>
          <w:p w14:paraId="7BD4024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0F6843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7886EBB6" w14:textId="77777777" w:rsidTr="00DE7E3A">
        <w:tc>
          <w:tcPr>
            <w:tcW w:w="1400" w:type="dxa"/>
          </w:tcPr>
          <w:p w14:paraId="3E843BE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Diazinon</w:t>
            </w:r>
          </w:p>
        </w:tc>
        <w:tc>
          <w:tcPr>
            <w:tcW w:w="1300" w:type="dxa"/>
          </w:tcPr>
          <w:p w14:paraId="71FA2B4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Insecticide</w:t>
            </w:r>
          </w:p>
        </w:tc>
        <w:tc>
          <w:tcPr>
            <w:tcW w:w="1100" w:type="dxa"/>
          </w:tcPr>
          <w:p w14:paraId="255B75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42.6 ± 10.8</w:t>
            </w:r>
          </w:p>
        </w:tc>
        <w:tc>
          <w:tcPr>
            <w:tcW w:w="1100" w:type="dxa"/>
          </w:tcPr>
          <w:p w14:paraId="40C00AC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63.8 ± 8.7</w:t>
            </w:r>
          </w:p>
        </w:tc>
        <w:tc>
          <w:tcPr>
            <w:tcW w:w="1100" w:type="dxa"/>
          </w:tcPr>
          <w:p w14:paraId="2269721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90.9 ± 3.3</w:t>
            </w:r>
          </w:p>
        </w:tc>
        <w:tc>
          <w:tcPr>
            <w:tcW w:w="1100" w:type="dxa"/>
          </w:tcPr>
          <w:p w14:paraId="4249DB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97.0 ± 1.2</w:t>
            </w:r>
          </w:p>
        </w:tc>
        <w:tc>
          <w:tcPr>
            <w:tcW w:w="800" w:type="dxa"/>
          </w:tcPr>
          <w:p w14:paraId="268426B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w:t>
            </w:r>
          </w:p>
        </w:tc>
        <w:tc>
          <w:tcPr>
            <w:tcW w:w="800" w:type="dxa"/>
          </w:tcPr>
          <w:p w14:paraId="36CD2EB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0649C401" w14:textId="77777777" w:rsidTr="00DE7E3A">
        <w:tc>
          <w:tcPr>
            <w:tcW w:w="9800" w:type="dxa"/>
            <w:gridSpan w:val="8"/>
          </w:tcPr>
          <w:p w14:paraId="6B0DAA4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Heavy Metals (avg.)</w:t>
            </w:r>
          </w:p>
        </w:tc>
      </w:tr>
      <w:tr w:rsidR="00D6251E" w:rsidRPr="00DE7E3A" w14:paraId="0DFB40F3" w14:textId="77777777" w:rsidTr="00DE7E3A">
        <w:tc>
          <w:tcPr>
            <w:tcW w:w="1400" w:type="dxa"/>
          </w:tcPr>
          <w:p w14:paraId="56F110F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Lead (Pb)</w:t>
            </w:r>
          </w:p>
        </w:tc>
        <w:tc>
          <w:tcPr>
            <w:tcW w:w="1300" w:type="dxa"/>
          </w:tcPr>
          <w:p w14:paraId="79257D5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Heavy metal</w:t>
            </w:r>
          </w:p>
        </w:tc>
        <w:tc>
          <w:tcPr>
            <w:tcW w:w="1100" w:type="dxa"/>
          </w:tcPr>
          <w:p w14:paraId="2E4685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52.3 ± 9.4</w:t>
            </w:r>
          </w:p>
        </w:tc>
        <w:tc>
          <w:tcPr>
            <w:tcW w:w="1100" w:type="dxa"/>
          </w:tcPr>
          <w:p w14:paraId="626CA16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74.2 ± 6.8</w:t>
            </w:r>
          </w:p>
        </w:tc>
        <w:tc>
          <w:tcPr>
            <w:tcW w:w="1100" w:type="dxa"/>
          </w:tcPr>
          <w:p w14:paraId="7C78519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91.3 ± 2.9</w:t>
            </w:r>
          </w:p>
        </w:tc>
        <w:tc>
          <w:tcPr>
            <w:tcW w:w="1100" w:type="dxa"/>
          </w:tcPr>
          <w:p w14:paraId="2EDF0D0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96.8 ± 1.4</w:t>
            </w:r>
          </w:p>
        </w:tc>
        <w:tc>
          <w:tcPr>
            <w:tcW w:w="800" w:type="dxa"/>
          </w:tcPr>
          <w:p w14:paraId="3E02E90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 µg/L</w:t>
            </w:r>
          </w:p>
        </w:tc>
        <w:tc>
          <w:tcPr>
            <w:tcW w:w="800" w:type="dxa"/>
          </w:tcPr>
          <w:p w14:paraId="10B1BF0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2FDE5F6C" w14:textId="77777777" w:rsidTr="00DE7E3A">
        <w:tc>
          <w:tcPr>
            <w:tcW w:w="1400" w:type="dxa"/>
          </w:tcPr>
          <w:p w14:paraId="7AF75A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Cadmium (Cd)</w:t>
            </w:r>
          </w:p>
        </w:tc>
        <w:tc>
          <w:tcPr>
            <w:tcW w:w="1300" w:type="dxa"/>
          </w:tcPr>
          <w:p w14:paraId="7E6A2B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Heavy metal</w:t>
            </w:r>
          </w:p>
        </w:tc>
        <w:tc>
          <w:tcPr>
            <w:tcW w:w="1100" w:type="dxa"/>
          </w:tcPr>
          <w:p w14:paraId="4A16588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48.7 ± 10.2</w:t>
            </w:r>
          </w:p>
        </w:tc>
        <w:tc>
          <w:tcPr>
            <w:tcW w:w="1100" w:type="dxa"/>
          </w:tcPr>
          <w:p w14:paraId="564F20D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71.6 ± 7.4</w:t>
            </w:r>
          </w:p>
        </w:tc>
        <w:tc>
          <w:tcPr>
            <w:tcW w:w="1100" w:type="dxa"/>
          </w:tcPr>
          <w:p w14:paraId="34AAA96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90.1 ± 3.3</w:t>
            </w:r>
          </w:p>
        </w:tc>
        <w:tc>
          <w:tcPr>
            <w:tcW w:w="1100" w:type="dxa"/>
          </w:tcPr>
          <w:p w14:paraId="12308B3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96.2 ± 1.6</w:t>
            </w:r>
          </w:p>
        </w:tc>
        <w:tc>
          <w:tcPr>
            <w:tcW w:w="800" w:type="dxa"/>
          </w:tcPr>
          <w:p w14:paraId="6B5A61F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 µg/L</w:t>
            </w:r>
          </w:p>
        </w:tc>
        <w:tc>
          <w:tcPr>
            <w:tcW w:w="800" w:type="dxa"/>
          </w:tcPr>
          <w:p w14:paraId="056C895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718DC1FA" w14:textId="77777777" w:rsidTr="00DE7E3A">
        <w:tc>
          <w:tcPr>
            <w:tcW w:w="1400" w:type="dxa"/>
          </w:tcPr>
          <w:p w14:paraId="00FF734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Chromium (Cr)</w:t>
            </w:r>
          </w:p>
        </w:tc>
        <w:tc>
          <w:tcPr>
            <w:tcW w:w="1300" w:type="dxa"/>
          </w:tcPr>
          <w:p w14:paraId="62F6116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Heavy metal</w:t>
            </w:r>
          </w:p>
        </w:tc>
        <w:tc>
          <w:tcPr>
            <w:tcW w:w="1100" w:type="dxa"/>
          </w:tcPr>
          <w:p w14:paraId="1505A4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56.1 ± 8.7</w:t>
            </w:r>
          </w:p>
        </w:tc>
        <w:tc>
          <w:tcPr>
            <w:tcW w:w="1100" w:type="dxa"/>
          </w:tcPr>
          <w:p w14:paraId="149728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76.8 ± 6.2</w:t>
            </w:r>
          </w:p>
        </w:tc>
        <w:tc>
          <w:tcPr>
            <w:tcW w:w="1100" w:type="dxa"/>
          </w:tcPr>
          <w:p w14:paraId="05F2A44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92.4 ± 2.6</w:t>
            </w:r>
          </w:p>
        </w:tc>
        <w:tc>
          <w:tcPr>
            <w:tcW w:w="1100" w:type="dxa"/>
          </w:tcPr>
          <w:p w14:paraId="48955DD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97.3 ± 1.1</w:t>
            </w:r>
          </w:p>
        </w:tc>
        <w:tc>
          <w:tcPr>
            <w:tcW w:w="800" w:type="dxa"/>
          </w:tcPr>
          <w:p w14:paraId="253DA20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50 µg/L</w:t>
            </w:r>
          </w:p>
        </w:tc>
        <w:tc>
          <w:tcPr>
            <w:tcW w:w="800" w:type="dxa"/>
          </w:tcPr>
          <w:p w14:paraId="487CA9E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1178E535" w14:textId="77777777" w:rsidTr="00DE7E3A">
        <w:tc>
          <w:tcPr>
            <w:tcW w:w="1400" w:type="dxa"/>
          </w:tcPr>
          <w:p w14:paraId="6657783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Arsenic (As)</w:t>
            </w:r>
          </w:p>
        </w:tc>
        <w:tc>
          <w:tcPr>
            <w:tcW w:w="1300" w:type="dxa"/>
          </w:tcPr>
          <w:p w14:paraId="44AC0BD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Heavy metal</w:t>
            </w:r>
          </w:p>
        </w:tc>
        <w:tc>
          <w:tcPr>
            <w:tcW w:w="1100" w:type="dxa"/>
          </w:tcPr>
          <w:p w14:paraId="174EBE2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51.4 ± 9.8</w:t>
            </w:r>
          </w:p>
        </w:tc>
        <w:tc>
          <w:tcPr>
            <w:tcW w:w="1100" w:type="dxa"/>
          </w:tcPr>
          <w:p w14:paraId="42E1947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73.5 ± 7.1</w:t>
            </w:r>
          </w:p>
        </w:tc>
        <w:tc>
          <w:tcPr>
            <w:tcW w:w="1100" w:type="dxa"/>
          </w:tcPr>
          <w:p w14:paraId="630A73B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90.8 ± 3.1</w:t>
            </w:r>
          </w:p>
        </w:tc>
        <w:tc>
          <w:tcPr>
            <w:tcW w:w="1100" w:type="dxa"/>
          </w:tcPr>
          <w:p w14:paraId="2305704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96.5 ± 1.5</w:t>
            </w:r>
          </w:p>
        </w:tc>
        <w:tc>
          <w:tcPr>
            <w:tcW w:w="800" w:type="dxa"/>
          </w:tcPr>
          <w:p w14:paraId="22B0E3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 µg/L</w:t>
            </w:r>
          </w:p>
        </w:tc>
        <w:tc>
          <w:tcPr>
            <w:tcW w:w="800" w:type="dxa"/>
          </w:tcPr>
          <w:p w14:paraId="7715916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1948EAFD" w14:textId="77777777" w:rsidTr="00DE7E3A">
        <w:tc>
          <w:tcPr>
            <w:tcW w:w="1400" w:type="dxa"/>
          </w:tcPr>
          <w:p w14:paraId="65FDD73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Nickel (Ni)</w:t>
            </w:r>
          </w:p>
        </w:tc>
        <w:tc>
          <w:tcPr>
            <w:tcW w:w="1300" w:type="dxa"/>
          </w:tcPr>
          <w:p w14:paraId="5636B60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Heavy metal</w:t>
            </w:r>
          </w:p>
        </w:tc>
        <w:tc>
          <w:tcPr>
            <w:tcW w:w="1100" w:type="dxa"/>
          </w:tcPr>
          <w:p w14:paraId="0BF1B18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45.8 ± 10.6</w:t>
            </w:r>
          </w:p>
        </w:tc>
        <w:tc>
          <w:tcPr>
            <w:tcW w:w="1100" w:type="dxa"/>
          </w:tcPr>
          <w:p w14:paraId="5233C4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69.4 ± 7.8</w:t>
            </w:r>
          </w:p>
        </w:tc>
        <w:tc>
          <w:tcPr>
            <w:tcW w:w="1100" w:type="dxa"/>
          </w:tcPr>
          <w:p w14:paraId="26FEDCB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88.9 ± 3.7</w:t>
            </w:r>
          </w:p>
        </w:tc>
        <w:tc>
          <w:tcPr>
            <w:tcW w:w="1100" w:type="dxa"/>
          </w:tcPr>
          <w:p w14:paraId="1A67614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95.8 ± 1.8</w:t>
            </w:r>
          </w:p>
        </w:tc>
        <w:tc>
          <w:tcPr>
            <w:tcW w:w="800" w:type="dxa"/>
          </w:tcPr>
          <w:p w14:paraId="0B0ADA9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 µg/L</w:t>
            </w:r>
          </w:p>
        </w:tc>
        <w:tc>
          <w:tcPr>
            <w:tcW w:w="800" w:type="dxa"/>
          </w:tcPr>
          <w:p w14:paraId="3A70ED3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47AB69A9" w14:textId="77777777" w:rsidTr="00DE7E3A">
        <w:tc>
          <w:tcPr>
            <w:tcW w:w="9800" w:type="dxa"/>
            <w:gridSpan w:val="8"/>
          </w:tcPr>
          <w:p w14:paraId="1D6BB2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PFAS &amp; Microplastics</w:t>
            </w:r>
          </w:p>
        </w:tc>
      </w:tr>
      <w:tr w:rsidR="00D6251E" w:rsidRPr="00DE7E3A" w14:paraId="10A12361" w14:textId="77777777" w:rsidTr="00DE7E3A">
        <w:tc>
          <w:tcPr>
            <w:tcW w:w="1400" w:type="dxa"/>
          </w:tcPr>
          <w:p w14:paraId="160142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PFOS</w:t>
            </w:r>
          </w:p>
        </w:tc>
        <w:tc>
          <w:tcPr>
            <w:tcW w:w="1300" w:type="dxa"/>
          </w:tcPr>
          <w:p w14:paraId="4969943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PFAS</w:t>
            </w:r>
          </w:p>
        </w:tc>
        <w:tc>
          <w:tcPr>
            <w:tcW w:w="1100" w:type="dxa"/>
          </w:tcPr>
          <w:p w14:paraId="7268CA9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18.4 ± 14.2</w:t>
            </w:r>
          </w:p>
        </w:tc>
        <w:tc>
          <w:tcPr>
            <w:tcW w:w="1100" w:type="dxa"/>
          </w:tcPr>
          <w:p w14:paraId="3931DCC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38.2 ± 12.1</w:t>
            </w:r>
          </w:p>
        </w:tc>
        <w:tc>
          <w:tcPr>
            <w:tcW w:w="1100" w:type="dxa"/>
          </w:tcPr>
          <w:p w14:paraId="48F0706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69.3 ± 5.4</w:t>
            </w:r>
          </w:p>
        </w:tc>
        <w:tc>
          <w:tcPr>
            <w:tcW w:w="1100" w:type="dxa"/>
          </w:tcPr>
          <w:p w14:paraId="4B13ECC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88.7 ± 2.8</w:t>
            </w:r>
          </w:p>
        </w:tc>
        <w:tc>
          <w:tcPr>
            <w:tcW w:w="800" w:type="dxa"/>
          </w:tcPr>
          <w:p w14:paraId="566FDA0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0.65 µg/L</w:t>
            </w:r>
          </w:p>
        </w:tc>
        <w:tc>
          <w:tcPr>
            <w:tcW w:w="800" w:type="dxa"/>
          </w:tcPr>
          <w:p w14:paraId="1C0BED7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2D13682E" w14:textId="77777777" w:rsidTr="00DE7E3A">
        <w:tc>
          <w:tcPr>
            <w:tcW w:w="1400" w:type="dxa"/>
          </w:tcPr>
          <w:p w14:paraId="10D7087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PFOA</w:t>
            </w:r>
          </w:p>
        </w:tc>
        <w:tc>
          <w:tcPr>
            <w:tcW w:w="1300" w:type="dxa"/>
          </w:tcPr>
          <w:p w14:paraId="246CC15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PFAS</w:t>
            </w:r>
          </w:p>
        </w:tc>
        <w:tc>
          <w:tcPr>
            <w:tcW w:w="1100" w:type="dxa"/>
          </w:tcPr>
          <w:p w14:paraId="7B41964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15.6 ± 15.1</w:t>
            </w:r>
          </w:p>
        </w:tc>
        <w:tc>
          <w:tcPr>
            <w:tcW w:w="1100" w:type="dxa"/>
          </w:tcPr>
          <w:p w14:paraId="1E2EBE5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35.7 ± 13.2</w:t>
            </w:r>
          </w:p>
        </w:tc>
        <w:tc>
          <w:tcPr>
            <w:tcW w:w="1100" w:type="dxa"/>
          </w:tcPr>
          <w:p w14:paraId="0248F16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67.8 ± 6.1</w:t>
            </w:r>
          </w:p>
        </w:tc>
        <w:tc>
          <w:tcPr>
            <w:tcW w:w="1100" w:type="dxa"/>
          </w:tcPr>
          <w:p w14:paraId="43613E6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87.2 ± 3.1</w:t>
            </w:r>
          </w:p>
        </w:tc>
        <w:tc>
          <w:tcPr>
            <w:tcW w:w="800" w:type="dxa"/>
          </w:tcPr>
          <w:p w14:paraId="04A2D9C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0.87 µg/L</w:t>
            </w:r>
          </w:p>
        </w:tc>
        <w:tc>
          <w:tcPr>
            <w:tcW w:w="800" w:type="dxa"/>
          </w:tcPr>
          <w:p w14:paraId="768A275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1DADAF68" w14:textId="77777777" w:rsidTr="00DE7E3A">
        <w:tc>
          <w:tcPr>
            <w:tcW w:w="1400" w:type="dxa"/>
          </w:tcPr>
          <w:p w14:paraId="5C907C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Other PFAS (avg.)</w:t>
            </w:r>
          </w:p>
        </w:tc>
        <w:tc>
          <w:tcPr>
            <w:tcW w:w="1300" w:type="dxa"/>
          </w:tcPr>
          <w:p w14:paraId="2DF4330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PFAS</w:t>
            </w:r>
          </w:p>
        </w:tc>
        <w:tc>
          <w:tcPr>
            <w:tcW w:w="1100" w:type="dxa"/>
          </w:tcPr>
          <w:p w14:paraId="0C5561E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12.3 ± 16.4</w:t>
            </w:r>
          </w:p>
        </w:tc>
        <w:tc>
          <w:tcPr>
            <w:tcW w:w="1100" w:type="dxa"/>
          </w:tcPr>
          <w:p w14:paraId="429927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32.1 ± 14.6</w:t>
            </w:r>
          </w:p>
        </w:tc>
        <w:tc>
          <w:tcPr>
            <w:tcW w:w="1100" w:type="dxa"/>
          </w:tcPr>
          <w:p w14:paraId="089F1B2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65.1 ± 7.2</w:t>
            </w:r>
          </w:p>
        </w:tc>
        <w:tc>
          <w:tcPr>
            <w:tcW w:w="1100" w:type="dxa"/>
          </w:tcPr>
          <w:p w14:paraId="5AE17AA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85.6 ± 3.5</w:t>
            </w:r>
          </w:p>
        </w:tc>
        <w:tc>
          <w:tcPr>
            <w:tcW w:w="800" w:type="dxa"/>
          </w:tcPr>
          <w:p w14:paraId="172AA66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Var.</w:t>
            </w:r>
          </w:p>
        </w:tc>
        <w:tc>
          <w:tcPr>
            <w:tcW w:w="800" w:type="dxa"/>
          </w:tcPr>
          <w:p w14:paraId="5A3E28B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r w:rsidR="00D6251E" w:rsidRPr="00DE7E3A" w14:paraId="6A3926D8" w14:textId="77777777" w:rsidTr="00DE7E3A">
        <w:tc>
          <w:tcPr>
            <w:tcW w:w="1400" w:type="dxa"/>
          </w:tcPr>
          <w:p w14:paraId="2B2EEC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Microplastics (&gt;1 µm)</w:t>
            </w:r>
          </w:p>
        </w:tc>
        <w:tc>
          <w:tcPr>
            <w:tcW w:w="1300" w:type="dxa"/>
          </w:tcPr>
          <w:p w14:paraId="4245A4C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Particle</w:t>
            </w:r>
          </w:p>
        </w:tc>
        <w:tc>
          <w:tcPr>
            <w:tcW w:w="1100" w:type="dxa"/>
          </w:tcPr>
          <w:p w14:paraId="04D0745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N/A</w:t>
            </w:r>
          </w:p>
        </w:tc>
        <w:tc>
          <w:tcPr>
            <w:tcW w:w="1100" w:type="dxa"/>
          </w:tcPr>
          <w:p w14:paraId="4C0AF61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78.4 ± 9.2</w:t>
            </w:r>
          </w:p>
        </w:tc>
        <w:tc>
          <w:tcPr>
            <w:tcW w:w="1100" w:type="dxa"/>
          </w:tcPr>
          <w:p w14:paraId="5B9049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95.6 ± 2.1</w:t>
            </w:r>
          </w:p>
        </w:tc>
        <w:tc>
          <w:tcPr>
            <w:tcW w:w="1100" w:type="dxa"/>
          </w:tcPr>
          <w:p w14:paraId="496E9E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98.7 ± 0.9</w:t>
            </w:r>
          </w:p>
        </w:tc>
        <w:tc>
          <w:tcPr>
            <w:tcW w:w="800" w:type="dxa"/>
          </w:tcPr>
          <w:p w14:paraId="33B98D2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800" w:type="dxa"/>
          </w:tcPr>
          <w:p w14:paraId="70683EA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r>
    </w:tbl>
    <w:p w14:paraId="2D942F12"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CAS = Conventional Activated Sludge (plant P-1 baseline); Standard MBR = unoptimised MBR control; XAI-AMBR = AI-optimised system (this study); Hybrid MBR-AOP = membrane bioreactor coupled with advanced oxidation (reference benchmark). N/A = not applicable (CAS has no membrane barrier for microplastics). Regulatory limits vary by jurisdiction; the most stringent applicable limit is shown.</w:t>
      </w:r>
    </w:p>
    <w:p w14:paraId="28DE9005" w14:textId="77777777" w:rsidR="00D6251E" w:rsidRPr="00DE7E3A" w:rsidRDefault="00D6251E" w:rsidP="00DE7E3A">
      <w:pPr>
        <w:spacing w:before="60" w:after="60"/>
        <w:jc w:val="both"/>
        <w:rPr>
          <w:rFonts w:ascii="Times New Roman" w:hAnsi="Times New Roman" w:cs="Times New Roman"/>
          <w:sz w:val="24"/>
          <w:szCs w:val="24"/>
        </w:rPr>
      </w:pPr>
    </w:p>
    <w:p w14:paraId="7D47D86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br w:type="page"/>
      </w:r>
    </w:p>
    <w:p w14:paraId="48468173" w14:textId="77777777" w:rsidR="00D6251E" w:rsidRPr="00DE7E3A" w:rsidRDefault="00000000" w:rsidP="00DE7E3A">
      <w:pPr>
        <w:pStyle w:val="Heading1"/>
        <w:jc w:val="both"/>
        <w:rPr>
          <w:rFonts w:ascii="Times New Roman" w:hAnsi="Times New Roman" w:cs="Times New Roman"/>
          <w:color w:val="auto"/>
          <w:sz w:val="24"/>
          <w:szCs w:val="24"/>
        </w:rPr>
      </w:pPr>
      <w:r w:rsidRPr="00DE7E3A">
        <w:rPr>
          <w:rFonts w:ascii="Times New Roman" w:hAnsi="Times New Roman" w:cs="Times New Roman"/>
          <w:color w:val="auto"/>
          <w:sz w:val="24"/>
          <w:szCs w:val="24"/>
        </w:rPr>
        <w:lastRenderedPageBreak/>
        <w:t>Table S5. SHAP Feature Importance Values (TMP Fouling Prediction)</w:t>
      </w:r>
    </w:p>
    <w:p w14:paraId="53E0E6ED"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Mean absolute SHAP values (|SHAP|) for all 18 process variables ranked by importance across all five plants and individually per plant. Higher |SHAP| values indicate greater influence on TMP prediction. Directionality describes the typical relationship between the variable and fouling (higher TMP).</w:t>
      </w:r>
    </w:p>
    <w:p w14:paraId="7607FD3E"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1920"/>
        <w:gridCol w:w="1170"/>
        <w:gridCol w:w="1147"/>
        <w:gridCol w:w="1416"/>
        <w:gridCol w:w="1137"/>
        <w:gridCol w:w="1243"/>
        <w:gridCol w:w="1767"/>
      </w:tblGrid>
      <w:tr w:rsidR="00D6251E" w:rsidRPr="00DE7E3A" w14:paraId="6570C1D0" w14:textId="77777777" w:rsidTr="00DE7E3A">
        <w:tc>
          <w:tcPr>
            <w:tcW w:w="2000" w:type="dxa"/>
          </w:tcPr>
          <w:p w14:paraId="2B8B29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Process Variable</w:t>
            </w:r>
          </w:p>
        </w:tc>
        <w:tc>
          <w:tcPr>
            <w:tcW w:w="1200" w:type="dxa"/>
          </w:tcPr>
          <w:p w14:paraId="14D6892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All Plants (mean |SHAP|)</w:t>
            </w:r>
          </w:p>
        </w:tc>
        <w:tc>
          <w:tcPr>
            <w:tcW w:w="1200" w:type="dxa"/>
          </w:tcPr>
          <w:p w14:paraId="0557960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P-1 (Delhi)</w:t>
            </w:r>
          </w:p>
        </w:tc>
        <w:tc>
          <w:tcPr>
            <w:tcW w:w="1200" w:type="dxa"/>
          </w:tcPr>
          <w:p w14:paraId="0C223DC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P-2 (Singapore)</w:t>
            </w:r>
          </w:p>
        </w:tc>
        <w:tc>
          <w:tcPr>
            <w:tcW w:w="1200" w:type="dxa"/>
          </w:tcPr>
          <w:p w14:paraId="18A851C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P-3 (KSA)</w:t>
            </w:r>
          </w:p>
        </w:tc>
        <w:tc>
          <w:tcPr>
            <w:tcW w:w="1200" w:type="dxa"/>
          </w:tcPr>
          <w:p w14:paraId="0C564DB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P-4 (Chennai)</w:t>
            </w:r>
          </w:p>
        </w:tc>
        <w:tc>
          <w:tcPr>
            <w:tcW w:w="1800" w:type="dxa"/>
          </w:tcPr>
          <w:p w14:paraId="65F0E43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Directionality</w:t>
            </w:r>
          </w:p>
        </w:tc>
      </w:tr>
      <w:tr w:rsidR="00D6251E" w:rsidRPr="00DE7E3A" w14:paraId="3B59C606" w14:textId="77777777" w:rsidTr="00DE7E3A">
        <w:tc>
          <w:tcPr>
            <w:tcW w:w="2000" w:type="dxa"/>
          </w:tcPr>
          <w:p w14:paraId="31C8379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MLSS (g/L)</w:t>
            </w:r>
          </w:p>
        </w:tc>
        <w:tc>
          <w:tcPr>
            <w:tcW w:w="1200" w:type="dxa"/>
          </w:tcPr>
          <w:p w14:paraId="690A16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3.41 ± 0.32</w:t>
            </w:r>
          </w:p>
        </w:tc>
        <w:tc>
          <w:tcPr>
            <w:tcW w:w="1200" w:type="dxa"/>
          </w:tcPr>
          <w:p w14:paraId="430DA9C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2.89 ± 0.28</w:t>
            </w:r>
          </w:p>
        </w:tc>
        <w:tc>
          <w:tcPr>
            <w:tcW w:w="1200" w:type="dxa"/>
          </w:tcPr>
          <w:p w14:paraId="7E3808F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3.12 ± 0.35</w:t>
            </w:r>
          </w:p>
        </w:tc>
        <w:tc>
          <w:tcPr>
            <w:tcW w:w="1200" w:type="dxa"/>
          </w:tcPr>
          <w:p w14:paraId="46BDEB3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3.67 ± 0.41</w:t>
            </w:r>
          </w:p>
        </w:tc>
        <w:tc>
          <w:tcPr>
            <w:tcW w:w="1200" w:type="dxa"/>
          </w:tcPr>
          <w:p w14:paraId="7EF5690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3.38 ± 0.38</w:t>
            </w:r>
          </w:p>
        </w:tc>
        <w:tc>
          <w:tcPr>
            <w:tcW w:w="1800" w:type="dxa"/>
          </w:tcPr>
          <w:p w14:paraId="27CB3FC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 (high MLSS → fouling)</w:t>
            </w:r>
          </w:p>
        </w:tc>
      </w:tr>
      <w:tr w:rsidR="00D6251E" w:rsidRPr="00DE7E3A" w14:paraId="66027257" w14:textId="77777777" w:rsidTr="00DE7E3A">
        <w:tc>
          <w:tcPr>
            <w:tcW w:w="2000" w:type="dxa"/>
          </w:tcPr>
          <w:p w14:paraId="7E0EB82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HRT (h)</w:t>
            </w:r>
          </w:p>
        </w:tc>
        <w:tc>
          <w:tcPr>
            <w:tcW w:w="1200" w:type="dxa"/>
          </w:tcPr>
          <w:p w14:paraId="15BAD60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2.87 ± 0.28</w:t>
            </w:r>
          </w:p>
        </w:tc>
        <w:tc>
          <w:tcPr>
            <w:tcW w:w="1200" w:type="dxa"/>
          </w:tcPr>
          <w:p w14:paraId="3BB1B7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3.21 ± 0.31</w:t>
            </w:r>
          </w:p>
        </w:tc>
        <w:tc>
          <w:tcPr>
            <w:tcW w:w="1200" w:type="dxa"/>
          </w:tcPr>
          <w:p w14:paraId="2BCAB4F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2.54 ± 0.29</w:t>
            </w:r>
          </w:p>
        </w:tc>
        <w:tc>
          <w:tcPr>
            <w:tcW w:w="1200" w:type="dxa"/>
          </w:tcPr>
          <w:p w14:paraId="1A8C60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3.04 ± 0.33</w:t>
            </w:r>
          </w:p>
        </w:tc>
        <w:tc>
          <w:tcPr>
            <w:tcW w:w="1200" w:type="dxa"/>
          </w:tcPr>
          <w:p w14:paraId="165E543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2.69 ± 0.27</w:t>
            </w:r>
          </w:p>
        </w:tc>
        <w:tc>
          <w:tcPr>
            <w:tcW w:w="1800" w:type="dxa"/>
          </w:tcPr>
          <w:p w14:paraId="3BD142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Negative (longer HRT → lower fouling)</w:t>
            </w:r>
          </w:p>
        </w:tc>
      </w:tr>
      <w:tr w:rsidR="00D6251E" w:rsidRPr="00DE7E3A" w14:paraId="777F3844" w14:textId="77777777" w:rsidTr="00DE7E3A">
        <w:tc>
          <w:tcPr>
            <w:tcW w:w="2000" w:type="dxa"/>
          </w:tcPr>
          <w:p w14:paraId="06E95C6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DO (mg/L)</w:t>
            </w:r>
          </w:p>
        </w:tc>
        <w:tc>
          <w:tcPr>
            <w:tcW w:w="1200" w:type="dxa"/>
          </w:tcPr>
          <w:p w14:paraId="418BC63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2.54 ± 0.24</w:t>
            </w:r>
          </w:p>
        </w:tc>
        <w:tc>
          <w:tcPr>
            <w:tcW w:w="1200" w:type="dxa"/>
          </w:tcPr>
          <w:p w14:paraId="2A403F8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2.78 ± 0.26</w:t>
            </w:r>
          </w:p>
        </w:tc>
        <w:tc>
          <w:tcPr>
            <w:tcW w:w="1200" w:type="dxa"/>
          </w:tcPr>
          <w:p w14:paraId="7DD1776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2.31 ± 0.22</w:t>
            </w:r>
          </w:p>
        </w:tc>
        <w:tc>
          <w:tcPr>
            <w:tcW w:w="1200" w:type="dxa"/>
          </w:tcPr>
          <w:p w14:paraId="67DDA8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2.62 ± 0.28</w:t>
            </w:r>
          </w:p>
        </w:tc>
        <w:tc>
          <w:tcPr>
            <w:tcW w:w="1200" w:type="dxa"/>
          </w:tcPr>
          <w:p w14:paraId="3D98A4E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2.45 ± 0.24</w:t>
            </w:r>
          </w:p>
        </w:tc>
        <w:tc>
          <w:tcPr>
            <w:tcW w:w="1800" w:type="dxa"/>
          </w:tcPr>
          <w:p w14:paraId="23FB372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Negative (higher DO → lower fouling)</w:t>
            </w:r>
          </w:p>
        </w:tc>
      </w:tr>
      <w:tr w:rsidR="00D6251E" w:rsidRPr="00DE7E3A" w14:paraId="6DA3B9D0" w14:textId="77777777" w:rsidTr="00DE7E3A">
        <w:tc>
          <w:tcPr>
            <w:tcW w:w="2000" w:type="dxa"/>
          </w:tcPr>
          <w:p w14:paraId="669E80E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F/M ratio (g COD/g VSS/d)</w:t>
            </w:r>
          </w:p>
        </w:tc>
        <w:tc>
          <w:tcPr>
            <w:tcW w:w="1200" w:type="dxa"/>
          </w:tcPr>
          <w:p w14:paraId="69C36BC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2.12 ± 0.21</w:t>
            </w:r>
          </w:p>
        </w:tc>
        <w:tc>
          <w:tcPr>
            <w:tcW w:w="1200" w:type="dxa"/>
          </w:tcPr>
          <w:p w14:paraId="090B10B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2.34 ± 0.24</w:t>
            </w:r>
          </w:p>
        </w:tc>
        <w:tc>
          <w:tcPr>
            <w:tcW w:w="1200" w:type="dxa"/>
          </w:tcPr>
          <w:p w14:paraId="088DA27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1.98 ± 0.20</w:t>
            </w:r>
          </w:p>
        </w:tc>
        <w:tc>
          <w:tcPr>
            <w:tcW w:w="1200" w:type="dxa"/>
          </w:tcPr>
          <w:p w14:paraId="3C9D679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2.18 ± 0.22</w:t>
            </w:r>
          </w:p>
        </w:tc>
        <w:tc>
          <w:tcPr>
            <w:tcW w:w="1200" w:type="dxa"/>
          </w:tcPr>
          <w:p w14:paraId="7D9D1CC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2.05 ± 0.21</w:t>
            </w:r>
          </w:p>
        </w:tc>
        <w:tc>
          <w:tcPr>
            <w:tcW w:w="1800" w:type="dxa"/>
          </w:tcPr>
          <w:p w14:paraId="0F66966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 (high F/M → fouling)</w:t>
            </w:r>
          </w:p>
        </w:tc>
      </w:tr>
      <w:tr w:rsidR="00D6251E" w:rsidRPr="00DE7E3A" w14:paraId="607F827F" w14:textId="77777777" w:rsidTr="00DE7E3A">
        <w:tc>
          <w:tcPr>
            <w:tcW w:w="2000" w:type="dxa"/>
          </w:tcPr>
          <w:p w14:paraId="3D1C51B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Temperature (°C)</w:t>
            </w:r>
          </w:p>
        </w:tc>
        <w:tc>
          <w:tcPr>
            <w:tcW w:w="1200" w:type="dxa"/>
          </w:tcPr>
          <w:p w14:paraId="02774B0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1.78 ± 0.18</w:t>
            </w:r>
          </w:p>
        </w:tc>
        <w:tc>
          <w:tcPr>
            <w:tcW w:w="1200" w:type="dxa"/>
          </w:tcPr>
          <w:p w14:paraId="3585D67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1.91 ± 0.20</w:t>
            </w:r>
          </w:p>
        </w:tc>
        <w:tc>
          <w:tcPr>
            <w:tcW w:w="1200" w:type="dxa"/>
          </w:tcPr>
          <w:p w14:paraId="6A821A7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1.67 ± 0.17</w:t>
            </w:r>
          </w:p>
        </w:tc>
        <w:tc>
          <w:tcPr>
            <w:tcW w:w="1200" w:type="dxa"/>
          </w:tcPr>
          <w:p w14:paraId="1C3DC8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1.84 ± 0.19</w:t>
            </w:r>
          </w:p>
        </w:tc>
        <w:tc>
          <w:tcPr>
            <w:tcW w:w="1200" w:type="dxa"/>
          </w:tcPr>
          <w:p w14:paraId="0953194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1.72 ± 0.18</w:t>
            </w:r>
          </w:p>
        </w:tc>
        <w:tc>
          <w:tcPr>
            <w:tcW w:w="1800" w:type="dxa"/>
          </w:tcPr>
          <w:p w14:paraId="53FE5E9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Non-linear (optimum ~25°C)</w:t>
            </w:r>
          </w:p>
        </w:tc>
      </w:tr>
      <w:tr w:rsidR="00D6251E" w:rsidRPr="00DE7E3A" w14:paraId="4DCFADBC" w14:textId="77777777" w:rsidTr="00DE7E3A">
        <w:tc>
          <w:tcPr>
            <w:tcW w:w="2000" w:type="dxa"/>
          </w:tcPr>
          <w:p w14:paraId="16BE32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SRT (d)</w:t>
            </w:r>
          </w:p>
        </w:tc>
        <w:tc>
          <w:tcPr>
            <w:tcW w:w="1200" w:type="dxa"/>
          </w:tcPr>
          <w:p w14:paraId="19A270B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1.54 ± 0.16</w:t>
            </w:r>
          </w:p>
        </w:tc>
        <w:tc>
          <w:tcPr>
            <w:tcW w:w="1200" w:type="dxa"/>
          </w:tcPr>
          <w:p w14:paraId="07CA2D5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1.67 ± 0.18</w:t>
            </w:r>
          </w:p>
        </w:tc>
        <w:tc>
          <w:tcPr>
            <w:tcW w:w="1200" w:type="dxa"/>
          </w:tcPr>
          <w:p w14:paraId="723B14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1.42 ± 0.15</w:t>
            </w:r>
          </w:p>
        </w:tc>
        <w:tc>
          <w:tcPr>
            <w:tcW w:w="1200" w:type="dxa"/>
          </w:tcPr>
          <w:p w14:paraId="5F871E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1.61 ± 0.17</w:t>
            </w:r>
          </w:p>
        </w:tc>
        <w:tc>
          <w:tcPr>
            <w:tcW w:w="1200" w:type="dxa"/>
          </w:tcPr>
          <w:p w14:paraId="5DA9DB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1.48 ± 0.15</w:t>
            </w:r>
          </w:p>
        </w:tc>
        <w:tc>
          <w:tcPr>
            <w:tcW w:w="1800" w:type="dxa"/>
          </w:tcPr>
          <w:p w14:paraId="5854F1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Negative (longer SRT → lower fouling)</w:t>
            </w:r>
          </w:p>
        </w:tc>
      </w:tr>
      <w:tr w:rsidR="00D6251E" w:rsidRPr="00DE7E3A" w14:paraId="32AF03F9" w14:textId="77777777" w:rsidTr="00DE7E3A">
        <w:tc>
          <w:tcPr>
            <w:tcW w:w="2000" w:type="dxa"/>
          </w:tcPr>
          <w:p w14:paraId="3348E83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Aeration intensity (m³/h)</w:t>
            </w:r>
          </w:p>
        </w:tc>
        <w:tc>
          <w:tcPr>
            <w:tcW w:w="1200" w:type="dxa"/>
          </w:tcPr>
          <w:p w14:paraId="0F00E3B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1.32 ± 0.14</w:t>
            </w:r>
          </w:p>
        </w:tc>
        <w:tc>
          <w:tcPr>
            <w:tcW w:w="1200" w:type="dxa"/>
          </w:tcPr>
          <w:p w14:paraId="302DA32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1.45 ± 0.16</w:t>
            </w:r>
          </w:p>
        </w:tc>
        <w:tc>
          <w:tcPr>
            <w:tcW w:w="1200" w:type="dxa"/>
          </w:tcPr>
          <w:p w14:paraId="61D7D7D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1.21 ± 0.13</w:t>
            </w:r>
          </w:p>
        </w:tc>
        <w:tc>
          <w:tcPr>
            <w:tcW w:w="1200" w:type="dxa"/>
          </w:tcPr>
          <w:p w14:paraId="307F5AE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1.38 ± 0.15</w:t>
            </w:r>
          </w:p>
        </w:tc>
        <w:tc>
          <w:tcPr>
            <w:tcW w:w="1200" w:type="dxa"/>
          </w:tcPr>
          <w:p w14:paraId="20CFDC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1.24 ± 0.13</w:t>
            </w:r>
          </w:p>
        </w:tc>
        <w:tc>
          <w:tcPr>
            <w:tcW w:w="1800" w:type="dxa"/>
          </w:tcPr>
          <w:p w14:paraId="613B155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Negative (more aeration → scouring)</w:t>
            </w:r>
          </w:p>
        </w:tc>
      </w:tr>
      <w:tr w:rsidR="00D6251E" w:rsidRPr="00DE7E3A" w14:paraId="29344EEF" w14:textId="77777777" w:rsidTr="00DE7E3A">
        <w:tc>
          <w:tcPr>
            <w:tcW w:w="2000" w:type="dxa"/>
          </w:tcPr>
          <w:p w14:paraId="7F383E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OLR (kg COD/m³/d)</w:t>
            </w:r>
          </w:p>
        </w:tc>
        <w:tc>
          <w:tcPr>
            <w:tcW w:w="1200" w:type="dxa"/>
          </w:tcPr>
          <w:p w14:paraId="2BD4B64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1.18 ± 0.12</w:t>
            </w:r>
          </w:p>
        </w:tc>
        <w:tc>
          <w:tcPr>
            <w:tcW w:w="1200" w:type="dxa"/>
          </w:tcPr>
          <w:p w14:paraId="1A621B0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1.28 ± 0.14</w:t>
            </w:r>
          </w:p>
        </w:tc>
        <w:tc>
          <w:tcPr>
            <w:tcW w:w="1200" w:type="dxa"/>
          </w:tcPr>
          <w:p w14:paraId="40B30BA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1.08 ± 0.11</w:t>
            </w:r>
          </w:p>
        </w:tc>
        <w:tc>
          <w:tcPr>
            <w:tcW w:w="1200" w:type="dxa"/>
          </w:tcPr>
          <w:p w14:paraId="2FD387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1.22 ± 0.13</w:t>
            </w:r>
          </w:p>
        </w:tc>
        <w:tc>
          <w:tcPr>
            <w:tcW w:w="1200" w:type="dxa"/>
          </w:tcPr>
          <w:p w14:paraId="60F66E7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1.14 ± 0.12</w:t>
            </w:r>
          </w:p>
        </w:tc>
        <w:tc>
          <w:tcPr>
            <w:tcW w:w="1800" w:type="dxa"/>
          </w:tcPr>
          <w:p w14:paraId="68F8BB3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 (high OLR → EPS→ fouling)</w:t>
            </w:r>
          </w:p>
        </w:tc>
      </w:tr>
      <w:tr w:rsidR="00D6251E" w:rsidRPr="00DE7E3A" w14:paraId="6EF40B2F" w14:textId="77777777" w:rsidTr="00DE7E3A">
        <w:tc>
          <w:tcPr>
            <w:tcW w:w="2000" w:type="dxa"/>
          </w:tcPr>
          <w:p w14:paraId="56C4E1A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UV₂₅₄ absorbance</w:t>
            </w:r>
          </w:p>
        </w:tc>
        <w:tc>
          <w:tcPr>
            <w:tcW w:w="1200" w:type="dxa"/>
          </w:tcPr>
          <w:p w14:paraId="5A1140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1.04 ± 0.11</w:t>
            </w:r>
          </w:p>
        </w:tc>
        <w:tc>
          <w:tcPr>
            <w:tcW w:w="1200" w:type="dxa"/>
          </w:tcPr>
          <w:p w14:paraId="62F6559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1.14 ± 0.12</w:t>
            </w:r>
          </w:p>
        </w:tc>
        <w:tc>
          <w:tcPr>
            <w:tcW w:w="1200" w:type="dxa"/>
          </w:tcPr>
          <w:p w14:paraId="1F3F5A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0.96 ± 0.10</w:t>
            </w:r>
          </w:p>
        </w:tc>
        <w:tc>
          <w:tcPr>
            <w:tcW w:w="1200" w:type="dxa"/>
          </w:tcPr>
          <w:p w14:paraId="5C91F4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1.09 ± 0.11</w:t>
            </w:r>
          </w:p>
        </w:tc>
        <w:tc>
          <w:tcPr>
            <w:tcW w:w="1200" w:type="dxa"/>
          </w:tcPr>
          <w:p w14:paraId="6666371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0.99 ± 0.10</w:t>
            </w:r>
          </w:p>
        </w:tc>
        <w:tc>
          <w:tcPr>
            <w:tcW w:w="1800" w:type="dxa"/>
          </w:tcPr>
          <w:p w14:paraId="7A5D78E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 (proxy for organics)</w:t>
            </w:r>
          </w:p>
        </w:tc>
      </w:tr>
      <w:tr w:rsidR="00D6251E" w:rsidRPr="00DE7E3A" w14:paraId="5E57B5C4" w14:textId="77777777" w:rsidTr="00DE7E3A">
        <w:tc>
          <w:tcPr>
            <w:tcW w:w="2000" w:type="dxa"/>
          </w:tcPr>
          <w:p w14:paraId="235DFF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Turbidity (NTU)</w:t>
            </w:r>
          </w:p>
        </w:tc>
        <w:tc>
          <w:tcPr>
            <w:tcW w:w="1200" w:type="dxa"/>
          </w:tcPr>
          <w:p w14:paraId="6813AAA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0.89 ± 0.09</w:t>
            </w:r>
          </w:p>
        </w:tc>
        <w:tc>
          <w:tcPr>
            <w:tcW w:w="1200" w:type="dxa"/>
          </w:tcPr>
          <w:p w14:paraId="5587B1A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0.97 ± 0.10</w:t>
            </w:r>
          </w:p>
        </w:tc>
        <w:tc>
          <w:tcPr>
            <w:tcW w:w="1200" w:type="dxa"/>
          </w:tcPr>
          <w:p w14:paraId="51B7F2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0.81 ± 0.08</w:t>
            </w:r>
          </w:p>
        </w:tc>
        <w:tc>
          <w:tcPr>
            <w:tcW w:w="1200" w:type="dxa"/>
          </w:tcPr>
          <w:p w14:paraId="18ED114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0.93 ± 0.09</w:t>
            </w:r>
          </w:p>
        </w:tc>
        <w:tc>
          <w:tcPr>
            <w:tcW w:w="1200" w:type="dxa"/>
          </w:tcPr>
          <w:p w14:paraId="59BBC5F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0.84 ± 0.09</w:t>
            </w:r>
          </w:p>
        </w:tc>
        <w:tc>
          <w:tcPr>
            <w:tcW w:w="1800" w:type="dxa"/>
          </w:tcPr>
          <w:p w14:paraId="13A5E53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 (colloidal fouling)</w:t>
            </w:r>
          </w:p>
        </w:tc>
      </w:tr>
      <w:tr w:rsidR="00D6251E" w:rsidRPr="00DE7E3A" w14:paraId="0A503EBE" w14:textId="77777777" w:rsidTr="00DE7E3A">
        <w:tc>
          <w:tcPr>
            <w:tcW w:w="2000" w:type="dxa"/>
          </w:tcPr>
          <w:p w14:paraId="65E4F5E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pH</w:t>
            </w:r>
          </w:p>
        </w:tc>
        <w:tc>
          <w:tcPr>
            <w:tcW w:w="1200" w:type="dxa"/>
          </w:tcPr>
          <w:p w14:paraId="1BBB30C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0.76 ± 0.08</w:t>
            </w:r>
          </w:p>
        </w:tc>
        <w:tc>
          <w:tcPr>
            <w:tcW w:w="1200" w:type="dxa"/>
          </w:tcPr>
          <w:p w14:paraId="774B3E8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0.83 ± 0.09</w:t>
            </w:r>
          </w:p>
        </w:tc>
        <w:tc>
          <w:tcPr>
            <w:tcW w:w="1200" w:type="dxa"/>
          </w:tcPr>
          <w:p w14:paraId="1CAA7AA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0.69 ± 0.07</w:t>
            </w:r>
          </w:p>
        </w:tc>
        <w:tc>
          <w:tcPr>
            <w:tcW w:w="1200" w:type="dxa"/>
          </w:tcPr>
          <w:p w14:paraId="533099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0.80 ± 0.08</w:t>
            </w:r>
          </w:p>
        </w:tc>
        <w:tc>
          <w:tcPr>
            <w:tcW w:w="1200" w:type="dxa"/>
          </w:tcPr>
          <w:p w14:paraId="0A7C053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0.71 ± 0.07</w:t>
            </w:r>
          </w:p>
        </w:tc>
        <w:tc>
          <w:tcPr>
            <w:tcW w:w="1800" w:type="dxa"/>
          </w:tcPr>
          <w:p w14:paraId="52E084B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Non-linear (optimum 7.0–7.5)</w:t>
            </w:r>
          </w:p>
        </w:tc>
      </w:tr>
      <w:tr w:rsidR="00D6251E" w:rsidRPr="00DE7E3A" w14:paraId="5BE8E1D4" w14:textId="77777777" w:rsidTr="00DE7E3A">
        <w:tc>
          <w:tcPr>
            <w:tcW w:w="2000" w:type="dxa"/>
          </w:tcPr>
          <w:p w14:paraId="4383C5D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Influent COD (mg/L)</w:t>
            </w:r>
          </w:p>
        </w:tc>
        <w:tc>
          <w:tcPr>
            <w:tcW w:w="1200" w:type="dxa"/>
          </w:tcPr>
          <w:p w14:paraId="314948C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0.64 ± 0.07</w:t>
            </w:r>
          </w:p>
        </w:tc>
        <w:tc>
          <w:tcPr>
            <w:tcW w:w="1200" w:type="dxa"/>
          </w:tcPr>
          <w:p w14:paraId="637AEB2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0.71 ± 0.08</w:t>
            </w:r>
          </w:p>
        </w:tc>
        <w:tc>
          <w:tcPr>
            <w:tcW w:w="1200" w:type="dxa"/>
          </w:tcPr>
          <w:p w14:paraId="7D9C8C6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0.58 ± 0.06</w:t>
            </w:r>
          </w:p>
        </w:tc>
        <w:tc>
          <w:tcPr>
            <w:tcW w:w="1200" w:type="dxa"/>
          </w:tcPr>
          <w:p w14:paraId="79C3966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0.67 ± 0.07</w:t>
            </w:r>
          </w:p>
        </w:tc>
        <w:tc>
          <w:tcPr>
            <w:tcW w:w="1200" w:type="dxa"/>
          </w:tcPr>
          <w:p w14:paraId="5F6DA37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0.61 ± 0.06</w:t>
            </w:r>
          </w:p>
        </w:tc>
        <w:tc>
          <w:tcPr>
            <w:tcW w:w="1800" w:type="dxa"/>
          </w:tcPr>
          <w:p w14:paraId="0C23FE8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w:t>
            </w:r>
          </w:p>
        </w:tc>
      </w:tr>
      <w:tr w:rsidR="00D6251E" w:rsidRPr="00DE7E3A" w14:paraId="23F94673" w14:textId="77777777" w:rsidTr="00DE7E3A">
        <w:tc>
          <w:tcPr>
            <w:tcW w:w="2000" w:type="dxa"/>
          </w:tcPr>
          <w:p w14:paraId="102C58D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Phosphate (mg/L)</w:t>
            </w:r>
          </w:p>
        </w:tc>
        <w:tc>
          <w:tcPr>
            <w:tcW w:w="1200" w:type="dxa"/>
          </w:tcPr>
          <w:p w14:paraId="1059B76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0.52 ± 0.05</w:t>
            </w:r>
          </w:p>
        </w:tc>
        <w:tc>
          <w:tcPr>
            <w:tcW w:w="1200" w:type="dxa"/>
          </w:tcPr>
          <w:p w14:paraId="5CDDCF3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0.57 ± 0.06</w:t>
            </w:r>
          </w:p>
        </w:tc>
        <w:tc>
          <w:tcPr>
            <w:tcW w:w="1200" w:type="dxa"/>
          </w:tcPr>
          <w:p w14:paraId="446296C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0.47 ± 0.05</w:t>
            </w:r>
          </w:p>
        </w:tc>
        <w:tc>
          <w:tcPr>
            <w:tcW w:w="1200" w:type="dxa"/>
          </w:tcPr>
          <w:p w14:paraId="153EC2B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0.55 ± 0.06</w:t>
            </w:r>
          </w:p>
        </w:tc>
        <w:tc>
          <w:tcPr>
            <w:tcW w:w="1200" w:type="dxa"/>
          </w:tcPr>
          <w:p w14:paraId="23C15E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0.49 ± 0.05</w:t>
            </w:r>
          </w:p>
        </w:tc>
        <w:tc>
          <w:tcPr>
            <w:tcW w:w="1800" w:type="dxa"/>
          </w:tcPr>
          <w:p w14:paraId="4C52EA7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w:t>
            </w:r>
          </w:p>
        </w:tc>
      </w:tr>
      <w:tr w:rsidR="00D6251E" w:rsidRPr="00DE7E3A" w14:paraId="7AA16052" w14:textId="77777777" w:rsidTr="00DE7E3A">
        <w:tc>
          <w:tcPr>
            <w:tcW w:w="2000" w:type="dxa"/>
          </w:tcPr>
          <w:p w14:paraId="2D1069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Nitrate (mg/L)</w:t>
            </w:r>
          </w:p>
        </w:tc>
        <w:tc>
          <w:tcPr>
            <w:tcW w:w="1200" w:type="dxa"/>
          </w:tcPr>
          <w:p w14:paraId="69A2439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0.41 ± 0.04</w:t>
            </w:r>
          </w:p>
        </w:tc>
        <w:tc>
          <w:tcPr>
            <w:tcW w:w="1200" w:type="dxa"/>
          </w:tcPr>
          <w:p w14:paraId="1107F06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0.45 ± 0.05</w:t>
            </w:r>
          </w:p>
        </w:tc>
        <w:tc>
          <w:tcPr>
            <w:tcW w:w="1200" w:type="dxa"/>
          </w:tcPr>
          <w:p w14:paraId="789EF6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0.37 ± 0.04</w:t>
            </w:r>
          </w:p>
        </w:tc>
        <w:tc>
          <w:tcPr>
            <w:tcW w:w="1200" w:type="dxa"/>
          </w:tcPr>
          <w:p w14:paraId="055C32C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0.43 ± 0.04</w:t>
            </w:r>
          </w:p>
        </w:tc>
        <w:tc>
          <w:tcPr>
            <w:tcW w:w="1200" w:type="dxa"/>
          </w:tcPr>
          <w:p w14:paraId="3D15D74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0.38 ± 0.04</w:t>
            </w:r>
          </w:p>
        </w:tc>
        <w:tc>
          <w:tcPr>
            <w:tcW w:w="1800" w:type="dxa"/>
          </w:tcPr>
          <w:p w14:paraId="09F0EC2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Low importance</w:t>
            </w:r>
          </w:p>
        </w:tc>
      </w:tr>
      <w:tr w:rsidR="00D6251E" w:rsidRPr="00DE7E3A" w14:paraId="1D955BF5" w14:textId="77777777" w:rsidTr="00DE7E3A">
        <w:tc>
          <w:tcPr>
            <w:tcW w:w="2000" w:type="dxa"/>
          </w:tcPr>
          <w:p w14:paraId="1BF9322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Ammonia (mg/L)</w:t>
            </w:r>
          </w:p>
        </w:tc>
        <w:tc>
          <w:tcPr>
            <w:tcW w:w="1200" w:type="dxa"/>
          </w:tcPr>
          <w:p w14:paraId="420618D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0.33 ± 0.03</w:t>
            </w:r>
          </w:p>
        </w:tc>
        <w:tc>
          <w:tcPr>
            <w:tcW w:w="1200" w:type="dxa"/>
          </w:tcPr>
          <w:p w14:paraId="7EF4216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0.37 ± 0.04</w:t>
            </w:r>
          </w:p>
        </w:tc>
        <w:tc>
          <w:tcPr>
            <w:tcW w:w="1200" w:type="dxa"/>
          </w:tcPr>
          <w:p w14:paraId="76B1A3A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0.30 ± 0.03</w:t>
            </w:r>
          </w:p>
        </w:tc>
        <w:tc>
          <w:tcPr>
            <w:tcW w:w="1200" w:type="dxa"/>
          </w:tcPr>
          <w:p w14:paraId="17E07C5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0.35 ± 0.04</w:t>
            </w:r>
          </w:p>
        </w:tc>
        <w:tc>
          <w:tcPr>
            <w:tcW w:w="1200" w:type="dxa"/>
          </w:tcPr>
          <w:p w14:paraId="1A0FB9E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0.31 ± 0.03</w:t>
            </w:r>
          </w:p>
        </w:tc>
        <w:tc>
          <w:tcPr>
            <w:tcW w:w="1800" w:type="dxa"/>
          </w:tcPr>
          <w:p w14:paraId="685B9CA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Low importance</w:t>
            </w:r>
          </w:p>
        </w:tc>
      </w:tr>
      <w:tr w:rsidR="00D6251E" w:rsidRPr="00DE7E3A" w14:paraId="23B22531" w14:textId="77777777" w:rsidTr="00DE7E3A">
        <w:tc>
          <w:tcPr>
            <w:tcW w:w="2000" w:type="dxa"/>
          </w:tcPr>
          <w:p w14:paraId="05F57CB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Flow rate (m³/h)</w:t>
            </w:r>
          </w:p>
        </w:tc>
        <w:tc>
          <w:tcPr>
            <w:tcW w:w="1200" w:type="dxa"/>
          </w:tcPr>
          <w:p w14:paraId="35BDCFC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0.27 ± 0.03</w:t>
            </w:r>
          </w:p>
        </w:tc>
        <w:tc>
          <w:tcPr>
            <w:tcW w:w="1200" w:type="dxa"/>
          </w:tcPr>
          <w:p w14:paraId="4DD986B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0.30 ± 0.03</w:t>
            </w:r>
          </w:p>
        </w:tc>
        <w:tc>
          <w:tcPr>
            <w:tcW w:w="1200" w:type="dxa"/>
          </w:tcPr>
          <w:p w14:paraId="2D132B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0.24 ± 0.02</w:t>
            </w:r>
          </w:p>
        </w:tc>
        <w:tc>
          <w:tcPr>
            <w:tcW w:w="1200" w:type="dxa"/>
          </w:tcPr>
          <w:p w14:paraId="538125F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0.28 ± 0.03</w:t>
            </w:r>
          </w:p>
        </w:tc>
        <w:tc>
          <w:tcPr>
            <w:tcW w:w="1200" w:type="dxa"/>
          </w:tcPr>
          <w:p w14:paraId="1C9AFCD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0.25 ± 0.03</w:t>
            </w:r>
          </w:p>
        </w:tc>
        <w:tc>
          <w:tcPr>
            <w:tcW w:w="1800" w:type="dxa"/>
          </w:tcPr>
          <w:p w14:paraId="00E31BE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Low importance</w:t>
            </w:r>
          </w:p>
        </w:tc>
      </w:tr>
      <w:tr w:rsidR="00D6251E" w:rsidRPr="00DE7E3A" w14:paraId="41E6E90F" w14:textId="77777777" w:rsidTr="00DE7E3A">
        <w:tc>
          <w:tcPr>
            <w:tcW w:w="2000" w:type="dxa"/>
          </w:tcPr>
          <w:p w14:paraId="04498C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Backwash frequency (h⁻¹)</w:t>
            </w:r>
          </w:p>
        </w:tc>
        <w:tc>
          <w:tcPr>
            <w:tcW w:w="1200" w:type="dxa"/>
          </w:tcPr>
          <w:p w14:paraId="149011A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0.21 ± 0.02</w:t>
            </w:r>
          </w:p>
        </w:tc>
        <w:tc>
          <w:tcPr>
            <w:tcW w:w="1200" w:type="dxa"/>
          </w:tcPr>
          <w:p w14:paraId="76030EB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0.23 ± 0.02</w:t>
            </w:r>
          </w:p>
        </w:tc>
        <w:tc>
          <w:tcPr>
            <w:tcW w:w="1200" w:type="dxa"/>
          </w:tcPr>
          <w:p w14:paraId="6E57B9F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0.19 ± 0.02</w:t>
            </w:r>
          </w:p>
        </w:tc>
        <w:tc>
          <w:tcPr>
            <w:tcW w:w="1200" w:type="dxa"/>
          </w:tcPr>
          <w:p w14:paraId="3686EFC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0.22 ± 0.02</w:t>
            </w:r>
          </w:p>
        </w:tc>
        <w:tc>
          <w:tcPr>
            <w:tcW w:w="1200" w:type="dxa"/>
          </w:tcPr>
          <w:p w14:paraId="71A8BF0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0.20 ± 0.02</w:t>
            </w:r>
          </w:p>
        </w:tc>
        <w:tc>
          <w:tcPr>
            <w:tcW w:w="1800" w:type="dxa"/>
          </w:tcPr>
          <w:p w14:paraId="71B4D89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Negative (more frequent → cleaner)</w:t>
            </w:r>
          </w:p>
        </w:tc>
      </w:tr>
      <w:tr w:rsidR="00D6251E" w:rsidRPr="00DE7E3A" w14:paraId="74CE2497" w14:textId="77777777" w:rsidTr="00DE7E3A">
        <w:tc>
          <w:tcPr>
            <w:tcW w:w="2000" w:type="dxa"/>
          </w:tcPr>
          <w:p w14:paraId="5287BF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Chemical dosing (mg/L)</w:t>
            </w:r>
          </w:p>
        </w:tc>
        <w:tc>
          <w:tcPr>
            <w:tcW w:w="1200" w:type="dxa"/>
          </w:tcPr>
          <w:p w14:paraId="3CBE6D0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0.15 ± 0.02</w:t>
            </w:r>
          </w:p>
        </w:tc>
        <w:tc>
          <w:tcPr>
            <w:tcW w:w="1200" w:type="dxa"/>
          </w:tcPr>
          <w:p w14:paraId="70688DA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0.17 ± 0.02</w:t>
            </w:r>
          </w:p>
        </w:tc>
        <w:tc>
          <w:tcPr>
            <w:tcW w:w="1200" w:type="dxa"/>
          </w:tcPr>
          <w:p w14:paraId="760F857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0.13 ± 0.01</w:t>
            </w:r>
          </w:p>
        </w:tc>
        <w:tc>
          <w:tcPr>
            <w:tcW w:w="1200" w:type="dxa"/>
          </w:tcPr>
          <w:p w14:paraId="4C80878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0.16 ± 0.02</w:t>
            </w:r>
          </w:p>
        </w:tc>
        <w:tc>
          <w:tcPr>
            <w:tcW w:w="1200" w:type="dxa"/>
          </w:tcPr>
          <w:p w14:paraId="79DC9A7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0.14 ± 0.01</w:t>
            </w:r>
          </w:p>
        </w:tc>
        <w:tc>
          <w:tcPr>
            <w:tcW w:w="1800" w:type="dxa"/>
          </w:tcPr>
          <w:p w14:paraId="1F1E9F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Negative</w:t>
            </w:r>
          </w:p>
        </w:tc>
      </w:tr>
    </w:tbl>
    <w:p w14:paraId="235EB67C" w14:textId="6C6647F3"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 xml:space="preserve">Note: SHAP values were computed using the TreeExplainer method applied to LSTM predictions for the TMP target (n = 10,000 sample points randomly drawn from the test set). Plant-specific values reflect site-to-site variability in influent composition and operating regime. MLSS, HRT, and DO consistently </w:t>
      </w:r>
      <w:r w:rsidR="00536256" w:rsidRPr="00DE7E3A">
        <w:rPr>
          <w:rFonts w:ascii="Times New Roman" w:hAnsi="Times New Roman" w:cs="Times New Roman"/>
          <w:i/>
          <w:iCs/>
          <w:sz w:val="24"/>
          <w:szCs w:val="24"/>
        </w:rPr>
        <w:t>rank</w:t>
      </w:r>
      <w:r w:rsidRPr="00DE7E3A">
        <w:rPr>
          <w:rFonts w:ascii="Times New Roman" w:hAnsi="Times New Roman" w:cs="Times New Roman"/>
          <w:i/>
          <w:iCs/>
          <w:sz w:val="24"/>
          <w:szCs w:val="24"/>
        </w:rPr>
        <w:t xml:space="preserve"> in the top 3 across all sites, confirming their primacy in fouling dynamics.</w:t>
      </w:r>
    </w:p>
    <w:p w14:paraId="038B6FD1" w14:textId="77777777" w:rsidR="00D6251E" w:rsidRPr="00DE7E3A" w:rsidRDefault="00D6251E" w:rsidP="00DE7E3A">
      <w:pPr>
        <w:spacing w:before="60" w:after="60"/>
        <w:jc w:val="both"/>
        <w:rPr>
          <w:rFonts w:ascii="Times New Roman" w:hAnsi="Times New Roman" w:cs="Times New Roman"/>
          <w:sz w:val="24"/>
          <w:szCs w:val="24"/>
        </w:rPr>
      </w:pPr>
    </w:p>
    <w:p w14:paraId="0F0E4488" w14:textId="690BE6EA"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S6. NSGA-II Multi-Objective Optimisation Parameters</w:t>
      </w:r>
    </w:p>
    <w:p w14:paraId="3167C55D"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Parameters used in the NSGA-II evolutionary algorithm for Pareto-optimal setpoint identification. Three objectives were simultaneously optimised: (i) maximise micropollutant removal efficiency, (ii) minimise specific energy consumption (kWh/m³), and (iii) maximise membrane service life (days between chemical cleanings).</w:t>
      </w:r>
    </w:p>
    <w:p w14:paraId="750B3DD9"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750"/>
        <w:gridCol w:w="2357"/>
        <w:gridCol w:w="2523"/>
        <w:gridCol w:w="2170"/>
      </w:tblGrid>
      <w:tr w:rsidR="00D6251E" w:rsidRPr="00DE7E3A" w14:paraId="35665F34" w14:textId="77777777" w:rsidTr="00DE7E3A">
        <w:tc>
          <w:tcPr>
            <w:tcW w:w="2800" w:type="dxa"/>
          </w:tcPr>
          <w:p w14:paraId="4B50AF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NSGA-II Parameter</w:t>
            </w:r>
          </w:p>
        </w:tc>
        <w:tc>
          <w:tcPr>
            <w:tcW w:w="2400" w:type="dxa"/>
          </w:tcPr>
          <w:p w14:paraId="7167FEA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Value Used</w:t>
            </w:r>
          </w:p>
        </w:tc>
        <w:tc>
          <w:tcPr>
            <w:tcW w:w="2400" w:type="dxa"/>
          </w:tcPr>
          <w:p w14:paraId="3DA0729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Rationale</w:t>
            </w:r>
          </w:p>
        </w:tc>
        <w:tc>
          <w:tcPr>
            <w:tcW w:w="2200" w:type="dxa"/>
          </w:tcPr>
          <w:p w14:paraId="4F59718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Notes</w:t>
            </w:r>
          </w:p>
        </w:tc>
      </w:tr>
      <w:tr w:rsidR="00D6251E" w:rsidRPr="00DE7E3A" w14:paraId="2E2F2029" w14:textId="77777777" w:rsidTr="00DE7E3A">
        <w:tc>
          <w:tcPr>
            <w:tcW w:w="2800" w:type="dxa"/>
          </w:tcPr>
          <w:p w14:paraId="335F291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Population size</w:t>
            </w:r>
          </w:p>
        </w:tc>
        <w:tc>
          <w:tcPr>
            <w:tcW w:w="2400" w:type="dxa"/>
          </w:tcPr>
          <w:p w14:paraId="64B7C04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200 individuals</w:t>
            </w:r>
          </w:p>
        </w:tc>
        <w:tc>
          <w:tcPr>
            <w:tcW w:w="2400" w:type="dxa"/>
          </w:tcPr>
          <w:p w14:paraId="78583F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Balances exploration/exploitation</w:t>
            </w:r>
          </w:p>
        </w:tc>
        <w:tc>
          <w:tcPr>
            <w:tcW w:w="2200" w:type="dxa"/>
          </w:tcPr>
          <w:p w14:paraId="6C91BDE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Tested: 100, 150, 200, 250</w:t>
            </w:r>
          </w:p>
        </w:tc>
      </w:tr>
      <w:tr w:rsidR="00D6251E" w:rsidRPr="00DE7E3A" w14:paraId="045680BA" w14:textId="77777777" w:rsidTr="00DE7E3A">
        <w:tc>
          <w:tcPr>
            <w:tcW w:w="2800" w:type="dxa"/>
          </w:tcPr>
          <w:p w14:paraId="60F1854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Number of generations</w:t>
            </w:r>
          </w:p>
        </w:tc>
        <w:tc>
          <w:tcPr>
            <w:tcW w:w="2400" w:type="dxa"/>
          </w:tcPr>
          <w:p w14:paraId="2C920FF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500</w:t>
            </w:r>
          </w:p>
        </w:tc>
        <w:tc>
          <w:tcPr>
            <w:tcW w:w="2400" w:type="dxa"/>
          </w:tcPr>
          <w:p w14:paraId="7A7A57A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Convergence confirmed at ~450 gen.</w:t>
            </w:r>
          </w:p>
        </w:tc>
        <w:tc>
          <w:tcPr>
            <w:tcW w:w="2200" w:type="dxa"/>
          </w:tcPr>
          <w:p w14:paraId="4281B05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Stopping criterion: HV &lt; 0.001% change</w:t>
            </w:r>
          </w:p>
        </w:tc>
      </w:tr>
      <w:tr w:rsidR="00D6251E" w:rsidRPr="00DE7E3A" w14:paraId="1580E4D6" w14:textId="77777777" w:rsidTr="00DE7E3A">
        <w:tc>
          <w:tcPr>
            <w:tcW w:w="2800" w:type="dxa"/>
          </w:tcPr>
          <w:p w14:paraId="05951C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Crossover probability (pc)</w:t>
            </w:r>
          </w:p>
        </w:tc>
        <w:tc>
          <w:tcPr>
            <w:tcW w:w="2400" w:type="dxa"/>
          </w:tcPr>
          <w:p w14:paraId="448114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w:t>
            </w:r>
          </w:p>
        </w:tc>
        <w:tc>
          <w:tcPr>
            <w:tcW w:w="2400" w:type="dxa"/>
          </w:tcPr>
          <w:p w14:paraId="26EC8CF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Standard NSGA-II recommendation</w:t>
            </w:r>
          </w:p>
        </w:tc>
        <w:tc>
          <w:tcPr>
            <w:tcW w:w="2200" w:type="dxa"/>
          </w:tcPr>
          <w:p w14:paraId="5BE9056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SBX (Simulated Binary Crossover)</w:t>
            </w:r>
          </w:p>
        </w:tc>
      </w:tr>
      <w:tr w:rsidR="00D6251E" w:rsidRPr="00DE7E3A" w14:paraId="0B3563D1" w14:textId="77777777" w:rsidTr="00DE7E3A">
        <w:tc>
          <w:tcPr>
            <w:tcW w:w="2800" w:type="dxa"/>
          </w:tcPr>
          <w:p w14:paraId="0CD7A3D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Mutation probability (pm)</w:t>
            </w:r>
          </w:p>
        </w:tc>
        <w:tc>
          <w:tcPr>
            <w:tcW w:w="2400" w:type="dxa"/>
          </w:tcPr>
          <w:p w14:paraId="47B5F8A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1/n (n = number of variables)</w:t>
            </w:r>
          </w:p>
        </w:tc>
        <w:tc>
          <w:tcPr>
            <w:tcW w:w="2400" w:type="dxa"/>
          </w:tcPr>
          <w:p w14:paraId="2B10EE5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Self-adaptive to problem dimensionality</w:t>
            </w:r>
          </w:p>
        </w:tc>
        <w:tc>
          <w:tcPr>
            <w:tcW w:w="2200" w:type="dxa"/>
          </w:tcPr>
          <w:p w14:paraId="439376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Polynomial mutation operator</w:t>
            </w:r>
          </w:p>
        </w:tc>
      </w:tr>
      <w:tr w:rsidR="00D6251E" w:rsidRPr="00DE7E3A" w14:paraId="51B0D087" w14:textId="77777777" w:rsidTr="00DE7E3A">
        <w:tc>
          <w:tcPr>
            <w:tcW w:w="2800" w:type="dxa"/>
          </w:tcPr>
          <w:p w14:paraId="1A430A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Distribution index (η_c)</w:t>
            </w:r>
          </w:p>
        </w:tc>
        <w:tc>
          <w:tcPr>
            <w:tcW w:w="2400" w:type="dxa"/>
          </w:tcPr>
          <w:p w14:paraId="18F914A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w:t>
            </w:r>
          </w:p>
        </w:tc>
        <w:tc>
          <w:tcPr>
            <w:tcW w:w="2400" w:type="dxa"/>
          </w:tcPr>
          <w:p w14:paraId="2699F2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Control crossover spread</w:t>
            </w:r>
          </w:p>
        </w:tc>
        <w:tc>
          <w:tcPr>
            <w:tcW w:w="2200" w:type="dxa"/>
          </w:tcPr>
          <w:p w14:paraId="7AE8D7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Range: 10–30 (sensitivity tested)</w:t>
            </w:r>
          </w:p>
        </w:tc>
      </w:tr>
      <w:tr w:rsidR="00D6251E" w:rsidRPr="00DE7E3A" w14:paraId="54A3B0D2" w14:textId="77777777" w:rsidTr="00DE7E3A">
        <w:tc>
          <w:tcPr>
            <w:tcW w:w="2800" w:type="dxa"/>
          </w:tcPr>
          <w:p w14:paraId="073CA9A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Distribution index (η_m)</w:t>
            </w:r>
          </w:p>
        </w:tc>
        <w:tc>
          <w:tcPr>
            <w:tcW w:w="2400" w:type="dxa"/>
          </w:tcPr>
          <w:p w14:paraId="3D463B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20</w:t>
            </w:r>
          </w:p>
        </w:tc>
        <w:tc>
          <w:tcPr>
            <w:tcW w:w="2400" w:type="dxa"/>
          </w:tcPr>
          <w:p w14:paraId="4A65555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Control mutation spread</w:t>
            </w:r>
          </w:p>
        </w:tc>
        <w:tc>
          <w:tcPr>
            <w:tcW w:w="2200" w:type="dxa"/>
          </w:tcPr>
          <w:p w14:paraId="2C8710F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Range: 10–30 (sensitivity tested)</w:t>
            </w:r>
          </w:p>
        </w:tc>
      </w:tr>
      <w:tr w:rsidR="00D6251E" w:rsidRPr="00DE7E3A" w14:paraId="40CA2574" w14:textId="77777777" w:rsidTr="00DE7E3A">
        <w:tc>
          <w:tcPr>
            <w:tcW w:w="2800" w:type="dxa"/>
          </w:tcPr>
          <w:p w14:paraId="26C34C3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Number of objectives</w:t>
            </w:r>
          </w:p>
        </w:tc>
        <w:tc>
          <w:tcPr>
            <w:tcW w:w="2400" w:type="dxa"/>
          </w:tcPr>
          <w:p w14:paraId="2D50CC3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w:t>
            </w:r>
          </w:p>
        </w:tc>
        <w:tc>
          <w:tcPr>
            <w:tcW w:w="2400" w:type="dxa"/>
          </w:tcPr>
          <w:p w14:paraId="0FB6AD0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Removal efficiency, energy, membrane life</w:t>
            </w:r>
          </w:p>
        </w:tc>
        <w:tc>
          <w:tcPr>
            <w:tcW w:w="2200" w:type="dxa"/>
          </w:tcPr>
          <w:p w14:paraId="6E18999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Tchebycheff scalarisation for constraints</w:t>
            </w:r>
          </w:p>
        </w:tc>
      </w:tr>
      <w:tr w:rsidR="00D6251E" w:rsidRPr="00DE7E3A" w14:paraId="4A0EB9B5" w14:textId="77777777" w:rsidTr="00DE7E3A">
        <w:tc>
          <w:tcPr>
            <w:tcW w:w="2800" w:type="dxa"/>
          </w:tcPr>
          <w:p w14:paraId="260BB21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Number of decision variables</w:t>
            </w:r>
          </w:p>
        </w:tc>
        <w:tc>
          <w:tcPr>
            <w:tcW w:w="2400" w:type="dxa"/>
          </w:tcPr>
          <w:p w14:paraId="29BB621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w:t>
            </w:r>
          </w:p>
        </w:tc>
        <w:tc>
          <w:tcPr>
            <w:tcW w:w="2400" w:type="dxa"/>
          </w:tcPr>
          <w:p w14:paraId="14ADCD8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DO, HRT, SRT, aeration, backwash, flux, OLR, F/M</w:t>
            </w:r>
          </w:p>
        </w:tc>
        <w:tc>
          <w:tcPr>
            <w:tcW w:w="2200" w:type="dxa"/>
          </w:tcPr>
          <w:p w14:paraId="6AB2024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Bounded by plant operational limits</w:t>
            </w:r>
          </w:p>
        </w:tc>
      </w:tr>
      <w:tr w:rsidR="00D6251E" w:rsidRPr="00DE7E3A" w14:paraId="44F22390" w14:textId="77777777" w:rsidTr="00DE7E3A">
        <w:tc>
          <w:tcPr>
            <w:tcW w:w="2800" w:type="dxa"/>
          </w:tcPr>
          <w:p w14:paraId="31F7330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Archive size (Pareto front)</w:t>
            </w:r>
          </w:p>
        </w:tc>
        <w:tc>
          <w:tcPr>
            <w:tcW w:w="2400" w:type="dxa"/>
          </w:tcPr>
          <w:p w14:paraId="736CE74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All non-dominated solutions</w:t>
            </w:r>
          </w:p>
        </w:tc>
        <w:tc>
          <w:tcPr>
            <w:tcW w:w="2400" w:type="dxa"/>
          </w:tcPr>
          <w:p w14:paraId="33F0C1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No pruning applied</w:t>
            </w:r>
          </w:p>
        </w:tc>
        <w:tc>
          <w:tcPr>
            <w:tcW w:w="2200" w:type="dxa"/>
          </w:tcPr>
          <w:p w14:paraId="364660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Final front: 45–78 solutions</w:t>
            </w:r>
          </w:p>
        </w:tc>
      </w:tr>
      <w:tr w:rsidR="00D6251E" w:rsidRPr="00DE7E3A" w14:paraId="65AA74F1" w14:textId="77777777" w:rsidTr="00DE7E3A">
        <w:tc>
          <w:tcPr>
            <w:tcW w:w="2800" w:type="dxa"/>
          </w:tcPr>
          <w:p w14:paraId="184B233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Constraint handling</w:t>
            </w:r>
          </w:p>
        </w:tc>
        <w:tc>
          <w:tcPr>
            <w:tcW w:w="2400" w:type="dxa"/>
          </w:tcPr>
          <w:p w14:paraId="15925E3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Penalty function method</w:t>
            </w:r>
          </w:p>
        </w:tc>
        <w:tc>
          <w:tcPr>
            <w:tcW w:w="2400" w:type="dxa"/>
          </w:tcPr>
          <w:p w14:paraId="2B34C25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Effluent quality limits enforced</w:t>
            </w:r>
          </w:p>
        </w:tc>
        <w:tc>
          <w:tcPr>
            <w:tcW w:w="2200" w:type="dxa"/>
          </w:tcPr>
          <w:p w14:paraId="2210481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WHO/IS standards as hard constraints</w:t>
            </w:r>
          </w:p>
        </w:tc>
      </w:tr>
      <w:tr w:rsidR="00D6251E" w:rsidRPr="00DE7E3A" w14:paraId="297E9C1A" w14:textId="77777777" w:rsidTr="00DE7E3A">
        <w:tc>
          <w:tcPr>
            <w:tcW w:w="2800" w:type="dxa"/>
          </w:tcPr>
          <w:p w14:paraId="5755328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Evaluation time per generation</w:t>
            </w:r>
          </w:p>
        </w:tc>
        <w:tc>
          <w:tcPr>
            <w:tcW w:w="2400" w:type="dxa"/>
          </w:tcPr>
          <w:p w14:paraId="7A80D50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~4.2 seconds</w:t>
            </w:r>
          </w:p>
        </w:tc>
        <w:tc>
          <w:tcPr>
            <w:tcW w:w="2400" w:type="dxa"/>
          </w:tcPr>
          <w:p w14:paraId="3B79B29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 LSTM surrogate model</w:t>
            </w:r>
          </w:p>
        </w:tc>
        <w:tc>
          <w:tcPr>
            <w:tcW w:w="2200" w:type="dxa"/>
          </w:tcPr>
          <w:p w14:paraId="46C5B35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GPU-accelerated forward pass</w:t>
            </w:r>
          </w:p>
        </w:tc>
      </w:tr>
      <w:tr w:rsidR="00D6251E" w:rsidRPr="00DE7E3A" w14:paraId="15B363B8" w14:textId="77777777" w:rsidTr="00DE7E3A">
        <w:tc>
          <w:tcPr>
            <w:tcW w:w="2800" w:type="dxa"/>
          </w:tcPr>
          <w:p w14:paraId="7937567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Total optimisation runtime</w:t>
            </w:r>
          </w:p>
        </w:tc>
        <w:tc>
          <w:tcPr>
            <w:tcW w:w="2400" w:type="dxa"/>
          </w:tcPr>
          <w:p w14:paraId="5AFC852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~35 minutes</w:t>
            </w:r>
          </w:p>
        </w:tc>
        <w:tc>
          <w:tcPr>
            <w:tcW w:w="2400" w:type="dxa"/>
          </w:tcPr>
          <w:p w14:paraId="248CB09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Per operating scenario</w:t>
            </w:r>
          </w:p>
        </w:tc>
        <w:tc>
          <w:tcPr>
            <w:tcW w:w="2200" w:type="dxa"/>
          </w:tcPr>
          <w:p w14:paraId="445F43A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Real-time: ~8 min with warm-start</w:t>
            </w:r>
          </w:p>
        </w:tc>
      </w:tr>
    </w:tbl>
    <w:p w14:paraId="1E053B99"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lastRenderedPageBreak/>
        <w:t>Note: A LSTM surrogate model was used in place of the full mechanistic simulation during optimisation to reduce computational cost. The surrogate model had R² ≥ 0.94 for all objective function proxies. Final Pareto-optimal setpoints were validated on the full LSTM model before deployment.</w:t>
      </w:r>
    </w:p>
    <w:p w14:paraId="49CC276F" w14:textId="77777777" w:rsidR="00D6251E" w:rsidRPr="00DE7E3A" w:rsidRDefault="00D6251E" w:rsidP="00DE7E3A">
      <w:pPr>
        <w:spacing w:before="60" w:after="60"/>
        <w:jc w:val="both"/>
        <w:rPr>
          <w:rFonts w:ascii="Times New Roman" w:hAnsi="Times New Roman" w:cs="Times New Roman"/>
          <w:sz w:val="24"/>
          <w:szCs w:val="24"/>
        </w:rPr>
      </w:pPr>
    </w:p>
    <w:p w14:paraId="1AEA498A" w14:textId="78F4E648"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S7. Transfer Learning Performance Summary</w:t>
      </w:r>
    </w:p>
    <w:p w14:paraId="29140328"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Summary of transfer learning experiments. Source domain models (pre-trained on municipal MBR data) were fine-tuned for target plant domains. Performance metrics are R² for micropollutant removal prediction on held-out test sets. Improvement is expressed as absolute R² gain.</w:t>
      </w:r>
    </w:p>
    <w:p w14:paraId="7FC9EF11"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1633"/>
        <w:gridCol w:w="1696"/>
        <w:gridCol w:w="1137"/>
        <w:gridCol w:w="1137"/>
        <w:gridCol w:w="1203"/>
        <w:gridCol w:w="1203"/>
        <w:gridCol w:w="1791"/>
      </w:tblGrid>
      <w:tr w:rsidR="00D6251E" w:rsidRPr="00DE7E3A" w14:paraId="550DC2E5" w14:textId="77777777" w:rsidTr="00DE7E3A">
        <w:tc>
          <w:tcPr>
            <w:tcW w:w="1800" w:type="dxa"/>
          </w:tcPr>
          <w:p w14:paraId="00E561B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Transfer Direction</w:t>
            </w:r>
          </w:p>
        </w:tc>
        <w:tc>
          <w:tcPr>
            <w:tcW w:w="1600" w:type="dxa"/>
          </w:tcPr>
          <w:p w14:paraId="7AE1FA0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Domain Shift</w:t>
            </w:r>
          </w:p>
        </w:tc>
        <w:tc>
          <w:tcPr>
            <w:tcW w:w="1000" w:type="dxa"/>
          </w:tcPr>
          <w:p w14:paraId="4A429F6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Source Data (months)</w:t>
            </w:r>
          </w:p>
        </w:tc>
        <w:tc>
          <w:tcPr>
            <w:tcW w:w="1000" w:type="dxa"/>
          </w:tcPr>
          <w:p w14:paraId="78E9761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Target Data (months)</w:t>
            </w:r>
          </w:p>
        </w:tc>
        <w:tc>
          <w:tcPr>
            <w:tcW w:w="1200" w:type="dxa"/>
          </w:tcPr>
          <w:p w14:paraId="2F6494D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R² (No Transfer)</w:t>
            </w:r>
          </w:p>
        </w:tc>
        <w:tc>
          <w:tcPr>
            <w:tcW w:w="1200" w:type="dxa"/>
          </w:tcPr>
          <w:p w14:paraId="40ADF9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R² (With Transfer)</w:t>
            </w:r>
          </w:p>
        </w:tc>
        <w:tc>
          <w:tcPr>
            <w:tcW w:w="2000" w:type="dxa"/>
          </w:tcPr>
          <w:p w14:paraId="6D5AF24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Strategy Adopted</w:t>
            </w:r>
          </w:p>
        </w:tc>
      </w:tr>
      <w:tr w:rsidR="00D6251E" w:rsidRPr="00DE7E3A" w14:paraId="038F24E2" w14:textId="77777777" w:rsidTr="00DE7E3A">
        <w:tc>
          <w:tcPr>
            <w:tcW w:w="1800" w:type="dxa"/>
          </w:tcPr>
          <w:p w14:paraId="0BFAA6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P-1 → P-2</w:t>
            </w:r>
          </w:p>
        </w:tc>
        <w:tc>
          <w:tcPr>
            <w:tcW w:w="1600" w:type="dxa"/>
          </w:tcPr>
          <w:p w14:paraId="29C233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Municipal to Pharmaceutical MBR</w:t>
            </w:r>
          </w:p>
        </w:tc>
        <w:tc>
          <w:tcPr>
            <w:tcW w:w="1000" w:type="dxa"/>
          </w:tcPr>
          <w:p w14:paraId="1A48D2A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24 months</w:t>
            </w:r>
          </w:p>
        </w:tc>
        <w:tc>
          <w:tcPr>
            <w:tcW w:w="1000" w:type="dxa"/>
          </w:tcPr>
          <w:p w14:paraId="76C5179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 months</w:t>
            </w:r>
          </w:p>
        </w:tc>
        <w:tc>
          <w:tcPr>
            <w:tcW w:w="1200" w:type="dxa"/>
          </w:tcPr>
          <w:p w14:paraId="0227096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0.71</w:t>
            </w:r>
          </w:p>
        </w:tc>
        <w:tc>
          <w:tcPr>
            <w:tcW w:w="1200" w:type="dxa"/>
          </w:tcPr>
          <w:p w14:paraId="2EA0462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0.89 (+25%)</w:t>
            </w:r>
          </w:p>
        </w:tc>
        <w:tc>
          <w:tcPr>
            <w:tcW w:w="2000" w:type="dxa"/>
          </w:tcPr>
          <w:p w14:paraId="55B1081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Frozen LSTM layers 1–2; retrained layers 3 + dense</w:t>
            </w:r>
          </w:p>
        </w:tc>
      </w:tr>
      <w:tr w:rsidR="00D6251E" w:rsidRPr="00DE7E3A" w14:paraId="712965EE" w14:textId="77777777" w:rsidTr="00DE7E3A">
        <w:tc>
          <w:tcPr>
            <w:tcW w:w="1800" w:type="dxa"/>
          </w:tcPr>
          <w:p w14:paraId="2586A82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P-1 → P-3</w:t>
            </w:r>
          </w:p>
        </w:tc>
        <w:tc>
          <w:tcPr>
            <w:tcW w:w="1600" w:type="dxa"/>
          </w:tcPr>
          <w:p w14:paraId="39ECAC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Municipal to Oilfield AnMBR</w:t>
            </w:r>
          </w:p>
        </w:tc>
        <w:tc>
          <w:tcPr>
            <w:tcW w:w="1000" w:type="dxa"/>
          </w:tcPr>
          <w:p w14:paraId="4790E25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24 months</w:t>
            </w:r>
          </w:p>
        </w:tc>
        <w:tc>
          <w:tcPr>
            <w:tcW w:w="1000" w:type="dxa"/>
          </w:tcPr>
          <w:p w14:paraId="1C48BE6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 months</w:t>
            </w:r>
          </w:p>
        </w:tc>
        <w:tc>
          <w:tcPr>
            <w:tcW w:w="1200" w:type="dxa"/>
          </w:tcPr>
          <w:p w14:paraId="2DBCA3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0.68</w:t>
            </w:r>
          </w:p>
        </w:tc>
        <w:tc>
          <w:tcPr>
            <w:tcW w:w="1200" w:type="dxa"/>
          </w:tcPr>
          <w:p w14:paraId="38C8D1D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0.84 (+24%)</w:t>
            </w:r>
          </w:p>
        </w:tc>
        <w:tc>
          <w:tcPr>
            <w:tcW w:w="2000" w:type="dxa"/>
          </w:tcPr>
          <w:p w14:paraId="0B26F8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Domain gap high; added oilfield-specific input features</w:t>
            </w:r>
          </w:p>
        </w:tc>
      </w:tr>
      <w:tr w:rsidR="00D6251E" w:rsidRPr="00DE7E3A" w14:paraId="19D35AF7" w14:textId="77777777" w:rsidTr="00DE7E3A">
        <w:tc>
          <w:tcPr>
            <w:tcW w:w="1800" w:type="dxa"/>
          </w:tcPr>
          <w:p w14:paraId="5C384BA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P-1 → P-4</w:t>
            </w:r>
          </w:p>
        </w:tc>
        <w:tc>
          <w:tcPr>
            <w:tcW w:w="1600" w:type="dxa"/>
          </w:tcPr>
          <w:p w14:paraId="76BA362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Municipal to Hospital MBR</w:t>
            </w:r>
          </w:p>
        </w:tc>
        <w:tc>
          <w:tcPr>
            <w:tcW w:w="1000" w:type="dxa"/>
          </w:tcPr>
          <w:p w14:paraId="60BD629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24 months</w:t>
            </w:r>
          </w:p>
        </w:tc>
        <w:tc>
          <w:tcPr>
            <w:tcW w:w="1000" w:type="dxa"/>
          </w:tcPr>
          <w:p w14:paraId="5C7D346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14 months</w:t>
            </w:r>
          </w:p>
        </w:tc>
        <w:tc>
          <w:tcPr>
            <w:tcW w:w="1200" w:type="dxa"/>
          </w:tcPr>
          <w:p w14:paraId="4A50D1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0.79</w:t>
            </w:r>
          </w:p>
        </w:tc>
        <w:tc>
          <w:tcPr>
            <w:tcW w:w="1200" w:type="dxa"/>
          </w:tcPr>
          <w:p w14:paraId="198A92C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0.91 (+15%)</w:t>
            </w:r>
          </w:p>
        </w:tc>
        <w:tc>
          <w:tcPr>
            <w:tcW w:w="2000" w:type="dxa"/>
          </w:tcPr>
          <w:p w14:paraId="742DBDB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Similar influent; minimal fine-tuning required</w:t>
            </w:r>
          </w:p>
        </w:tc>
      </w:tr>
      <w:tr w:rsidR="00D6251E" w:rsidRPr="00DE7E3A" w14:paraId="6A9B15FA" w14:textId="77777777" w:rsidTr="00DE7E3A">
        <w:tc>
          <w:tcPr>
            <w:tcW w:w="1800" w:type="dxa"/>
          </w:tcPr>
          <w:p w14:paraId="5C556E9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P-1 → P-5</w:t>
            </w:r>
          </w:p>
        </w:tc>
        <w:tc>
          <w:tcPr>
            <w:tcW w:w="1600" w:type="dxa"/>
          </w:tcPr>
          <w:p w14:paraId="5480DE9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Municipal to Microalgae-MBR</w:t>
            </w:r>
          </w:p>
        </w:tc>
        <w:tc>
          <w:tcPr>
            <w:tcW w:w="1000" w:type="dxa"/>
          </w:tcPr>
          <w:p w14:paraId="6EE9109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24 months</w:t>
            </w:r>
          </w:p>
        </w:tc>
        <w:tc>
          <w:tcPr>
            <w:tcW w:w="1000" w:type="dxa"/>
          </w:tcPr>
          <w:p w14:paraId="7E2F403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 months</w:t>
            </w:r>
          </w:p>
        </w:tc>
        <w:tc>
          <w:tcPr>
            <w:tcW w:w="1200" w:type="dxa"/>
          </w:tcPr>
          <w:p w14:paraId="75C018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0.76</w:t>
            </w:r>
          </w:p>
        </w:tc>
        <w:tc>
          <w:tcPr>
            <w:tcW w:w="1200" w:type="dxa"/>
          </w:tcPr>
          <w:p w14:paraId="657A186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0.88 (+16%)</w:t>
            </w:r>
          </w:p>
        </w:tc>
        <w:tc>
          <w:tcPr>
            <w:tcW w:w="2000" w:type="dxa"/>
          </w:tcPr>
          <w:p w14:paraId="1807497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Algal biomass dynamics required new input layer</w:t>
            </w:r>
          </w:p>
        </w:tc>
      </w:tr>
      <w:tr w:rsidR="00D6251E" w:rsidRPr="00DE7E3A" w14:paraId="402F065E" w14:textId="77777777" w:rsidTr="00DE7E3A">
        <w:tc>
          <w:tcPr>
            <w:tcW w:w="1800" w:type="dxa"/>
          </w:tcPr>
          <w:p w14:paraId="5AA7024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P-2 → P-3</w:t>
            </w:r>
          </w:p>
        </w:tc>
        <w:tc>
          <w:tcPr>
            <w:tcW w:w="1600" w:type="dxa"/>
          </w:tcPr>
          <w:p w14:paraId="540FD55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Pharmaceutical to Oilfield</w:t>
            </w:r>
          </w:p>
        </w:tc>
        <w:tc>
          <w:tcPr>
            <w:tcW w:w="1000" w:type="dxa"/>
          </w:tcPr>
          <w:p w14:paraId="7E78E34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 months</w:t>
            </w:r>
          </w:p>
        </w:tc>
        <w:tc>
          <w:tcPr>
            <w:tcW w:w="1000" w:type="dxa"/>
          </w:tcPr>
          <w:p w14:paraId="7EB488E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 months</w:t>
            </w:r>
          </w:p>
        </w:tc>
        <w:tc>
          <w:tcPr>
            <w:tcW w:w="1200" w:type="dxa"/>
          </w:tcPr>
          <w:p w14:paraId="6EF55CB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0.62</w:t>
            </w:r>
          </w:p>
        </w:tc>
        <w:tc>
          <w:tcPr>
            <w:tcW w:w="1200" w:type="dxa"/>
          </w:tcPr>
          <w:p w14:paraId="55F38F8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0.79 (+27%)</w:t>
            </w:r>
          </w:p>
        </w:tc>
        <w:tc>
          <w:tcPr>
            <w:tcW w:w="2000" w:type="dxa"/>
          </w:tcPr>
          <w:p w14:paraId="7BD547C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Low data both sources; few-shot fine-tuning</w:t>
            </w:r>
          </w:p>
        </w:tc>
      </w:tr>
      <w:tr w:rsidR="00D6251E" w:rsidRPr="00DE7E3A" w14:paraId="3D37C4FF" w14:textId="77777777" w:rsidTr="00DE7E3A">
        <w:tc>
          <w:tcPr>
            <w:tcW w:w="1800" w:type="dxa"/>
          </w:tcPr>
          <w:p w14:paraId="671407C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P-4 → P-5</w:t>
            </w:r>
          </w:p>
        </w:tc>
        <w:tc>
          <w:tcPr>
            <w:tcW w:w="1600" w:type="dxa"/>
          </w:tcPr>
          <w:p w14:paraId="067C6A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Hospital to Microalgae-MBR</w:t>
            </w:r>
          </w:p>
        </w:tc>
        <w:tc>
          <w:tcPr>
            <w:tcW w:w="1000" w:type="dxa"/>
          </w:tcPr>
          <w:p w14:paraId="6E1C71E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14 months</w:t>
            </w:r>
          </w:p>
        </w:tc>
        <w:tc>
          <w:tcPr>
            <w:tcW w:w="1000" w:type="dxa"/>
          </w:tcPr>
          <w:p w14:paraId="5449BD8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 months</w:t>
            </w:r>
          </w:p>
        </w:tc>
        <w:tc>
          <w:tcPr>
            <w:tcW w:w="1200" w:type="dxa"/>
          </w:tcPr>
          <w:p w14:paraId="2BF8900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0.81</w:t>
            </w:r>
          </w:p>
        </w:tc>
        <w:tc>
          <w:tcPr>
            <w:tcW w:w="1200" w:type="dxa"/>
          </w:tcPr>
          <w:p w14:paraId="79BA27E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0.90 (+11%)</w:t>
            </w:r>
          </w:p>
        </w:tc>
        <w:tc>
          <w:tcPr>
            <w:tcW w:w="2000" w:type="dxa"/>
          </w:tcPr>
          <w:p w14:paraId="759A583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Best source-target similarity; rapid adaptation</w:t>
            </w:r>
          </w:p>
        </w:tc>
      </w:tr>
    </w:tbl>
    <w:p w14:paraId="1F8D4454"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All transfer learning experiments used the same frozen-layer strategy unless otherwise stated. Target domains with &lt;10 months of labeled data benefited most from transfer learning. The P-2 → P-3 experiment involved the largest domain gap (municipal to oilfield produced water); the 27% R² improvement demonstrates the generalisability of the XAI-AMBR approach.</w:t>
      </w:r>
    </w:p>
    <w:p w14:paraId="09830E41" w14:textId="77777777" w:rsidR="00D6251E" w:rsidRPr="00DE7E3A" w:rsidRDefault="00D6251E" w:rsidP="00DE7E3A">
      <w:pPr>
        <w:spacing w:before="60" w:after="60"/>
        <w:jc w:val="both"/>
        <w:rPr>
          <w:rFonts w:ascii="Times New Roman" w:hAnsi="Times New Roman" w:cs="Times New Roman"/>
          <w:sz w:val="24"/>
          <w:szCs w:val="24"/>
        </w:rPr>
      </w:pPr>
    </w:p>
    <w:p w14:paraId="03C68EE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br w:type="page"/>
      </w:r>
    </w:p>
    <w:p w14:paraId="73644193" w14:textId="77777777" w:rsidR="00D6251E" w:rsidRPr="00DE7E3A" w:rsidRDefault="00000000" w:rsidP="00DE7E3A">
      <w:pPr>
        <w:pStyle w:val="Heading1"/>
        <w:jc w:val="both"/>
        <w:rPr>
          <w:rFonts w:ascii="Times New Roman" w:hAnsi="Times New Roman" w:cs="Times New Roman"/>
          <w:color w:val="auto"/>
          <w:sz w:val="24"/>
          <w:szCs w:val="24"/>
        </w:rPr>
      </w:pPr>
      <w:r w:rsidRPr="00DE7E3A">
        <w:rPr>
          <w:rFonts w:ascii="Times New Roman" w:hAnsi="Times New Roman" w:cs="Times New Roman"/>
          <w:color w:val="auto"/>
          <w:sz w:val="24"/>
          <w:szCs w:val="24"/>
        </w:rPr>
        <w:lastRenderedPageBreak/>
        <w:t>Table S8. Detailed Energy Consumption Breakdown</w:t>
      </w:r>
    </w:p>
    <w:p w14:paraId="68349D8F"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Itemised specific energy consumption (kWh per m³ treated) for each process component across the three treatment configurations. Values represent means ± standard deviations from 24-month operational data at a representative 10,000 m³/d plant scale.</w:t>
      </w:r>
    </w:p>
    <w:p w14:paraId="458D6C36"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179"/>
        <w:gridCol w:w="1222"/>
        <w:gridCol w:w="1222"/>
        <w:gridCol w:w="1222"/>
        <w:gridCol w:w="1175"/>
        <w:gridCol w:w="1183"/>
        <w:gridCol w:w="1597"/>
      </w:tblGrid>
      <w:tr w:rsidR="00D6251E" w:rsidRPr="00DE7E3A" w14:paraId="491F8D78" w14:textId="77777777" w:rsidTr="00DE7E3A">
        <w:tc>
          <w:tcPr>
            <w:tcW w:w="2200" w:type="dxa"/>
          </w:tcPr>
          <w:p w14:paraId="5D7D37B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Energy Component</w:t>
            </w:r>
          </w:p>
        </w:tc>
        <w:tc>
          <w:tcPr>
            <w:tcW w:w="1200" w:type="dxa"/>
          </w:tcPr>
          <w:p w14:paraId="27CF817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CAS (kWh/m³)</w:t>
            </w:r>
          </w:p>
        </w:tc>
        <w:tc>
          <w:tcPr>
            <w:tcW w:w="1200" w:type="dxa"/>
          </w:tcPr>
          <w:p w14:paraId="5EA649C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Std. MBR (kWh/m³)</w:t>
            </w:r>
          </w:p>
        </w:tc>
        <w:tc>
          <w:tcPr>
            <w:tcW w:w="1200" w:type="dxa"/>
          </w:tcPr>
          <w:p w14:paraId="2C6872A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XAI-AMBR (kWh/m³)</w:t>
            </w:r>
          </w:p>
        </w:tc>
        <w:tc>
          <w:tcPr>
            <w:tcW w:w="1200" w:type="dxa"/>
          </w:tcPr>
          <w:p w14:paraId="3E03BF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 of CAS Total</w:t>
            </w:r>
          </w:p>
        </w:tc>
        <w:tc>
          <w:tcPr>
            <w:tcW w:w="1200" w:type="dxa"/>
          </w:tcPr>
          <w:p w14:paraId="30E0C48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 of XAI-AMBR Total</w:t>
            </w:r>
          </w:p>
        </w:tc>
        <w:tc>
          <w:tcPr>
            <w:tcW w:w="1600" w:type="dxa"/>
          </w:tcPr>
          <w:p w14:paraId="39DF5DD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Key Optimisation Lever</w:t>
            </w:r>
          </w:p>
        </w:tc>
      </w:tr>
      <w:tr w:rsidR="00D6251E" w:rsidRPr="00DE7E3A" w14:paraId="5DFB2A67" w14:textId="77777777" w:rsidTr="00DE7E3A">
        <w:tc>
          <w:tcPr>
            <w:tcW w:w="2200" w:type="dxa"/>
          </w:tcPr>
          <w:p w14:paraId="5A830D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Membrane aeration (coarse bubble diffusers)</w:t>
            </w:r>
          </w:p>
        </w:tc>
        <w:tc>
          <w:tcPr>
            <w:tcW w:w="1200" w:type="dxa"/>
          </w:tcPr>
          <w:p w14:paraId="70A26BE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0.38 ± 0.04</w:t>
            </w:r>
          </w:p>
        </w:tc>
        <w:tc>
          <w:tcPr>
            <w:tcW w:w="1200" w:type="dxa"/>
          </w:tcPr>
          <w:p w14:paraId="2213A0A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0.28 ± 0.03</w:t>
            </w:r>
          </w:p>
        </w:tc>
        <w:tc>
          <w:tcPr>
            <w:tcW w:w="1200" w:type="dxa"/>
          </w:tcPr>
          <w:p w14:paraId="660788E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0.19 ± 0.02</w:t>
            </w:r>
          </w:p>
        </w:tc>
        <w:tc>
          <w:tcPr>
            <w:tcW w:w="1200" w:type="dxa"/>
          </w:tcPr>
          <w:p w14:paraId="4A1AE18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46.3%</w:t>
            </w:r>
          </w:p>
        </w:tc>
        <w:tc>
          <w:tcPr>
            <w:tcW w:w="1200" w:type="dxa"/>
          </w:tcPr>
          <w:p w14:paraId="044ABD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32.2%</w:t>
            </w:r>
          </w:p>
        </w:tc>
        <w:tc>
          <w:tcPr>
            <w:tcW w:w="1600" w:type="dxa"/>
          </w:tcPr>
          <w:p w14:paraId="4265FF2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Intermittent aeration + AI-optimised cycles</w:t>
            </w:r>
          </w:p>
        </w:tc>
      </w:tr>
      <w:tr w:rsidR="00D6251E" w:rsidRPr="00DE7E3A" w14:paraId="15654AC6" w14:textId="77777777" w:rsidTr="00DE7E3A">
        <w:tc>
          <w:tcPr>
            <w:tcW w:w="2200" w:type="dxa"/>
          </w:tcPr>
          <w:p w14:paraId="07968F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Permeate pumping</w:t>
            </w:r>
          </w:p>
        </w:tc>
        <w:tc>
          <w:tcPr>
            <w:tcW w:w="1200" w:type="dxa"/>
          </w:tcPr>
          <w:p w14:paraId="35FBCE0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0.18 ± 0.02</w:t>
            </w:r>
          </w:p>
        </w:tc>
        <w:tc>
          <w:tcPr>
            <w:tcW w:w="1200" w:type="dxa"/>
          </w:tcPr>
          <w:p w14:paraId="181CB61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0.14 ± 0.02</w:t>
            </w:r>
          </w:p>
        </w:tc>
        <w:tc>
          <w:tcPr>
            <w:tcW w:w="1200" w:type="dxa"/>
          </w:tcPr>
          <w:p w14:paraId="20837E3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0.11 ± 0.01</w:t>
            </w:r>
          </w:p>
        </w:tc>
        <w:tc>
          <w:tcPr>
            <w:tcW w:w="1200" w:type="dxa"/>
          </w:tcPr>
          <w:p w14:paraId="6F8E756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22.0%</w:t>
            </w:r>
          </w:p>
        </w:tc>
        <w:tc>
          <w:tcPr>
            <w:tcW w:w="1200" w:type="dxa"/>
          </w:tcPr>
          <w:p w14:paraId="473AAD5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23.9%</w:t>
            </w:r>
          </w:p>
        </w:tc>
        <w:tc>
          <w:tcPr>
            <w:tcW w:w="1600" w:type="dxa"/>
          </w:tcPr>
          <w:p w14:paraId="311889A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Variable speed drives + flux optimisation</w:t>
            </w:r>
          </w:p>
        </w:tc>
      </w:tr>
      <w:tr w:rsidR="00D6251E" w:rsidRPr="00DE7E3A" w14:paraId="2F5C7E03" w14:textId="77777777" w:rsidTr="00DE7E3A">
        <w:tc>
          <w:tcPr>
            <w:tcW w:w="2200" w:type="dxa"/>
          </w:tcPr>
          <w:p w14:paraId="69F23A8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Sludge recirculation / RAS</w:t>
            </w:r>
          </w:p>
        </w:tc>
        <w:tc>
          <w:tcPr>
            <w:tcW w:w="1200" w:type="dxa"/>
          </w:tcPr>
          <w:p w14:paraId="0CBB905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0.10 ± 0.01</w:t>
            </w:r>
          </w:p>
        </w:tc>
        <w:tc>
          <w:tcPr>
            <w:tcW w:w="1200" w:type="dxa"/>
          </w:tcPr>
          <w:p w14:paraId="129DA19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0.09 ± 0.01</w:t>
            </w:r>
          </w:p>
        </w:tc>
        <w:tc>
          <w:tcPr>
            <w:tcW w:w="1200" w:type="dxa"/>
          </w:tcPr>
          <w:p w14:paraId="444CEF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0.07 ± 0.01</w:t>
            </w:r>
          </w:p>
        </w:tc>
        <w:tc>
          <w:tcPr>
            <w:tcW w:w="1200" w:type="dxa"/>
          </w:tcPr>
          <w:p w14:paraId="569F26A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12.2%</w:t>
            </w:r>
          </w:p>
        </w:tc>
        <w:tc>
          <w:tcPr>
            <w:tcW w:w="1200" w:type="dxa"/>
          </w:tcPr>
          <w:p w14:paraId="329AD6E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15.2%</w:t>
            </w:r>
          </w:p>
        </w:tc>
        <w:tc>
          <w:tcPr>
            <w:tcW w:w="1600" w:type="dxa"/>
          </w:tcPr>
          <w:p w14:paraId="7932DD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Reduced RAS with NSGA-II control</w:t>
            </w:r>
          </w:p>
        </w:tc>
      </w:tr>
      <w:tr w:rsidR="00D6251E" w:rsidRPr="00DE7E3A" w14:paraId="0606AA8C" w14:textId="77777777" w:rsidTr="00DE7E3A">
        <w:tc>
          <w:tcPr>
            <w:tcW w:w="2200" w:type="dxa"/>
          </w:tcPr>
          <w:p w14:paraId="0A5B116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Influent lift pumping</w:t>
            </w:r>
          </w:p>
        </w:tc>
        <w:tc>
          <w:tcPr>
            <w:tcW w:w="1200" w:type="dxa"/>
          </w:tcPr>
          <w:p w14:paraId="62B888B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0.07 ± 0.01</w:t>
            </w:r>
          </w:p>
        </w:tc>
        <w:tc>
          <w:tcPr>
            <w:tcW w:w="1200" w:type="dxa"/>
          </w:tcPr>
          <w:p w14:paraId="5C61D9E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0.06 ± 0.01</w:t>
            </w:r>
          </w:p>
        </w:tc>
        <w:tc>
          <w:tcPr>
            <w:tcW w:w="1200" w:type="dxa"/>
          </w:tcPr>
          <w:p w14:paraId="30F2463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0.05 ± 0.01</w:t>
            </w:r>
          </w:p>
        </w:tc>
        <w:tc>
          <w:tcPr>
            <w:tcW w:w="1200" w:type="dxa"/>
          </w:tcPr>
          <w:p w14:paraId="597BB19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8.5%</w:t>
            </w:r>
          </w:p>
        </w:tc>
        <w:tc>
          <w:tcPr>
            <w:tcW w:w="1200" w:type="dxa"/>
          </w:tcPr>
          <w:p w14:paraId="795A093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10.9%</w:t>
            </w:r>
          </w:p>
        </w:tc>
        <w:tc>
          <w:tcPr>
            <w:tcW w:w="1600" w:type="dxa"/>
          </w:tcPr>
          <w:p w14:paraId="0E203E6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Gravity-assisted where possible</w:t>
            </w:r>
          </w:p>
        </w:tc>
      </w:tr>
      <w:tr w:rsidR="00D6251E" w:rsidRPr="00DE7E3A" w14:paraId="6E99829A" w14:textId="77777777" w:rsidTr="00DE7E3A">
        <w:tc>
          <w:tcPr>
            <w:tcW w:w="2200" w:type="dxa"/>
          </w:tcPr>
          <w:p w14:paraId="48C9680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HVAC &amp; building services</w:t>
            </w:r>
          </w:p>
        </w:tc>
        <w:tc>
          <w:tcPr>
            <w:tcW w:w="1200" w:type="dxa"/>
          </w:tcPr>
          <w:p w14:paraId="71A8534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0.04 ± 0.005</w:t>
            </w:r>
          </w:p>
        </w:tc>
        <w:tc>
          <w:tcPr>
            <w:tcW w:w="1200" w:type="dxa"/>
          </w:tcPr>
          <w:p w14:paraId="618F54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0.04 ± 0.005</w:t>
            </w:r>
          </w:p>
        </w:tc>
        <w:tc>
          <w:tcPr>
            <w:tcW w:w="1200" w:type="dxa"/>
          </w:tcPr>
          <w:p w14:paraId="52AAD6E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0.03 ± 0.005</w:t>
            </w:r>
          </w:p>
        </w:tc>
        <w:tc>
          <w:tcPr>
            <w:tcW w:w="1200" w:type="dxa"/>
          </w:tcPr>
          <w:p w14:paraId="7F03FCB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4.9%</w:t>
            </w:r>
          </w:p>
        </w:tc>
        <w:tc>
          <w:tcPr>
            <w:tcW w:w="1200" w:type="dxa"/>
          </w:tcPr>
          <w:p w14:paraId="5701EDC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6.5%</w:t>
            </w:r>
          </w:p>
        </w:tc>
        <w:tc>
          <w:tcPr>
            <w:tcW w:w="1600" w:type="dxa"/>
          </w:tcPr>
          <w:p w14:paraId="000C2FF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Energy-efficient sensors + variable lighting</w:t>
            </w:r>
          </w:p>
        </w:tc>
      </w:tr>
      <w:tr w:rsidR="00D6251E" w:rsidRPr="00DE7E3A" w14:paraId="4F0E207A" w14:textId="77777777" w:rsidTr="00DE7E3A">
        <w:tc>
          <w:tcPr>
            <w:tcW w:w="2200" w:type="dxa"/>
          </w:tcPr>
          <w:p w14:paraId="123446A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Chemical dosing systems</w:t>
            </w:r>
          </w:p>
        </w:tc>
        <w:tc>
          <w:tcPr>
            <w:tcW w:w="1200" w:type="dxa"/>
          </w:tcPr>
          <w:p w14:paraId="7A87741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0.03 ± 0.003</w:t>
            </w:r>
          </w:p>
        </w:tc>
        <w:tc>
          <w:tcPr>
            <w:tcW w:w="1200" w:type="dxa"/>
          </w:tcPr>
          <w:p w14:paraId="397EA1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0.02 ± 0.002</w:t>
            </w:r>
          </w:p>
        </w:tc>
        <w:tc>
          <w:tcPr>
            <w:tcW w:w="1200" w:type="dxa"/>
          </w:tcPr>
          <w:p w14:paraId="4A18D0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0.02 ± 0.002</w:t>
            </w:r>
          </w:p>
        </w:tc>
        <w:tc>
          <w:tcPr>
            <w:tcW w:w="1200" w:type="dxa"/>
          </w:tcPr>
          <w:p w14:paraId="34F299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3.7%</w:t>
            </w:r>
          </w:p>
        </w:tc>
        <w:tc>
          <w:tcPr>
            <w:tcW w:w="1200" w:type="dxa"/>
          </w:tcPr>
          <w:p w14:paraId="5A08081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4.3%</w:t>
            </w:r>
          </w:p>
        </w:tc>
        <w:tc>
          <w:tcPr>
            <w:tcW w:w="1600" w:type="dxa"/>
          </w:tcPr>
          <w:p w14:paraId="012A4E6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Fewer chemical cleanings (72% longer intervals)</w:t>
            </w:r>
          </w:p>
        </w:tc>
      </w:tr>
      <w:tr w:rsidR="00D6251E" w:rsidRPr="00DE7E3A" w14:paraId="7963FFD1" w14:textId="77777777" w:rsidTr="00DE7E3A">
        <w:tc>
          <w:tcPr>
            <w:tcW w:w="2200" w:type="dxa"/>
          </w:tcPr>
          <w:p w14:paraId="6C00D37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Instrumentation &amp; IoT network</w:t>
            </w:r>
          </w:p>
        </w:tc>
        <w:tc>
          <w:tcPr>
            <w:tcW w:w="1200" w:type="dxa"/>
          </w:tcPr>
          <w:p w14:paraId="76BD7E2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0.01 ± 0.001</w:t>
            </w:r>
          </w:p>
        </w:tc>
        <w:tc>
          <w:tcPr>
            <w:tcW w:w="1200" w:type="dxa"/>
          </w:tcPr>
          <w:p w14:paraId="5E9D9D2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0.01 ± 0.001</w:t>
            </w:r>
          </w:p>
        </w:tc>
        <w:tc>
          <w:tcPr>
            <w:tcW w:w="1200" w:type="dxa"/>
          </w:tcPr>
          <w:p w14:paraId="5FA376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0.01 ± 0.001</w:t>
            </w:r>
          </w:p>
        </w:tc>
        <w:tc>
          <w:tcPr>
            <w:tcW w:w="1200" w:type="dxa"/>
          </w:tcPr>
          <w:p w14:paraId="1CFF4A1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w:t>
            </w:r>
          </w:p>
        </w:tc>
        <w:tc>
          <w:tcPr>
            <w:tcW w:w="1200" w:type="dxa"/>
          </w:tcPr>
          <w:p w14:paraId="08C9F21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2.2%</w:t>
            </w:r>
          </w:p>
        </w:tc>
        <w:tc>
          <w:tcPr>
            <w:tcW w:w="1600" w:type="dxa"/>
          </w:tcPr>
          <w:p w14:paraId="4659AD8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Low-power edge computing nodes</w:t>
            </w:r>
          </w:p>
        </w:tc>
      </w:tr>
      <w:tr w:rsidR="00D6251E" w:rsidRPr="00DE7E3A" w14:paraId="41AAEB56" w14:textId="77777777" w:rsidTr="00DE7E3A">
        <w:tc>
          <w:tcPr>
            <w:tcW w:w="2200" w:type="dxa"/>
          </w:tcPr>
          <w:p w14:paraId="0C59EFF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Miscellaneous (lighting, SCADA)</w:t>
            </w:r>
          </w:p>
        </w:tc>
        <w:tc>
          <w:tcPr>
            <w:tcW w:w="1200" w:type="dxa"/>
          </w:tcPr>
          <w:p w14:paraId="71576DB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0.01 ± 0.001</w:t>
            </w:r>
          </w:p>
        </w:tc>
        <w:tc>
          <w:tcPr>
            <w:tcW w:w="1200" w:type="dxa"/>
          </w:tcPr>
          <w:p w14:paraId="4219961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0.01 ± 0.001</w:t>
            </w:r>
          </w:p>
        </w:tc>
        <w:tc>
          <w:tcPr>
            <w:tcW w:w="1200" w:type="dxa"/>
          </w:tcPr>
          <w:p w14:paraId="6A9F032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0.008 ± 0.001</w:t>
            </w:r>
          </w:p>
        </w:tc>
        <w:tc>
          <w:tcPr>
            <w:tcW w:w="1200" w:type="dxa"/>
          </w:tcPr>
          <w:p w14:paraId="714A09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w:t>
            </w:r>
          </w:p>
        </w:tc>
        <w:tc>
          <w:tcPr>
            <w:tcW w:w="1200" w:type="dxa"/>
          </w:tcPr>
          <w:p w14:paraId="40549A8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1.7%</w:t>
            </w:r>
          </w:p>
        </w:tc>
        <w:tc>
          <w:tcPr>
            <w:tcW w:w="1600" w:type="dxa"/>
          </w:tcPr>
          <w:p w14:paraId="08B9241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Automation reduces manual processes</w:t>
            </w:r>
          </w:p>
        </w:tc>
      </w:tr>
      <w:tr w:rsidR="00D6251E" w:rsidRPr="00DE7E3A" w14:paraId="349C6270" w14:textId="77777777" w:rsidTr="00DE7E3A">
        <w:tc>
          <w:tcPr>
            <w:tcW w:w="2200" w:type="dxa"/>
          </w:tcPr>
          <w:p w14:paraId="55131FA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TOTAL</w:t>
            </w:r>
          </w:p>
        </w:tc>
        <w:tc>
          <w:tcPr>
            <w:tcW w:w="1200" w:type="dxa"/>
          </w:tcPr>
          <w:p w14:paraId="59B31D1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0.82 ± 0.09</w:t>
            </w:r>
          </w:p>
        </w:tc>
        <w:tc>
          <w:tcPr>
            <w:tcW w:w="1200" w:type="dxa"/>
          </w:tcPr>
          <w:p w14:paraId="476FF5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0.65 ± 0.06</w:t>
            </w:r>
          </w:p>
        </w:tc>
        <w:tc>
          <w:tcPr>
            <w:tcW w:w="1200" w:type="dxa"/>
          </w:tcPr>
          <w:p w14:paraId="2D1B39B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0.46 ± 0.04</w:t>
            </w:r>
          </w:p>
        </w:tc>
        <w:tc>
          <w:tcPr>
            <w:tcW w:w="1200" w:type="dxa"/>
          </w:tcPr>
          <w:p w14:paraId="0883108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100%</w:t>
            </w:r>
          </w:p>
        </w:tc>
        <w:tc>
          <w:tcPr>
            <w:tcW w:w="1200" w:type="dxa"/>
          </w:tcPr>
          <w:p w14:paraId="271EEB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100%</w:t>
            </w:r>
          </w:p>
        </w:tc>
        <w:tc>
          <w:tcPr>
            <w:tcW w:w="1600" w:type="dxa"/>
          </w:tcPr>
          <w:p w14:paraId="684EDDB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43.9% reduction vs CAS; 18.7% vs standard MBR</w:t>
            </w:r>
          </w:p>
        </w:tc>
      </w:tr>
    </w:tbl>
    <w:p w14:paraId="6E793BED"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 xml:space="preserve">Note: Energy measurements were taken from calibrated in-line energy meters (class 0.5 accuracy) installed on each major drive. Membrane aeration accounts for 46.3% of CAS total energy and 41.3% of </w:t>
      </w:r>
      <w:r w:rsidRPr="00DE7E3A">
        <w:rPr>
          <w:rFonts w:ascii="Times New Roman" w:hAnsi="Times New Roman" w:cs="Times New Roman"/>
          <w:i/>
          <w:iCs/>
          <w:sz w:val="24"/>
          <w:szCs w:val="24"/>
        </w:rPr>
        <w:lastRenderedPageBreak/>
        <w:t>XAI-AMBR total energy, confirming it as the primary optimisation target. AI-optimised intermittent aeration (30/30 on-off cycling adjusted dynamically) was the largest single contributor to energy savings.</w:t>
      </w:r>
    </w:p>
    <w:p w14:paraId="3BFCD9C0" w14:textId="77777777" w:rsidR="00D6251E" w:rsidRPr="00DE7E3A" w:rsidRDefault="00D6251E" w:rsidP="00DE7E3A">
      <w:pPr>
        <w:spacing w:before="60" w:after="60"/>
        <w:jc w:val="both"/>
        <w:rPr>
          <w:rFonts w:ascii="Times New Roman" w:hAnsi="Times New Roman" w:cs="Times New Roman"/>
          <w:sz w:val="24"/>
          <w:szCs w:val="24"/>
        </w:rPr>
      </w:pPr>
    </w:p>
    <w:p w14:paraId="52BD205B" w14:textId="58678EE6"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S9. Cost-Benefit Analysis</w:t>
      </w:r>
    </w:p>
    <w:p w14:paraId="3C8F22E4"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Life-cycle cost-benefit analysis for a hypothetical 10,000 m³/day plant comparing CAS, Standard MBR, and XAI-AMBR configurations. Costs are expressed in USD (2024 prices). Energy cost assumes 0.08 USD/kWh industrial tariff.</w:t>
      </w:r>
    </w:p>
    <w:p w14:paraId="5A3A6AE1"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600"/>
        <w:gridCol w:w="1400"/>
        <w:gridCol w:w="1400"/>
        <w:gridCol w:w="1400"/>
        <w:gridCol w:w="1400"/>
        <w:gridCol w:w="1600"/>
      </w:tblGrid>
      <w:tr w:rsidR="00D6251E" w:rsidRPr="00DE7E3A" w14:paraId="4AB8211A" w14:textId="77777777" w:rsidTr="00DE7E3A">
        <w:tc>
          <w:tcPr>
            <w:tcW w:w="2600" w:type="dxa"/>
          </w:tcPr>
          <w:p w14:paraId="0E2322B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Cost/Benefit Item</w:t>
            </w:r>
          </w:p>
        </w:tc>
        <w:tc>
          <w:tcPr>
            <w:tcW w:w="1400" w:type="dxa"/>
          </w:tcPr>
          <w:p w14:paraId="74F78C5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CAS (10,000 m³/d)</w:t>
            </w:r>
          </w:p>
        </w:tc>
        <w:tc>
          <w:tcPr>
            <w:tcW w:w="1400" w:type="dxa"/>
          </w:tcPr>
          <w:p w14:paraId="57CEBD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Standard MBR</w:t>
            </w:r>
          </w:p>
        </w:tc>
        <w:tc>
          <w:tcPr>
            <w:tcW w:w="1400" w:type="dxa"/>
          </w:tcPr>
          <w:p w14:paraId="315B868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XAI-AMBR</w:t>
            </w:r>
          </w:p>
        </w:tc>
        <w:tc>
          <w:tcPr>
            <w:tcW w:w="1400" w:type="dxa"/>
          </w:tcPr>
          <w:p w14:paraId="1F44A6F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Time Horizon</w:t>
            </w:r>
          </w:p>
        </w:tc>
        <w:tc>
          <w:tcPr>
            <w:tcW w:w="1600" w:type="dxa"/>
          </w:tcPr>
          <w:p w14:paraId="27C4FA0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Notes</w:t>
            </w:r>
          </w:p>
        </w:tc>
      </w:tr>
      <w:tr w:rsidR="00D6251E" w:rsidRPr="00DE7E3A" w14:paraId="625CBFB3" w14:textId="77777777" w:rsidTr="00DE7E3A">
        <w:tc>
          <w:tcPr>
            <w:tcW w:w="2600" w:type="dxa"/>
          </w:tcPr>
          <w:p w14:paraId="14DABE6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Capital cost – membranes (replacement cycle)</w:t>
            </w:r>
          </w:p>
        </w:tc>
        <w:tc>
          <w:tcPr>
            <w:tcW w:w="1400" w:type="dxa"/>
          </w:tcPr>
          <w:p w14:paraId="26C68A9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280,000</w:t>
            </w:r>
          </w:p>
        </w:tc>
        <w:tc>
          <w:tcPr>
            <w:tcW w:w="1400" w:type="dxa"/>
          </w:tcPr>
          <w:p w14:paraId="29BEDC2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320,000</w:t>
            </w:r>
          </w:p>
        </w:tc>
        <w:tc>
          <w:tcPr>
            <w:tcW w:w="1400" w:type="dxa"/>
          </w:tcPr>
          <w:p w14:paraId="1A0FB6B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280,000 (–12.5%)</w:t>
            </w:r>
          </w:p>
        </w:tc>
        <w:tc>
          <w:tcPr>
            <w:tcW w:w="1400" w:type="dxa"/>
          </w:tcPr>
          <w:p w14:paraId="67E0F3A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5–7 years</w:t>
            </w:r>
          </w:p>
        </w:tc>
        <w:tc>
          <w:tcPr>
            <w:tcW w:w="1600" w:type="dxa"/>
          </w:tcPr>
          <w:p w14:paraId="3BEF31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72% longer service life reduces replacement cost by ~USD 40,000/cycle</w:t>
            </w:r>
          </w:p>
        </w:tc>
      </w:tr>
      <w:tr w:rsidR="00D6251E" w:rsidRPr="00DE7E3A" w14:paraId="5E71B5B2" w14:textId="77777777" w:rsidTr="00DE7E3A">
        <w:tc>
          <w:tcPr>
            <w:tcW w:w="2600" w:type="dxa"/>
          </w:tcPr>
          <w:p w14:paraId="1B3310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Capital cost – AI/IoT infrastructure</w:t>
            </w:r>
          </w:p>
        </w:tc>
        <w:tc>
          <w:tcPr>
            <w:tcW w:w="1400" w:type="dxa"/>
          </w:tcPr>
          <w:p w14:paraId="1102E8A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37A4F9A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4F098BF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45,000</w:t>
            </w:r>
          </w:p>
        </w:tc>
        <w:tc>
          <w:tcPr>
            <w:tcW w:w="1400" w:type="dxa"/>
          </w:tcPr>
          <w:p w14:paraId="3C4AC9C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One-time</w:t>
            </w:r>
          </w:p>
        </w:tc>
        <w:tc>
          <w:tcPr>
            <w:tcW w:w="1600" w:type="dxa"/>
          </w:tcPr>
          <w:p w14:paraId="1C2BFC1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Edge computing nodes, sensors, digital twin setup</w:t>
            </w:r>
          </w:p>
        </w:tc>
      </w:tr>
      <w:tr w:rsidR="00D6251E" w:rsidRPr="00DE7E3A" w14:paraId="52403ABA" w14:textId="77777777" w:rsidTr="00DE7E3A">
        <w:tc>
          <w:tcPr>
            <w:tcW w:w="2600" w:type="dxa"/>
          </w:tcPr>
          <w:p w14:paraId="4B545D3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Capital cost – civil &amp; structural</w:t>
            </w:r>
          </w:p>
        </w:tc>
        <w:tc>
          <w:tcPr>
            <w:tcW w:w="1400" w:type="dxa"/>
          </w:tcPr>
          <w:p w14:paraId="7E898C0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1,200,000</w:t>
            </w:r>
          </w:p>
        </w:tc>
        <w:tc>
          <w:tcPr>
            <w:tcW w:w="1400" w:type="dxa"/>
          </w:tcPr>
          <w:p w14:paraId="7DCDE27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1,100,000</w:t>
            </w:r>
          </w:p>
        </w:tc>
        <w:tc>
          <w:tcPr>
            <w:tcW w:w="1400" w:type="dxa"/>
          </w:tcPr>
          <w:p w14:paraId="5E7543F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1,100,000 (0%)</w:t>
            </w:r>
          </w:p>
        </w:tc>
        <w:tc>
          <w:tcPr>
            <w:tcW w:w="1400" w:type="dxa"/>
          </w:tcPr>
          <w:p w14:paraId="53BE6E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25 years</w:t>
            </w:r>
          </w:p>
        </w:tc>
        <w:tc>
          <w:tcPr>
            <w:tcW w:w="1600" w:type="dxa"/>
          </w:tcPr>
          <w:p w14:paraId="4BB3F8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No additional civil works required</w:t>
            </w:r>
          </w:p>
        </w:tc>
      </w:tr>
      <w:tr w:rsidR="00D6251E" w:rsidRPr="00DE7E3A" w14:paraId="59212AC9" w14:textId="77777777" w:rsidTr="00DE7E3A">
        <w:tc>
          <w:tcPr>
            <w:tcW w:w="2600" w:type="dxa"/>
          </w:tcPr>
          <w:p w14:paraId="0519E54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Annual energy cost</w:t>
            </w:r>
          </w:p>
        </w:tc>
        <w:tc>
          <w:tcPr>
            <w:tcW w:w="1400" w:type="dxa"/>
          </w:tcPr>
          <w:p w14:paraId="4D7D00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246,000</w:t>
            </w:r>
          </w:p>
        </w:tc>
        <w:tc>
          <w:tcPr>
            <w:tcW w:w="1400" w:type="dxa"/>
          </w:tcPr>
          <w:p w14:paraId="4F7D7B9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195,000</w:t>
            </w:r>
          </w:p>
        </w:tc>
        <w:tc>
          <w:tcPr>
            <w:tcW w:w="1400" w:type="dxa"/>
          </w:tcPr>
          <w:p w14:paraId="1BFB529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138,000 (–29.2%)</w:t>
            </w:r>
          </w:p>
        </w:tc>
        <w:tc>
          <w:tcPr>
            <w:tcW w:w="1400" w:type="dxa"/>
          </w:tcPr>
          <w:p w14:paraId="139CDC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Ongoing</w:t>
            </w:r>
          </w:p>
        </w:tc>
        <w:tc>
          <w:tcPr>
            <w:tcW w:w="1600" w:type="dxa"/>
          </w:tcPr>
          <w:p w14:paraId="03CC8BF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Based on 0.08 USD/kWh grid tariff</w:t>
            </w:r>
          </w:p>
        </w:tc>
      </w:tr>
      <w:tr w:rsidR="00D6251E" w:rsidRPr="00DE7E3A" w14:paraId="36FC0421" w14:textId="77777777" w:rsidTr="00DE7E3A">
        <w:tc>
          <w:tcPr>
            <w:tcW w:w="2600" w:type="dxa"/>
          </w:tcPr>
          <w:p w14:paraId="68734E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Annual chemical cleaning cost</w:t>
            </w:r>
          </w:p>
        </w:tc>
        <w:tc>
          <w:tcPr>
            <w:tcW w:w="1400" w:type="dxa"/>
          </w:tcPr>
          <w:p w14:paraId="2A96F9B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28,000</w:t>
            </w:r>
          </w:p>
        </w:tc>
        <w:tc>
          <w:tcPr>
            <w:tcW w:w="1400" w:type="dxa"/>
          </w:tcPr>
          <w:p w14:paraId="7CF68E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22,000</w:t>
            </w:r>
          </w:p>
        </w:tc>
        <w:tc>
          <w:tcPr>
            <w:tcW w:w="1400" w:type="dxa"/>
          </w:tcPr>
          <w:p w14:paraId="19D7570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12,500 (–43%)</w:t>
            </w:r>
          </w:p>
        </w:tc>
        <w:tc>
          <w:tcPr>
            <w:tcW w:w="1400" w:type="dxa"/>
          </w:tcPr>
          <w:p w14:paraId="75324B2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Ongoing</w:t>
            </w:r>
          </w:p>
        </w:tc>
        <w:tc>
          <w:tcPr>
            <w:tcW w:w="1600" w:type="dxa"/>
          </w:tcPr>
          <w:p w14:paraId="25793BE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Fewer cleaning cycles due to predictive fouling control</w:t>
            </w:r>
          </w:p>
        </w:tc>
      </w:tr>
      <w:tr w:rsidR="00D6251E" w:rsidRPr="00DE7E3A" w14:paraId="02747A6C" w14:textId="77777777" w:rsidTr="00DE7E3A">
        <w:tc>
          <w:tcPr>
            <w:tcW w:w="2600" w:type="dxa"/>
          </w:tcPr>
          <w:p w14:paraId="7D373F7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Annual labour/maintenance</w:t>
            </w:r>
          </w:p>
        </w:tc>
        <w:tc>
          <w:tcPr>
            <w:tcW w:w="1400" w:type="dxa"/>
          </w:tcPr>
          <w:p w14:paraId="4B8A1A5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85,000</w:t>
            </w:r>
          </w:p>
        </w:tc>
        <w:tc>
          <w:tcPr>
            <w:tcW w:w="1400" w:type="dxa"/>
          </w:tcPr>
          <w:p w14:paraId="0C211C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72,000</w:t>
            </w:r>
          </w:p>
        </w:tc>
        <w:tc>
          <w:tcPr>
            <w:tcW w:w="1400" w:type="dxa"/>
          </w:tcPr>
          <w:p w14:paraId="6D60699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51,000 (–29.2%)</w:t>
            </w:r>
          </w:p>
        </w:tc>
        <w:tc>
          <w:tcPr>
            <w:tcW w:w="1400" w:type="dxa"/>
          </w:tcPr>
          <w:p w14:paraId="26BFEBD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Ongoing</w:t>
            </w:r>
          </w:p>
        </w:tc>
        <w:tc>
          <w:tcPr>
            <w:tcW w:w="1600" w:type="dxa"/>
          </w:tcPr>
          <w:p w14:paraId="2BC6BE0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AI automation reduces manual monitoring</w:t>
            </w:r>
          </w:p>
        </w:tc>
      </w:tr>
      <w:tr w:rsidR="00D6251E" w:rsidRPr="00DE7E3A" w14:paraId="0039ADB1" w14:textId="77777777" w:rsidTr="00DE7E3A">
        <w:tc>
          <w:tcPr>
            <w:tcW w:w="2600" w:type="dxa"/>
          </w:tcPr>
          <w:p w14:paraId="498921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Annual sludge disposal</w:t>
            </w:r>
          </w:p>
        </w:tc>
        <w:tc>
          <w:tcPr>
            <w:tcW w:w="1400" w:type="dxa"/>
          </w:tcPr>
          <w:p w14:paraId="2CE95C2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38,000</w:t>
            </w:r>
          </w:p>
        </w:tc>
        <w:tc>
          <w:tcPr>
            <w:tcW w:w="1400" w:type="dxa"/>
          </w:tcPr>
          <w:p w14:paraId="0F7FFC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31,000</w:t>
            </w:r>
          </w:p>
        </w:tc>
        <w:tc>
          <w:tcPr>
            <w:tcW w:w="1400" w:type="dxa"/>
          </w:tcPr>
          <w:p w14:paraId="3BF798C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24,000 (–22.6%)</w:t>
            </w:r>
          </w:p>
        </w:tc>
        <w:tc>
          <w:tcPr>
            <w:tcW w:w="1400" w:type="dxa"/>
          </w:tcPr>
          <w:p w14:paraId="24AC3B7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Ongoing</w:t>
            </w:r>
          </w:p>
        </w:tc>
        <w:tc>
          <w:tcPr>
            <w:tcW w:w="1600" w:type="dxa"/>
          </w:tcPr>
          <w:p w14:paraId="7E72412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Optimised SRT reduces excess sludge</w:t>
            </w:r>
          </w:p>
        </w:tc>
      </w:tr>
      <w:tr w:rsidR="00D6251E" w:rsidRPr="00DE7E3A" w14:paraId="580FFE6F" w14:textId="77777777" w:rsidTr="00DE7E3A">
        <w:tc>
          <w:tcPr>
            <w:tcW w:w="2600" w:type="dxa"/>
          </w:tcPr>
          <w:p w14:paraId="3FC907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Annual CO₂ savings (carbon value)</w:t>
            </w:r>
          </w:p>
        </w:tc>
        <w:tc>
          <w:tcPr>
            <w:tcW w:w="1400" w:type="dxa"/>
          </w:tcPr>
          <w:p w14:paraId="1E44409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3B6EB4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2105DB7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25,550/yr</w:t>
            </w:r>
          </w:p>
        </w:tc>
        <w:tc>
          <w:tcPr>
            <w:tcW w:w="1400" w:type="dxa"/>
          </w:tcPr>
          <w:p w14:paraId="78C0FA0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Ongoing</w:t>
            </w:r>
          </w:p>
        </w:tc>
        <w:tc>
          <w:tcPr>
            <w:tcW w:w="1600" w:type="dxa"/>
          </w:tcPr>
          <w:p w14:paraId="1E44FFA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350 t CO₂/yr at USD 73/t (EU ETS, 2024 avg.)</w:t>
            </w:r>
          </w:p>
        </w:tc>
      </w:tr>
      <w:tr w:rsidR="00D6251E" w:rsidRPr="00DE7E3A" w14:paraId="08C14503" w14:textId="77777777" w:rsidTr="00DE7E3A">
        <w:tc>
          <w:tcPr>
            <w:tcW w:w="2600" w:type="dxa"/>
          </w:tcPr>
          <w:p w14:paraId="78A0C99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Simple payback period (AI investment)</w:t>
            </w:r>
          </w:p>
        </w:tc>
        <w:tc>
          <w:tcPr>
            <w:tcW w:w="1400" w:type="dxa"/>
          </w:tcPr>
          <w:p w14:paraId="4B622A2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0FF6F51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1025BA5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 years</w:t>
            </w:r>
          </w:p>
        </w:tc>
        <w:tc>
          <w:tcPr>
            <w:tcW w:w="1400" w:type="dxa"/>
          </w:tcPr>
          <w:p w14:paraId="126B6C6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600" w:type="dxa"/>
          </w:tcPr>
          <w:p w14:paraId="3E2ABDD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 xml:space="preserve">AI/IoT capital recovery from </w:t>
            </w:r>
            <w:r w:rsidRPr="00DE7E3A">
              <w:rPr>
                <w:rFonts w:ascii="Times New Roman" w:hAnsi="Times New Roman" w:cs="Times New Roman"/>
                <w:sz w:val="24"/>
                <w:szCs w:val="24"/>
              </w:rPr>
              <w:lastRenderedPageBreak/>
              <w:t>energy + chemical savings</w:t>
            </w:r>
          </w:p>
        </w:tc>
      </w:tr>
      <w:tr w:rsidR="00D6251E" w:rsidRPr="00DE7E3A" w14:paraId="20867C09" w14:textId="77777777" w:rsidTr="00DE7E3A">
        <w:tc>
          <w:tcPr>
            <w:tcW w:w="2600" w:type="dxa"/>
          </w:tcPr>
          <w:p w14:paraId="7981332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Net Present Value (NPV, 10 yr, 6%)</w:t>
            </w:r>
          </w:p>
        </w:tc>
        <w:tc>
          <w:tcPr>
            <w:tcW w:w="1400" w:type="dxa"/>
          </w:tcPr>
          <w:p w14:paraId="6C93EEF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0243D3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400" w:type="dxa"/>
          </w:tcPr>
          <w:p w14:paraId="7F0BFD6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USD +680,000</w:t>
            </w:r>
          </w:p>
        </w:tc>
        <w:tc>
          <w:tcPr>
            <w:tcW w:w="1400" w:type="dxa"/>
          </w:tcPr>
          <w:p w14:paraId="0A05AA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10 years</w:t>
            </w:r>
          </w:p>
        </w:tc>
        <w:tc>
          <w:tcPr>
            <w:tcW w:w="1600" w:type="dxa"/>
          </w:tcPr>
          <w:p w14:paraId="165A47F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Positive NPV confirms economic viability</w:t>
            </w:r>
          </w:p>
        </w:tc>
      </w:tr>
    </w:tbl>
    <w:p w14:paraId="6251216F"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Capital costs are indicative and based on vendor quotations and published benchmarks (Verrecht et al. [36]; Judd [82]). Carbon credit value uses the 2024 annual average EU ETS price of USD 73/t CO₂. NPV calculation uses a discount rate of 6% over 10 years. AI/IoT infrastructure costs include edge computing nodes, cloud connectivity, and software licensing (1st year only; subscription model thereafter estimated at USD 8,000/yr).</w:t>
      </w:r>
    </w:p>
    <w:p w14:paraId="5D7C9A0E" w14:textId="77777777" w:rsidR="00D6251E" w:rsidRPr="00DE7E3A" w:rsidRDefault="00D6251E" w:rsidP="00DE7E3A">
      <w:pPr>
        <w:spacing w:before="60" w:after="60"/>
        <w:jc w:val="both"/>
        <w:rPr>
          <w:rFonts w:ascii="Times New Roman" w:hAnsi="Times New Roman" w:cs="Times New Roman"/>
          <w:sz w:val="24"/>
          <w:szCs w:val="24"/>
        </w:rPr>
      </w:pPr>
    </w:p>
    <w:p w14:paraId="751946D9" w14:textId="50F279CD"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S10. Statistical Significance Tests</w:t>
      </w:r>
    </w:p>
    <w:p w14:paraId="65BFF26F"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All key performance comparisons were subjected to appropriate statistical tests. Paired t-tests were used for within-plant comparisons of before-after AI optimisation. Mann-Whitney U tests were used for non-parametric comparisons between groups. All tests used α = 0.05 significance level.</w:t>
      </w:r>
    </w:p>
    <w:p w14:paraId="0FC4730E"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2017"/>
        <w:gridCol w:w="1509"/>
        <w:gridCol w:w="1230"/>
        <w:gridCol w:w="1310"/>
        <w:gridCol w:w="916"/>
        <w:gridCol w:w="1109"/>
        <w:gridCol w:w="1709"/>
      </w:tblGrid>
      <w:tr w:rsidR="00D6251E" w:rsidRPr="00DE7E3A" w14:paraId="502D1CF8" w14:textId="77777777" w:rsidTr="00DE7E3A">
        <w:tc>
          <w:tcPr>
            <w:tcW w:w="1800" w:type="dxa"/>
          </w:tcPr>
          <w:p w14:paraId="7E7E94A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Performance Metric</w:t>
            </w:r>
          </w:p>
        </w:tc>
        <w:tc>
          <w:tcPr>
            <w:tcW w:w="1600" w:type="dxa"/>
          </w:tcPr>
          <w:p w14:paraId="591AEB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Comparison</w:t>
            </w:r>
          </w:p>
        </w:tc>
        <w:tc>
          <w:tcPr>
            <w:tcW w:w="1200" w:type="dxa"/>
          </w:tcPr>
          <w:p w14:paraId="78B7ED5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Statistical Test</w:t>
            </w:r>
          </w:p>
        </w:tc>
        <w:tc>
          <w:tcPr>
            <w:tcW w:w="1200" w:type="dxa"/>
          </w:tcPr>
          <w:p w14:paraId="431A305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Values Compared</w:t>
            </w:r>
          </w:p>
        </w:tc>
        <w:tc>
          <w:tcPr>
            <w:tcW w:w="1000" w:type="dxa"/>
          </w:tcPr>
          <w:p w14:paraId="5EBCBFA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p-value</w:t>
            </w:r>
          </w:p>
        </w:tc>
        <w:tc>
          <w:tcPr>
            <w:tcW w:w="1200" w:type="dxa"/>
          </w:tcPr>
          <w:p w14:paraId="0A128D1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Decision (α=0.05)</w:t>
            </w:r>
          </w:p>
        </w:tc>
        <w:tc>
          <w:tcPr>
            <w:tcW w:w="1800" w:type="dxa"/>
          </w:tcPr>
          <w:p w14:paraId="04BC8AF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Interpretation</w:t>
            </w:r>
          </w:p>
        </w:tc>
      </w:tr>
      <w:tr w:rsidR="00D6251E" w:rsidRPr="00DE7E3A" w14:paraId="101F58FD" w14:textId="77777777" w:rsidTr="00DE7E3A">
        <w:tc>
          <w:tcPr>
            <w:tcW w:w="1800" w:type="dxa"/>
          </w:tcPr>
          <w:p w14:paraId="6DBD491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COD removal (%)</w:t>
            </w:r>
          </w:p>
        </w:tc>
        <w:tc>
          <w:tcPr>
            <w:tcW w:w="1600" w:type="dxa"/>
          </w:tcPr>
          <w:p w14:paraId="11AA8A0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567E9DF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527DE72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97.8 vs 94.6</w:t>
            </w:r>
          </w:p>
        </w:tc>
        <w:tc>
          <w:tcPr>
            <w:tcW w:w="1000" w:type="dxa"/>
          </w:tcPr>
          <w:p w14:paraId="4319199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34F74A3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0DE7C93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Statistically significant improvement</w:t>
            </w:r>
          </w:p>
        </w:tc>
      </w:tr>
      <w:tr w:rsidR="00D6251E" w:rsidRPr="00DE7E3A" w14:paraId="36F4BB85" w14:textId="77777777" w:rsidTr="00DE7E3A">
        <w:tc>
          <w:tcPr>
            <w:tcW w:w="1800" w:type="dxa"/>
          </w:tcPr>
          <w:p w14:paraId="1DA5AE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TN removal (%)</w:t>
            </w:r>
          </w:p>
        </w:tc>
        <w:tc>
          <w:tcPr>
            <w:tcW w:w="1600" w:type="dxa"/>
          </w:tcPr>
          <w:p w14:paraId="78155D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66C26E8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4C16E18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96.4 vs 83.1</w:t>
            </w:r>
          </w:p>
        </w:tc>
        <w:tc>
          <w:tcPr>
            <w:tcW w:w="1000" w:type="dxa"/>
          </w:tcPr>
          <w:p w14:paraId="24D6992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57BE9EA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46DA121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Statistically significant improvement</w:t>
            </w:r>
          </w:p>
        </w:tc>
      </w:tr>
      <w:tr w:rsidR="00D6251E" w:rsidRPr="00DE7E3A" w14:paraId="3A3E6A1F" w14:textId="77777777" w:rsidTr="00DE7E3A">
        <w:tc>
          <w:tcPr>
            <w:tcW w:w="1800" w:type="dxa"/>
          </w:tcPr>
          <w:p w14:paraId="65CABBE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TP removal (%)</w:t>
            </w:r>
          </w:p>
        </w:tc>
        <w:tc>
          <w:tcPr>
            <w:tcW w:w="1600" w:type="dxa"/>
          </w:tcPr>
          <w:p w14:paraId="2D9663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7D62F26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57F9CC2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94.2 vs 79.4</w:t>
            </w:r>
          </w:p>
        </w:tc>
        <w:tc>
          <w:tcPr>
            <w:tcW w:w="1000" w:type="dxa"/>
          </w:tcPr>
          <w:p w14:paraId="2519EEA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6EE63C0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11991EC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Statistically significant improvement</w:t>
            </w:r>
          </w:p>
        </w:tc>
      </w:tr>
      <w:tr w:rsidR="00D6251E" w:rsidRPr="00DE7E3A" w14:paraId="01FDB282" w14:textId="77777777" w:rsidTr="00DE7E3A">
        <w:tc>
          <w:tcPr>
            <w:tcW w:w="1800" w:type="dxa"/>
          </w:tcPr>
          <w:p w14:paraId="0779F91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Pharmaceutical removal (%)</w:t>
            </w:r>
          </w:p>
        </w:tc>
        <w:tc>
          <w:tcPr>
            <w:tcW w:w="1600" w:type="dxa"/>
          </w:tcPr>
          <w:p w14:paraId="6D5581F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046759F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0BF40B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94.2 vs 62.8</w:t>
            </w:r>
          </w:p>
        </w:tc>
        <w:tc>
          <w:tcPr>
            <w:tcW w:w="1000" w:type="dxa"/>
          </w:tcPr>
          <w:p w14:paraId="2C6C662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5598EE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671093A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Very large effect size (Cohen's d = 4.2)</w:t>
            </w:r>
          </w:p>
        </w:tc>
      </w:tr>
      <w:tr w:rsidR="00D6251E" w:rsidRPr="00DE7E3A" w14:paraId="35B080C2" w14:textId="77777777" w:rsidTr="00DE7E3A">
        <w:tc>
          <w:tcPr>
            <w:tcW w:w="1800" w:type="dxa"/>
          </w:tcPr>
          <w:p w14:paraId="7CB5DF3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EDC removal (%)</w:t>
            </w:r>
          </w:p>
        </w:tc>
        <w:tc>
          <w:tcPr>
            <w:tcW w:w="1600" w:type="dxa"/>
          </w:tcPr>
          <w:p w14:paraId="684157D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2DD2A9B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05C4D1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91.7 vs 58.3</w:t>
            </w:r>
          </w:p>
        </w:tc>
        <w:tc>
          <w:tcPr>
            <w:tcW w:w="1000" w:type="dxa"/>
          </w:tcPr>
          <w:p w14:paraId="6A94D32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6A76AEC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661B058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Statistically significant improvement</w:t>
            </w:r>
          </w:p>
        </w:tc>
      </w:tr>
      <w:tr w:rsidR="00D6251E" w:rsidRPr="00DE7E3A" w14:paraId="3A8065D2" w14:textId="77777777" w:rsidTr="00DE7E3A">
        <w:tc>
          <w:tcPr>
            <w:tcW w:w="1800" w:type="dxa"/>
          </w:tcPr>
          <w:p w14:paraId="4F4875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Energy (kWh/m³)</w:t>
            </w:r>
          </w:p>
        </w:tc>
        <w:tc>
          <w:tcPr>
            <w:tcW w:w="1600" w:type="dxa"/>
          </w:tcPr>
          <w:p w14:paraId="29CEE15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00A6DC2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1C57D9E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0.46 vs 0.65</w:t>
            </w:r>
          </w:p>
        </w:tc>
        <w:tc>
          <w:tcPr>
            <w:tcW w:w="1000" w:type="dxa"/>
          </w:tcPr>
          <w:p w14:paraId="714FF6D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23BDA6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3D993B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18.7% reduction confirmed</w:t>
            </w:r>
          </w:p>
        </w:tc>
      </w:tr>
      <w:tr w:rsidR="00D6251E" w:rsidRPr="00DE7E3A" w14:paraId="473A24AD" w14:textId="77777777" w:rsidTr="00DE7E3A">
        <w:tc>
          <w:tcPr>
            <w:tcW w:w="1800" w:type="dxa"/>
          </w:tcPr>
          <w:p w14:paraId="6ACF0A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Energy (kWh/m³)</w:t>
            </w:r>
          </w:p>
        </w:tc>
        <w:tc>
          <w:tcPr>
            <w:tcW w:w="1600" w:type="dxa"/>
          </w:tcPr>
          <w:p w14:paraId="23DD0D7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CAS</w:t>
            </w:r>
          </w:p>
        </w:tc>
        <w:tc>
          <w:tcPr>
            <w:tcW w:w="1200" w:type="dxa"/>
          </w:tcPr>
          <w:p w14:paraId="725A8FA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174507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0.46 vs 0.82</w:t>
            </w:r>
          </w:p>
        </w:tc>
        <w:tc>
          <w:tcPr>
            <w:tcW w:w="1000" w:type="dxa"/>
          </w:tcPr>
          <w:p w14:paraId="4E4DF36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1F807EC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1F8B8A0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43.9% reduction confirmed</w:t>
            </w:r>
          </w:p>
        </w:tc>
      </w:tr>
      <w:tr w:rsidR="00D6251E" w:rsidRPr="00DE7E3A" w14:paraId="21249DD4" w14:textId="77777777" w:rsidTr="00DE7E3A">
        <w:tc>
          <w:tcPr>
            <w:tcW w:w="1800" w:type="dxa"/>
          </w:tcPr>
          <w:p w14:paraId="1C9DD24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TMP LSTM R² vs ANN R²</w:t>
            </w:r>
          </w:p>
        </w:tc>
        <w:tc>
          <w:tcPr>
            <w:tcW w:w="1600" w:type="dxa"/>
          </w:tcPr>
          <w:p w14:paraId="6D9972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LSTM vs ANN (0.951 vs 0.921)</w:t>
            </w:r>
          </w:p>
        </w:tc>
        <w:tc>
          <w:tcPr>
            <w:tcW w:w="1200" w:type="dxa"/>
          </w:tcPr>
          <w:p w14:paraId="32BADD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Wilcoxon signed-rank</w:t>
            </w:r>
          </w:p>
        </w:tc>
        <w:tc>
          <w:tcPr>
            <w:tcW w:w="1200" w:type="dxa"/>
          </w:tcPr>
          <w:p w14:paraId="45C8EA6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000" w:type="dxa"/>
          </w:tcPr>
          <w:p w14:paraId="47D54E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0.003</w:t>
            </w:r>
          </w:p>
        </w:tc>
        <w:tc>
          <w:tcPr>
            <w:tcW w:w="1200" w:type="dxa"/>
          </w:tcPr>
          <w:p w14:paraId="5D41CE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4094A25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LSTM significantly better than ANN</w:t>
            </w:r>
          </w:p>
        </w:tc>
      </w:tr>
      <w:tr w:rsidR="00D6251E" w:rsidRPr="00DE7E3A" w14:paraId="477D4A70" w14:textId="77777777" w:rsidTr="00DE7E3A">
        <w:tc>
          <w:tcPr>
            <w:tcW w:w="1800" w:type="dxa"/>
          </w:tcPr>
          <w:p w14:paraId="14C786A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Cleaning interval (days)</w:t>
            </w:r>
          </w:p>
        </w:tc>
        <w:tc>
          <w:tcPr>
            <w:tcW w:w="1600" w:type="dxa"/>
          </w:tcPr>
          <w:p w14:paraId="4585E78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3D0FC94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Mann-Whitney U</w:t>
            </w:r>
          </w:p>
        </w:tc>
        <w:tc>
          <w:tcPr>
            <w:tcW w:w="1200" w:type="dxa"/>
          </w:tcPr>
          <w:p w14:paraId="21A8D10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31 vs 18</w:t>
            </w:r>
          </w:p>
        </w:tc>
        <w:tc>
          <w:tcPr>
            <w:tcW w:w="1000" w:type="dxa"/>
          </w:tcPr>
          <w:p w14:paraId="6468C50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225B673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2792D83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72% extension in cleaning interval</w:t>
            </w:r>
          </w:p>
        </w:tc>
      </w:tr>
      <w:tr w:rsidR="00D6251E" w:rsidRPr="00DE7E3A" w14:paraId="23590E94" w14:textId="77777777" w:rsidTr="00DE7E3A">
        <w:tc>
          <w:tcPr>
            <w:tcW w:w="1800" w:type="dxa"/>
          </w:tcPr>
          <w:p w14:paraId="2C9D74B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Microplastic removal (%)</w:t>
            </w:r>
          </w:p>
        </w:tc>
        <w:tc>
          <w:tcPr>
            <w:tcW w:w="1600" w:type="dxa"/>
          </w:tcPr>
          <w:p w14:paraId="2F937C0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4808FEF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1C292F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95.6 vs 78.4</w:t>
            </w:r>
          </w:p>
        </w:tc>
        <w:tc>
          <w:tcPr>
            <w:tcW w:w="1000" w:type="dxa"/>
          </w:tcPr>
          <w:p w14:paraId="730E4F0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06FBA4B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7EEB48E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17.2% absolute improvement</w:t>
            </w:r>
          </w:p>
        </w:tc>
      </w:tr>
      <w:tr w:rsidR="00D6251E" w:rsidRPr="00DE7E3A" w14:paraId="3D1E5028" w14:textId="77777777" w:rsidTr="00DE7E3A">
        <w:tc>
          <w:tcPr>
            <w:tcW w:w="1800" w:type="dxa"/>
          </w:tcPr>
          <w:p w14:paraId="2A91080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PFAS removal (%)</w:t>
            </w:r>
          </w:p>
        </w:tc>
        <w:tc>
          <w:tcPr>
            <w:tcW w:w="1600" w:type="dxa"/>
          </w:tcPr>
          <w:p w14:paraId="18EDBA3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XAI-AMBR vs Standard MBR</w:t>
            </w:r>
          </w:p>
        </w:tc>
        <w:tc>
          <w:tcPr>
            <w:tcW w:w="1200" w:type="dxa"/>
          </w:tcPr>
          <w:p w14:paraId="730E1A0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Paired t-test</w:t>
            </w:r>
          </w:p>
        </w:tc>
        <w:tc>
          <w:tcPr>
            <w:tcW w:w="1200" w:type="dxa"/>
          </w:tcPr>
          <w:p w14:paraId="7F0AAD3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71.3 vs 53.2</w:t>
            </w:r>
          </w:p>
        </w:tc>
        <w:tc>
          <w:tcPr>
            <w:tcW w:w="1000" w:type="dxa"/>
          </w:tcPr>
          <w:p w14:paraId="57A48CF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&lt;0.001</w:t>
            </w:r>
          </w:p>
        </w:tc>
        <w:tc>
          <w:tcPr>
            <w:tcW w:w="1200" w:type="dxa"/>
          </w:tcPr>
          <w:p w14:paraId="5EC0EC8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Reject H₀</w:t>
            </w:r>
          </w:p>
        </w:tc>
        <w:tc>
          <w:tcPr>
            <w:tcW w:w="1800" w:type="dxa"/>
          </w:tcPr>
          <w:p w14:paraId="2A3E8F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34% relative improvement; still below limit</w:t>
            </w:r>
          </w:p>
        </w:tc>
      </w:tr>
      <w:tr w:rsidR="00D6251E" w:rsidRPr="00DE7E3A" w14:paraId="56E969E5" w14:textId="77777777" w:rsidTr="00DE7E3A">
        <w:tc>
          <w:tcPr>
            <w:tcW w:w="1800" w:type="dxa"/>
          </w:tcPr>
          <w:p w14:paraId="4EF5F55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Model normality (LSTM residuals)</w:t>
            </w:r>
          </w:p>
        </w:tc>
        <w:tc>
          <w:tcPr>
            <w:tcW w:w="1600" w:type="dxa"/>
          </w:tcPr>
          <w:p w14:paraId="4CD19FC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Shapiro-Wilk test</w:t>
            </w:r>
          </w:p>
        </w:tc>
        <w:tc>
          <w:tcPr>
            <w:tcW w:w="1200" w:type="dxa"/>
          </w:tcPr>
          <w:p w14:paraId="20ECB18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Shapiro-Wilk</w:t>
            </w:r>
          </w:p>
        </w:tc>
        <w:tc>
          <w:tcPr>
            <w:tcW w:w="1200" w:type="dxa"/>
          </w:tcPr>
          <w:p w14:paraId="3364308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000" w:type="dxa"/>
          </w:tcPr>
          <w:p w14:paraId="25A6C81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0.12</w:t>
            </w:r>
          </w:p>
        </w:tc>
        <w:tc>
          <w:tcPr>
            <w:tcW w:w="1200" w:type="dxa"/>
          </w:tcPr>
          <w:p w14:paraId="0A570FC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Fail to reject H₀</w:t>
            </w:r>
          </w:p>
        </w:tc>
        <w:tc>
          <w:tcPr>
            <w:tcW w:w="1800" w:type="dxa"/>
          </w:tcPr>
          <w:p w14:paraId="4904C4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Residuals are normally distributed</w:t>
            </w:r>
          </w:p>
        </w:tc>
      </w:tr>
      <w:tr w:rsidR="00D6251E" w:rsidRPr="00DE7E3A" w14:paraId="3998DB9B" w14:textId="77777777" w:rsidTr="00DE7E3A">
        <w:tc>
          <w:tcPr>
            <w:tcW w:w="1800" w:type="dxa"/>
          </w:tcPr>
          <w:p w14:paraId="53905B3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Homoscedasticity (Levene's)</w:t>
            </w:r>
          </w:p>
        </w:tc>
        <w:tc>
          <w:tcPr>
            <w:tcW w:w="1600" w:type="dxa"/>
          </w:tcPr>
          <w:p w14:paraId="640761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Variance equality across plants</w:t>
            </w:r>
          </w:p>
        </w:tc>
        <w:tc>
          <w:tcPr>
            <w:tcW w:w="1200" w:type="dxa"/>
          </w:tcPr>
          <w:p w14:paraId="0A2CECD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Levene's test</w:t>
            </w:r>
          </w:p>
        </w:tc>
        <w:tc>
          <w:tcPr>
            <w:tcW w:w="1200" w:type="dxa"/>
          </w:tcPr>
          <w:p w14:paraId="7887B9F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t>
            </w:r>
          </w:p>
        </w:tc>
        <w:tc>
          <w:tcPr>
            <w:tcW w:w="1000" w:type="dxa"/>
          </w:tcPr>
          <w:p w14:paraId="09F6373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0.08</w:t>
            </w:r>
          </w:p>
        </w:tc>
        <w:tc>
          <w:tcPr>
            <w:tcW w:w="1200" w:type="dxa"/>
          </w:tcPr>
          <w:p w14:paraId="45B0DD7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Fail to reject H₀</w:t>
            </w:r>
          </w:p>
        </w:tc>
        <w:tc>
          <w:tcPr>
            <w:tcW w:w="1800" w:type="dxa"/>
          </w:tcPr>
          <w:p w14:paraId="2D2D30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Equal variances across plant groups</w:t>
            </w:r>
          </w:p>
        </w:tc>
      </w:tr>
    </w:tbl>
    <w:p w14:paraId="382D9955"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All statistical analyses were performed in Python 3.10 using scipy.stats (v1.11) and pingouin (v0.5.3) libraries. Effect sizes were quantified using Cohen's d for t-tests and rank-biserial correlation for Mann-Whitney U tests. Large effect sizes (d &gt; 0.8) were confirmed for all primary outcome measures, indicating practical as well as statistical significance.</w:t>
      </w:r>
    </w:p>
    <w:p w14:paraId="48602B6B" w14:textId="77777777" w:rsidR="00D6251E" w:rsidRPr="00DE7E3A" w:rsidRDefault="00D6251E" w:rsidP="00DE7E3A">
      <w:pPr>
        <w:spacing w:before="60" w:after="60"/>
        <w:jc w:val="both"/>
        <w:rPr>
          <w:rFonts w:ascii="Times New Roman" w:hAnsi="Times New Roman" w:cs="Times New Roman"/>
          <w:sz w:val="24"/>
          <w:szCs w:val="24"/>
        </w:rPr>
      </w:pPr>
    </w:p>
    <w:p w14:paraId="26CC10C8" w14:textId="4C6E214B"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S11. Data Preprocessing Pipeline</w:t>
      </w:r>
    </w:p>
    <w:p w14:paraId="7DAC9561"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Comprehensive description of all data preprocessing steps applied to raw IoT sensor data before model training. Each step is described with the extent of application, the method used, the rationale, and the outcome.</w:t>
      </w:r>
    </w:p>
    <w:p w14:paraId="60EBAA70"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1994"/>
        <w:gridCol w:w="1770"/>
        <w:gridCol w:w="1794"/>
        <w:gridCol w:w="2372"/>
        <w:gridCol w:w="1870"/>
      </w:tblGrid>
      <w:tr w:rsidR="00D6251E" w:rsidRPr="00DE7E3A" w14:paraId="7E6DC02F" w14:textId="77777777" w:rsidTr="00DE7E3A">
        <w:tc>
          <w:tcPr>
            <w:tcW w:w="2000" w:type="dxa"/>
          </w:tcPr>
          <w:p w14:paraId="4BF682C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Preprocessing Step</w:t>
            </w:r>
          </w:p>
        </w:tc>
        <w:tc>
          <w:tcPr>
            <w:tcW w:w="1800" w:type="dxa"/>
          </w:tcPr>
          <w:p w14:paraId="4B04AC7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Scale / Extent</w:t>
            </w:r>
          </w:p>
        </w:tc>
        <w:tc>
          <w:tcPr>
            <w:tcW w:w="1800" w:type="dxa"/>
          </w:tcPr>
          <w:p w14:paraId="0D5941B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Method Applied</w:t>
            </w:r>
          </w:p>
        </w:tc>
        <w:tc>
          <w:tcPr>
            <w:tcW w:w="2400" w:type="dxa"/>
          </w:tcPr>
          <w:p w14:paraId="343A3C2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Rationale</w:t>
            </w:r>
          </w:p>
        </w:tc>
        <w:tc>
          <w:tcPr>
            <w:tcW w:w="1800" w:type="dxa"/>
          </w:tcPr>
          <w:p w14:paraId="392292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Outcome/Result</w:t>
            </w:r>
          </w:p>
        </w:tc>
      </w:tr>
      <w:tr w:rsidR="00D6251E" w:rsidRPr="00DE7E3A" w14:paraId="216D1B69" w14:textId="77777777" w:rsidTr="00DE7E3A">
        <w:tc>
          <w:tcPr>
            <w:tcW w:w="2000" w:type="dxa"/>
          </w:tcPr>
          <w:p w14:paraId="5372C7D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Missing values</w:t>
            </w:r>
          </w:p>
        </w:tc>
        <w:tc>
          <w:tcPr>
            <w:tcW w:w="1800" w:type="dxa"/>
          </w:tcPr>
          <w:p w14:paraId="7568FA7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 of total dataset</w:t>
            </w:r>
          </w:p>
        </w:tc>
        <w:tc>
          <w:tcPr>
            <w:tcW w:w="1800" w:type="dxa"/>
          </w:tcPr>
          <w:p w14:paraId="575E6B8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Linear interpolation (gaps ≤15 min); mean imputation (gaps &gt;15 min)</w:t>
            </w:r>
          </w:p>
        </w:tc>
        <w:tc>
          <w:tcPr>
            <w:tcW w:w="2400" w:type="dxa"/>
          </w:tcPr>
          <w:p w14:paraId="5C4FAC8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Gaps caused by sensor maintenance or communication dropouts</w:t>
            </w:r>
          </w:p>
        </w:tc>
        <w:tc>
          <w:tcPr>
            <w:tcW w:w="1800" w:type="dxa"/>
          </w:tcPr>
          <w:p w14:paraId="779B71E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&lt;0.5% after imputation</w:t>
            </w:r>
          </w:p>
        </w:tc>
      </w:tr>
      <w:tr w:rsidR="00D6251E" w:rsidRPr="00DE7E3A" w14:paraId="489B88EE" w14:textId="77777777" w:rsidTr="00DE7E3A">
        <w:tc>
          <w:tcPr>
            <w:tcW w:w="2000" w:type="dxa"/>
          </w:tcPr>
          <w:p w14:paraId="71C14E0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Outlier detection</w:t>
            </w:r>
          </w:p>
        </w:tc>
        <w:tc>
          <w:tcPr>
            <w:tcW w:w="1800" w:type="dxa"/>
          </w:tcPr>
          <w:p w14:paraId="1FDC50C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3.2% flagged</w:t>
            </w:r>
          </w:p>
        </w:tc>
        <w:tc>
          <w:tcPr>
            <w:tcW w:w="1800" w:type="dxa"/>
          </w:tcPr>
          <w:p w14:paraId="621450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Isolation Forest algorithm (contamination = 0.01); IQR method for cross-check</w:t>
            </w:r>
          </w:p>
        </w:tc>
        <w:tc>
          <w:tcPr>
            <w:tcW w:w="2400" w:type="dxa"/>
          </w:tcPr>
          <w:p w14:paraId="4055367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Sensor spikes from calibration drift or transient events</w:t>
            </w:r>
          </w:p>
        </w:tc>
        <w:tc>
          <w:tcPr>
            <w:tcW w:w="1800" w:type="dxa"/>
          </w:tcPr>
          <w:p w14:paraId="2017B58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Removed 2.1%; retained 1.1% as valid extremes</w:t>
            </w:r>
          </w:p>
        </w:tc>
      </w:tr>
      <w:tr w:rsidR="00D6251E" w:rsidRPr="00DE7E3A" w14:paraId="41441694" w14:textId="77777777" w:rsidTr="00DE7E3A">
        <w:tc>
          <w:tcPr>
            <w:tcW w:w="2000" w:type="dxa"/>
          </w:tcPr>
          <w:p w14:paraId="11E0F59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Normalization</w:t>
            </w:r>
          </w:p>
        </w:tc>
        <w:tc>
          <w:tcPr>
            <w:tcW w:w="1800" w:type="dxa"/>
          </w:tcPr>
          <w:p w14:paraId="7E3A879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All 18 variables</w:t>
            </w:r>
          </w:p>
        </w:tc>
        <w:tc>
          <w:tcPr>
            <w:tcW w:w="1800" w:type="dxa"/>
          </w:tcPr>
          <w:p w14:paraId="267138C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Min-Max scaling to [0, 1] range</w:t>
            </w:r>
          </w:p>
        </w:tc>
        <w:tc>
          <w:tcPr>
            <w:tcW w:w="2400" w:type="dxa"/>
          </w:tcPr>
          <w:p w14:paraId="609BDA5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Prevents dominance by variables with large magnitude (e.g., COD vs pH)</w:t>
            </w:r>
          </w:p>
        </w:tc>
        <w:tc>
          <w:tcPr>
            <w:tcW w:w="1800" w:type="dxa"/>
          </w:tcPr>
          <w:p w14:paraId="5613663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Inverse transform applied to predictions</w:t>
            </w:r>
          </w:p>
        </w:tc>
      </w:tr>
      <w:tr w:rsidR="00D6251E" w:rsidRPr="00DE7E3A" w14:paraId="4A4791D3" w14:textId="77777777" w:rsidTr="00DE7E3A">
        <w:tc>
          <w:tcPr>
            <w:tcW w:w="2000" w:type="dxa"/>
          </w:tcPr>
          <w:p w14:paraId="6C230F1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Feature engineering</w:t>
            </w:r>
          </w:p>
        </w:tc>
        <w:tc>
          <w:tcPr>
            <w:tcW w:w="1800" w:type="dxa"/>
          </w:tcPr>
          <w:p w14:paraId="1807EC8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Derived 6 new features</w:t>
            </w:r>
          </w:p>
        </w:tc>
        <w:tc>
          <w:tcPr>
            <w:tcW w:w="1800" w:type="dxa"/>
          </w:tcPr>
          <w:p w14:paraId="030AEAC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 xml:space="preserve">F/M ratio = COD_inf / MLSS; HRT = </w:t>
            </w:r>
            <w:r w:rsidRPr="00DE7E3A">
              <w:rPr>
                <w:rFonts w:ascii="Times New Roman" w:hAnsi="Times New Roman" w:cs="Times New Roman"/>
                <w:sz w:val="24"/>
                <w:szCs w:val="24"/>
              </w:rPr>
              <w:lastRenderedPageBreak/>
              <w:t>V / Q; SRT = MLSS × V / (Q_waste × MLSS_waste)</w:t>
            </w:r>
          </w:p>
        </w:tc>
        <w:tc>
          <w:tcPr>
            <w:tcW w:w="2400" w:type="dxa"/>
          </w:tcPr>
          <w:p w14:paraId="54DD19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lastRenderedPageBreak/>
              <w:t xml:space="preserve">Mechanistically meaningful; improves </w:t>
            </w:r>
            <w:r w:rsidRPr="00DE7E3A">
              <w:rPr>
                <w:rFonts w:ascii="Times New Roman" w:hAnsi="Times New Roman" w:cs="Times New Roman"/>
                <w:sz w:val="24"/>
                <w:szCs w:val="24"/>
              </w:rPr>
              <w:lastRenderedPageBreak/>
              <w:t>LSTM pattern recognition</w:t>
            </w:r>
          </w:p>
        </w:tc>
        <w:tc>
          <w:tcPr>
            <w:tcW w:w="1800" w:type="dxa"/>
          </w:tcPr>
          <w:p w14:paraId="411E80F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lastRenderedPageBreak/>
              <w:t>Included in 18 total input variables</w:t>
            </w:r>
          </w:p>
        </w:tc>
      </w:tr>
      <w:tr w:rsidR="00D6251E" w:rsidRPr="00DE7E3A" w14:paraId="5D979AB8" w14:textId="77777777" w:rsidTr="00DE7E3A">
        <w:tc>
          <w:tcPr>
            <w:tcW w:w="2000" w:type="dxa"/>
          </w:tcPr>
          <w:p w14:paraId="36B227A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Time-series splitting</w:t>
            </w:r>
          </w:p>
        </w:tc>
        <w:tc>
          <w:tcPr>
            <w:tcW w:w="1800" w:type="dxa"/>
          </w:tcPr>
          <w:p w14:paraId="6BA880B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80/20 train-test</w:t>
            </w:r>
          </w:p>
        </w:tc>
        <w:tc>
          <w:tcPr>
            <w:tcW w:w="1800" w:type="dxa"/>
          </w:tcPr>
          <w:p w14:paraId="3A5E01A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Strict chronological split (no random shuffling)</w:t>
            </w:r>
          </w:p>
        </w:tc>
        <w:tc>
          <w:tcPr>
            <w:tcW w:w="2400" w:type="dxa"/>
          </w:tcPr>
          <w:p w14:paraId="43717D1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Prevents data leakage from future to past</w:t>
            </w:r>
          </w:p>
        </w:tc>
        <w:tc>
          <w:tcPr>
            <w:tcW w:w="1800" w:type="dxa"/>
          </w:tcPr>
          <w:p w14:paraId="73D8C20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Test period: Oct–Dec 2024 (3 months)</w:t>
            </w:r>
          </w:p>
        </w:tc>
      </w:tr>
      <w:tr w:rsidR="00D6251E" w:rsidRPr="00DE7E3A" w14:paraId="41803D57" w14:textId="77777777" w:rsidTr="00DE7E3A">
        <w:tc>
          <w:tcPr>
            <w:tcW w:w="2000" w:type="dxa"/>
          </w:tcPr>
          <w:p w14:paraId="1C17768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Class imbalance (fouling events)</w:t>
            </w:r>
          </w:p>
        </w:tc>
        <w:tc>
          <w:tcPr>
            <w:tcW w:w="1800" w:type="dxa"/>
          </w:tcPr>
          <w:p w14:paraId="4B2A481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Fouling events = 8.4% of data</w:t>
            </w:r>
          </w:p>
        </w:tc>
        <w:tc>
          <w:tcPr>
            <w:tcW w:w="1800" w:type="dxa"/>
          </w:tcPr>
          <w:p w14:paraId="301DA08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Synthetic Minority Over-sampling (SMOTE) for binary fouling classifier</w:t>
            </w:r>
          </w:p>
        </w:tc>
        <w:tc>
          <w:tcPr>
            <w:tcW w:w="2400" w:type="dxa"/>
          </w:tcPr>
          <w:p w14:paraId="7BA36D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TMP exceedance events are rare; SMOTE balances training data</w:t>
            </w:r>
          </w:p>
        </w:tc>
        <w:tc>
          <w:tcPr>
            <w:tcW w:w="1800" w:type="dxa"/>
          </w:tcPr>
          <w:p w14:paraId="47AC8BE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Final F1-score for fouling detection: 0.91</w:t>
            </w:r>
          </w:p>
        </w:tc>
      </w:tr>
      <w:tr w:rsidR="00D6251E" w:rsidRPr="00DE7E3A" w14:paraId="3E4122E5" w14:textId="77777777" w:rsidTr="00DE7E3A">
        <w:tc>
          <w:tcPr>
            <w:tcW w:w="2000" w:type="dxa"/>
          </w:tcPr>
          <w:p w14:paraId="6FBE085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Autocorrelation handling</w:t>
            </w:r>
          </w:p>
        </w:tc>
        <w:tc>
          <w:tcPr>
            <w:tcW w:w="1800" w:type="dxa"/>
          </w:tcPr>
          <w:p w14:paraId="68522A3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Lag analysis up to 96 timesteps</w:t>
            </w:r>
          </w:p>
        </w:tc>
        <w:tc>
          <w:tcPr>
            <w:tcW w:w="1800" w:type="dxa"/>
          </w:tcPr>
          <w:p w14:paraId="3329BC7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ACF/PACF plots; LSTM lookback window set to 48 timesteps (12 hours)</w:t>
            </w:r>
          </w:p>
        </w:tc>
        <w:tc>
          <w:tcPr>
            <w:tcW w:w="2400" w:type="dxa"/>
          </w:tcPr>
          <w:p w14:paraId="63302E8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Fouling dynamics have memory of 6–18 hours</w:t>
            </w:r>
          </w:p>
        </w:tc>
        <w:tc>
          <w:tcPr>
            <w:tcW w:w="1800" w:type="dxa"/>
          </w:tcPr>
          <w:p w14:paraId="4A767A5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Lookback confirmed optimal by Bayesian search</w:t>
            </w:r>
          </w:p>
        </w:tc>
      </w:tr>
      <w:tr w:rsidR="00D6251E" w:rsidRPr="00DE7E3A" w14:paraId="239D89EE" w14:textId="77777777" w:rsidTr="00DE7E3A">
        <w:tc>
          <w:tcPr>
            <w:tcW w:w="2000" w:type="dxa"/>
          </w:tcPr>
          <w:p w14:paraId="63E46E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Data augmentation</w:t>
            </w:r>
          </w:p>
        </w:tc>
        <w:tc>
          <w:tcPr>
            <w:tcW w:w="1800" w:type="dxa"/>
          </w:tcPr>
          <w:p w14:paraId="4D667CE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Applied to P-2, P-3, P-4, P-5</w:t>
            </w:r>
          </w:p>
        </w:tc>
        <w:tc>
          <w:tcPr>
            <w:tcW w:w="1800" w:type="dxa"/>
          </w:tcPr>
          <w:p w14:paraId="6FD2296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Gaussian noise injection (σ = 0.01×feature range)</w:t>
            </w:r>
          </w:p>
        </w:tc>
        <w:tc>
          <w:tcPr>
            <w:tcW w:w="2400" w:type="dxa"/>
          </w:tcPr>
          <w:p w14:paraId="6C8AD7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Improves model robustness to sensor noise</w:t>
            </w:r>
          </w:p>
        </w:tc>
        <w:tc>
          <w:tcPr>
            <w:tcW w:w="1800" w:type="dxa"/>
          </w:tcPr>
          <w:p w14:paraId="256B620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Augmented data used only in training (not test)</w:t>
            </w:r>
          </w:p>
        </w:tc>
      </w:tr>
    </w:tbl>
    <w:p w14:paraId="6DC136F1"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All preprocessing steps were implemented as a reproducible scikit-learn Pipeline object (v1.3.0). The pipeline was fit on training data only and applied consistently to validation and test sets to prevent data leakage. Preprocessing code is available in the Zenodo repository (DOI: 10.5281/zenodo.14287652) as preprocessing_pipeline.py.</w:t>
      </w:r>
    </w:p>
    <w:p w14:paraId="2865A055" w14:textId="77777777" w:rsidR="00D6251E" w:rsidRPr="00DE7E3A" w:rsidRDefault="00D6251E" w:rsidP="00DE7E3A">
      <w:pPr>
        <w:spacing w:before="60" w:after="60"/>
        <w:jc w:val="both"/>
        <w:rPr>
          <w:rFonts w:ascii="Times New Roman" w:hAnsi="Times New Roman" w:cs="Times New Roman"/>
          <w:sz w:val="24"/>
          <w:szCs w:val="24"/>
        </w:rPr>
      </w:pPr>
    </w:p>
    <w:p w14:paraId="5AA8F04C" w14:textId="7440A1F2"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Table S12. Regulatory Compliance Summary</w:t>
      </w:r>
    </w:p>
    <w:p w14:paraId="1E176E0D"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Comparison of XAI-AMBR effluent concentrations against applicable regulatory standards. Standards applied include EU Environmental Quality Standards (EQS; Directive 2013/39/EU), WHO Guidelines for Drinking-Water Quality (4th ed.), and Indian IS:2490 standards for industrial effluent discharge.</w:t>
      </w:r>
    </w:p>
    <w:p w14:paraId="03E5A56B" w14:textId="77777777" w:rsidR="00D6251E" w:rsidRPr="00DE7E3A" w:rsidRDefault="00D6251E" w:rsidP="00DE7E3A">
      <w:pPr>
        <w:spacing w:before="60" w:after="60"/>
        <w:jc w:val="both"/>
        <w:rPr>
          <w:rFonts w:ascii="Times New Roman" w:hAnsi="Times New Roman" w:cs="Times New Roman"/>
          <w:sz w:val="24"/>
          <w:szCs w:val="24"/>
        </w:rPr>
      </w:pPr>
    </w:p>
    <w:tbl>
      <w:tblPr>
        <w:tblStyle w:val="TableGridLight"/>
        <w:tblW w:w="9800" w:type="dxa"/>
        <w:tblLook w:val="04A0" w:firstRow="1" w:lastRow="0" w:firstColumn="1" w:lastColumn="0" w:noHBand="0" w:noVBand="1"/>
      </w:tblPr>
      <w:tblGrid>
        <w:gridCol w:w="1870"/>
        <w:gridCol w:w="1443"/>
        <w:gridCol w:w="1123"/>
        <w:gridCol w:w="1696"/>
        <w:gridCol w:w="1710"/>
        <w:gridCol w:w="2016"/>
      </w:tblGrid>
      <w:tr w:rsidR="00D6251E" w:rsidRPr="00DE7E3A" w14:paraId="5F4E2068" w14:textId="77777777" w:rsidTr="00DE7E3A">
        <w:tc>
          <w:tcPr>
            <w:tcW w:w="2000" w:type="dxa"/>
          </w:tcPr>
          <w:p w14:paraId="1C07B24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Parameter</w:t>
            </w:r>
          </w:p>
        </w:tc>
        <w:tc>
          <w:tcPr>
            <w:tcW w:w="1200" w:type="dxa"/>
          </w:tcPr>
          <w:p w14:paraId="6E4FB87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Regulatory Limit</w:t>
            </w:r>
          </w:p>
        </w:tc>
        <w:tc>
          <w:tcPr>
            <w:tcW w:w="1200" w:type="dxa"/>
          </w:tcPr>
          <w:p w14:paraId="0364A98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XAI-AMBR Removal</w:t>
            </w:r>
          </w:p>
        </w:tc>
        <w:tc>
          <w:tcPr>
            <w:tcW w:w="1400" w:type="dxa"/>
          </w:tcPr>
          <w:p w14:paraId="47C8D3C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Effluent Concentration</w:t>
            </w:r>
          </w:p>
        </w:tc>
        <w:tc>
          <w:tcPr>
            <w:tcW w:w="1200" w:type="dxa"/>
          </w:tcPr>
          <w:p w14:paraId="7E72099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Compliance Status</w:t>
            </w:r>
          </w:p>
        </w:tc>
        <w:tc>
          <w:tcPr>
            <w:tcW w:w="2800" w:type="dxa"/>
          </w:tcPr>
          <w:p w14:paraId="77E676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Notes / Recommendation</w:t>
            </w:r>
          </w:p>
        </w:tc>
      </w:tr>
      <w:tr w:rsidR="00D6251E" w:rsidRPr="00DE7E3A" w14:paraId="0C9472FC" w14:textId="77777777" w:rsidTr="00DE7E3A">
        <w:tc>
          <w:tcPr>
            <w:tcW w:w="2000" w:type="dxa"/>
          </w:tcPr>
          <w:p w14:paraId="533E28F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COD</w:t>
            </w:r>
          </w:p>
        </w:tc>
        <w:tc>
          <w:tcPr>
            <w:tcW w:w="1200" w:type="dxa"/>
          </w:tcPr>
          <w:p w14:paraId="12B5AC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&lt;50 mg/L</w:t>
            </w:r>
          </w:p>
        </w:tc>
        <w:tc>
          <w:tcPr>
            <w:tcW w:w="1200" w:type="dxa"/>
          </w:tcPr>
          <w:p w14:paraId="5EB002C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97.8% removal</w:t>
            </w:r>
          </w:p>
        </w:tc>
        <w:tc>
          <w:tcPr>
            <w:tcW w:w="1400" w:type="dxa"/>
          </w:tcPr>
          <w:p w14:paraId="2166A6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12.4 ± 2.1 mg/L</w:t>
            </w:r>
          </w:p>
        </w:tc>
        <w:tc>
          <w:tcPr>
            <w:tcW w:w="1200" w:type="dxa"/>
          </w:tcPr>
          <w:p w14:paraId="7A04633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155F859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Effluent suitable for river discharge and irrigation reuse</w:t>
            </w:r>
          </w:p>
        </w:tc>
      </w:tr>
      <w:tr w:rsidR="00D6251E" w:rsidRPr="00DE7E3A" w14:paraId="7F810C0D" w14:textId="77777777" w:rsidTr="00DE7E3A">
        <w:tc>
          <w:tcPr>
            <w:tcW w:w="2000" w:type="dxa"/>
          </w:tcPr>
          <w:p w14:paraId="360BD6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BOD₅</w:t>
            </w:r>
          </w:p>
        </w:tc>
        <w:tc>
          <w:tcPr>
            <w:tcW w:w="1200" w:type="dxa"/>
          </w:tcPr>
          <w:p w14:paraId="7F2F27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&lt;10 mg/L</w:t>
            </w:r>
          </w:p>
        </w:tc>
        <w:tc>
          <w:tcPr>
            <w:tcW w:w="1200" w:type="dxa"/>
          </w:tcPr>
          <w:p w14:paraId="4EFB560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98.6% removal</w:t>
            </w:r>
          </w:p>
        </w:tc>
        <w:tc>
          <w:tcPr>
            <w:tcW w:w="1400" w:type="dxa"/>
          </w:tcPr>
          <w:p w14:paraId="1B1F242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7.2 ± 1.3 mg/L</w:t>
            </w:r>
          </w:p>
        </w:tc>
        <w:tc>
          <w:tcPr>
            <w:tcW w:w="1200" w:type="dxa"/>
          </w:tcPr>
          <w:p w14:paraId="14B9CF9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375CD5C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Exceeds Class A recycled water standard</w:t>
            </w:r>
          </w:p>
        </w:tc>
      </w:tr>
      <w:tr w:rsidR="00D6251E" w:rsidRPr="00DE7E3A" w14:paraId="44910F57" w14:textId="77777777" w:rsidTr="00DE7E3A">
        <w:tc>
          <w:tcPr>
            <w:tcW w:w="2000" w:type="dxa"/>
          </w:tcPr>
          <w:p w14:paraId="14B83EB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Total Nitrogen</w:t>
            </w:r>
          </w:p>
        </w:tc>
        <w:tc>
          <w:tcPr>
            <w:tcW w:w="1200" w:type="dxa"/>
          </w:tcPr>
          <w:p w14:paraId="7B4BC7C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&lt;10 mg/L TN</w:t>
            </w:r>
          </w:p>
        </w:tc>
        <w:tc>
          <w:tcPr>
            <w:tcW w:w="1200" w:type="dxa"/>
          </w:tcPr>
          <w:p w14:paraId="253C057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96.4% removal</w:t>
            </w:r>
          </w:p>
        </w:tc>
        <w:tc>
          <w:tcPr>
            <w:tcW w:w="1400" w:type="dxa"/>
          </w:tcPr>
          <w:p w14:paraId="0AA9AC7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8.1 ± 1.8 mg/L</w:t>
            </w:r>
          </w:p>
        </w:tc>
        <w:tc>
          <w:tcPr>
            <w:tcW w:w="1200" w:type="dxa"/>
          </w:tcPr>
          <w:p w14:paraId="2A4A716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04EE49C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 xml:space="preserve">Meets EU Urban Wastewater </w:t>
            </w:r>
            <w:r w:rsidRPr="00DE7E3A">
              <w:rPr>
                <w:rFonts w:ascii="Times New Roman" w:hAnsi="Times New Roman" w:cs="Times New Roman"/>
                <w:sz w:val="24"/>
                <w:szCs w:val="24"/>
              </w:rPr>
              <w:lastRenderedPageBreak/>
              <w:t>Directive sensitive area limit</w:t>
            </w:r>
          </w:p>
        </w:tc>
      </w:tr>
      <w:tr w:rsidR="00D6251E" w:rsidRPr="00DE7E3A" w14:paraId="0E650F07" w14:textId="77777777" w:rsidTr="00DE7E3A">
        <w:tc>
          <w:tcPr>
            <w:tcW w:w="2000" w:type="dxa"/>
          </w:tcPr>
          <w:p w14:paraId="0C06515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Total Phosphorus</w:t>
            </w:r>
          </w:p>
        </w:tc>
        <w:tc>
          <w:tcPr>
            <w:tcW w:w="1200" w:type="dxa"/>
          </w:tcPr>
          <w:p w14:paraId="696BADE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 mg/L TP</w:t>
            </w:r>
          </w:p>
        </w:tc>
        <w:tc>
          <w:tcPr>
            <w:tcW w:w="1200" w:type="dxa"/>
          </w:tcPr>
          <w:p w14:paraId="62FA75D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94.2% removal</w:t>
            </w:r>
          </w:p>
        </w:tc>
        <w:tc>
          <w:tcPr>
            <w:tcW w:w="1400" w:type="dxa"/>
          </w:tcPr>
          <w:p w14:paraId="3D86AE0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0.72 ± 0.14 mg/L</w:t>
            </w:r>
          </w:p>
        </w:tc>
        <w:tc>
          <w:tcPr>
            <w:tcW w:w="1200" w:type="dxa"/>
          </w:tcPr>
          <w:p w14:paraId="72CF8AA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1F07EEE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eutrophication threshold for sensitive water bodies</w:t>
            </w:r>
          </w:p>
        </w:tc>
      </w:tr>
      <w:tr w:rsidR="00D6251E" w:rsidRPr="00DE7E3A" w14:paraId="4FC6762D" w14:textId="77777777" w:rsidTr="00DE7E3A">
        <w:tc>
          <w:tcPr>
            <w:tcW w:w="2000" w:type="dxa"/>
          </w:tcPr>
          <w:p w14:paraId="55FE43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NH₄⁺-N</w:t>
            </w:r>
          </w:p>
        </w:tc>
        <w:tc>
          <w:tcPr>
            <w:tcW w:w="1200" w:type="dxa"/>
          </w:tcPr>
          <w:p w14:paraId="16791BA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&lt;5 mg/L</w:t>
            </w:r>
          </w:p>
        </w:tc>
        <w:tc>
          <w:tcPr>
            <w:tcW w:w="1200" w:type="dxa"/>
          </w:tcPr>
          <w:p w14:paraId="3F268A6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98.1% removal</w:t>
            </w:r>
          </w:p>
        </w:tc>
        <w:tc>
          <w:tcPr>
            <w:tcW w:w="1400" w:type="dxa"/>
          </w:tcPr>
          <w:p w14:paraId="4498FFE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1.2 ± 0.3 mg/L</w:t>
            </w:r>
          </w:p>
        </w:tc>
        <w:tc>
          <w:tcPr>
            <w:tcW w:w="1200" w:type="dxa"/>
          </w:tcPr>
          <w:p w14:paraId="3C9E941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2AA324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Well below acute toxicity threshold for aquatic organisms</w:t>
            </w:r>
          </w:p>
        </w:tc>
      </w:tr>
      <w:tr w:rsidR="00D6251E" w:rsidRPr="00DE7E3A" w14:paraId="581B9AF6" w14:textId="77777777" w:rsidTr="00DE7E3A">
        <w:tc>
          <w:tcPr>
            <w:tcW w:w="2000" w:type="dxa"/>
          </w:tcPr>
          <w:p w14:paraId="0BB089A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Ibuprofen</w:t>
            </w:r>
          </w:p>
        </w:tc>
        <w:tc>
          <w:tcPr>
            <w:tcW w:w="1200" w:type="dxa"/>
          </w:tcPr>
          <w:p w14:paraId="0E9E3F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&lt;0.05 µg/L</w:t>
            </w:r>
          </w:p>
        </w:tc>
        <w:tc>
          <w:tcPr>
            <w:tcW w:w="1200" w:type="dxa"/>
          </w:tcPr>
          <w:p w14:paraId="67F6542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97.3% removal</w:t>
            </w:r>
          </w:p>
        </w:tc>
        <w:tc>
          <w:tcPr>
            <w:tcW w:w="1400" w:type="dxa"/>
          </w:tcPr>
          <w:p w14:paraId="70067F4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0.032 ± 0.008 µg/L</w:t>
            </w:r>
          </w:p>
        </w:tc>
        <w:tc>
          <w:tcPr>
            <w:tcW w:w="1200" w:type="dxa"/>
          </w:tcPr>
          <w:p w14:paraId="444CD7D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5300933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EU EQS; suitable for discharge to surface waters</w:t>
            </w:r>
          </w:p>
        </w:tc>
      </w:tr>
      <w:tr w:rsidR="00D6251E" w:rsidRPr="00DE7E3A" w14:paraId="45343F7A" w14:textId="77777777" w:rsidTr="00DE7E3A">
        <w:tc>
          <w:tcPr>
            <w:tcW w:w="2000" w:type="dxa"/>
          </w:tcPr>
          <w:p w14:paraId="3614B9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Diclofenac</w:t>
            </w:r>
          </w:p>
        </w:tc>
        <w:tc>
          <w:tcPr>
            <w:tcW w:w="1200" w:type="dxa"/>
          </w:tcPr>
          <w:p w14:paraId="54134C4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&lt;0.05 µg/L</w:t>
            </w:r>
          </w:p>
        </w:tc>
        <w:tc>
          <w:tcPr>
            <w:tcW w:w="1200" w:type="dxa"/>
          </w:tcPr>
          <w:p w14:paraId="03610D1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94.6% removal</w:t>
            </w:r>
          </w:p>
        </w:tc>
        <w:tc>
          <w:tcPr>
            <w:tcW w:w="1400" w:type="dxa"/>
          </w:tcPr>
          <w:p w14:paraId="3D3FFD0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0.041 ± 0.010 µg/L</w:t>
            </w:r>
          </w:p>
        </w:tc>
        <w:tc>
          <w:tcPr>
            <w:tcW w:w="1200" w:type="dxa"/>
          </w:tcPr>
          <w:p w14:paraId="5ADACE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1741750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EU watch list threshold</w:t>
            </w:r>
          </w:p>
        </w:tc>
      </w:tr>
      <w:tr w:rsidR="00D6251E" w:rsidRPr="00DE7E3A" w14:paraId="5F8F3BF9" w14:textId="77777777" w:rsidTr="00DE7E3A">
        <w:tc>
          <w:tcPr>
            <w:tcW w:w="2000" w:type="dxa"/>
          </w:tcPr>
          <w:p w14:paraId="0073F74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Carbamazepine</w:t>
            </w:r>
          </w:p>
        </w:tc>
        <w:tc>
          <w:tcPr>
            <w:tcW w:w="1200" w:type="dxa"/>
          </w:tcPr>
          <w:p w14:paraId="7BE2FF7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&lt;0.1 µg/L</w:t>
            </w:r>
          </w:p>
        </w:tc>
        <w:tc>
          <w:tcPr>
            <w:tcW w:w="1200" w:type="dxa"/>
          </w:tcPr>
          <w:p w14:paraId="4E70594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89.4% removal</w:t>
            </w:r>
          </w:p>
        </w:tc>
        <w:tc>
          <w:tcPr>
            <w:tcW w:w="1400" w:type="dxa"/>
          </w:tcPr>
          <w:p w14:paraId="471E736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0.062 ± 0.018 µg/L</w:t>
            </w:r>
          </w:p>
        </w:tc>
        <w:tc>
          <w:tcPr>
            <w:tcW w:w="1200" w:type="dxa"/>
          </w:tcPr>
          <w:p w14:paraId="763F0CF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6BE2316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WHO drinking water guideline (provisional)</w:t>
            </w:r>
          </w:p>
        </w:tc>
      </w:tr>
      <w:tr w:rsidR="00D6251E" w:rsidRPr="00DE7E3A" w14:paraId="1793018B" w14:textId="77777777" w:rsidTr="00DE7E3A">
        <w:tc>
          <w:tcPr>
            <w:tcW w:w="2000" w:type="dxa"/>
          </w:tcPr>
          <w:p w14:paraId="14FCB8C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17α-Ethinylestradiol (EE2)</w:t>
            </w:r>
          </w:p>
        </w:tc>
        <w:tc>
          <w:tcPr>
            <w:tcW w:w="1200" w:type="dxa"/>
          </w:tcPr>
          <w:p w14:paraId="3E4913F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&lt;0.035 ng/L</w:t>
            </w:r>
          </w:p>
        </w:tc>
        <w:tc>
          <w:tcPr>
            <w:tcW w:w="1200" w:type="dxa"/>
          </w:tcPr>
          <w:p w14:paraId="148FBFA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92.1% removal</w:t>
            </w:r>
          </w:p>
        </w:tc>
        <w:tc>
          <w:tcPr>
            <w:tcW w:w="1400" w:type="dxa"/>
          </w:tcPr>
          <w:p w14:paraId="69B72F3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0.021 ± 0.006 ng/L</w:t>
            </w:r>
          </w:p>
        </w:tc>
        <w:tc>
          <w:tcPr>
            <w:tcW w:w="1200" w:type="dxa"/>
          </w:tcPr>
          <w:p w14:paraId="339C60B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113775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EU EQS (AA-EQS for surface water)</w:t>
            </w:r>
          </w:p>
        </w:tc>
      </w:tr>
      <w:tr w:rsidR="00D6251E" w:rsidRPr="00DE7E3A" w14:paraId="169552E2" w14:textId="77777777" w:rsidTr="00DE7E3A">
        <w:tc>
          <w:tcPr>
            <w:tcW w:w="2000" w:type="dxa"/>
          </w:tcPr>
          <w:p w14:paraId="7DAEE85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Bisphenol A (BPA)</w:t>
            </w:r>
          </w:p>
        </w:tc>
        <w:tc>
          <w:tcPr>
            <w:tcW w:w="1200" w:type="dxa"/>
          </w:tcPr>
          <w:p w14:paraId="3A14504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&lt;0.1 µg/L</w:t>
            </w:r>
          </w:p>
        </w:tc>
        <w:tc>
          <w:tcPr>
            <w:tcW w:w="1200" w:type="dxa"/>
          </w:tcPr>
          <w:p w14:paraId="3859C68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91.7% removal</w:t>
            </w:r>
          </w:p>
        </w:tc>
        <w:tc>
          <w:tcPr>
            <w:tcW w:w="1400" w:type="dxa"/>
          </w:tcPr>
          <w:p w14:paraId="6722357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0.078 ± 0.022 µg/L</w:t>
            </w:r>
          </w:p>
        </w:tc>
        <w:tc>
          <w:tcPr>
            <w:tcW w:w="1200" w:type="dxa"/>
          </w:tcPr>
          <w:p w14:paraId="2669B27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3FF0DE8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EU REACH authorisation threshold</w:t>
            </w:r>
          </w:p>
        </w:tc>
      </w:tr>
      <w:tr w:rsidR="00D6251E" w:rsidRPr="00DE7E3A" w14:paraId="1987860D" w14:textId="77777777" w:rsidTr="00DE7E3A">
        <w:tc>
          <w:tcPr>
            <w:tcW w:w="2000" w:type="dxa"/>
          </w:tcPr>
          <w:p w14:paraId="79997546"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Lead (Pb)</w:t>
            </w:r>
          </w:p>
        </w:tc>
        <w:tc>
          <w:tcPr>
            <w:tcW w:w="1200" w:type="dxa"/>
          </w:tcPr>
          <w:p w14:paraId="0F35021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&lt;10 µg/L</w:t>
            </w:r>
          </w:p>
        </w:tc>
        <w:tc>
          <w:tcPr>
            <w:tcW w:w="1200" w:type="dxa"/>
          </w:tcPr>
          <w:p w14:paraId="7F9D98A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91.3% removal</w:t>
            </w:r>
          </w:p>
        </w:tc>
        <w:tc>
          <w:tcPr>
            <w:tcW w:w="1400" w:type="dxa"/>
          </w:tcPr>
          <w:p w14:paraId="5BF5FAE9"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4.2 ± 1.1 µg/L</w:t>
            </w:r>
          </w:p>
        </w:tc>
        <w:tc>
          <w:tcPr>
            <w:tcW w:w="1200" w:type="dxa"/>
          </w:tcPr>
          <w:p w14:paraId="06A797FC"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667E622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WHO drinking water guideline</w:t>
            </w:r>
          </w:p>
        </w:tc>
      </w:tr>
      <w:tr w:rsidR="00D6251E" w:rsidRPr="00DE7E3A" w14:paraId="336D401A" w14:textId="77777777" w:rsidTr="00DE7E3A">
        <w:tc>
          <w:tcPr>
            <w:tcW w:w="2000" w:type="dxa"/>
          </w:tcPr>
          <w:p w14:paraId="7F2E501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Arsenic (As)</w:t>
            </w:r>
          </w:p>
        </w:tc>
        <w:tc>
          <w:tcPr>
            <w:tcW w:w="1200" w:type="dxa"/>
          </w:tcPr>
          <w:p w14:paraId="2EC2E15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&lt;10 µg/L</w:t>
            </w:r>
          </w:p>
        </w:tc>
        <w:tc>
          <w:tcPr>
            <w:tcW w:w="1200" w:type="dxa"/>
          </w:tcPr>
          <w:p w14:paraId="054A900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90.8% removal</w:t>
            </w:r>
          </w:p>
        </w:tc>
        <w:tc>
          <w:tcPr>
            <w:tcW w:w="1400" w:type="dxa"/>
          </w:tcPr>
          <w:p w14:paraId="18835D5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4.8 ± 1.3 µg/L</w:t>
            </w:r>
          </w:p>
        </w:tc>
        <w:tc>
          <w:tcPr>
            <w:tcW w:w="1200" w:type="dxa"/>
          </w:tcPr>
          <w:p w14:paraId="029FB5E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44134C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Below WHO drinking water guideline</w:t>
            </w:r>
          </w:p>
        </w:tc>
      </w:tr>
      <w:tr w:rsidR="00D6251E" w:rsidRPr="00DE7E3A" w14:paraId="3918C2C2" w14:textId="77777777" w:rsidTr="00DE7E3A">
        <w:tc>
          <w:tcPr>
            <w:tcW w:w="2000" w:type="dxa"/>
          </w:tcPr>
          <w:p w14:paraId="014105B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PFOS</w:t>
            </w:r>
          </w:p>
        </w:tc>
        <w:tc>
          <w:tcPr>
            <w:tcW w:w="1200" w:type="dxa"/>
          </w:tcPr>
          <w:p w14:paraId="36859A12"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&lt;0.65 µg/L</w:t>
            </w:r>
          </w:p>
        </w:tc>
        <w:tc>
          <w:tcPr>
            <w:tcW w:w="1200" w:type="dxa"/>
          </w:tcPr>
          <w:p w14:paraId="3E7474C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69.3% removal</w:t>
            </w:r>
          </w:p>
        </w:tc>
        <w:tc>
          <w:tcPr>
            <w:tcW w:w="1400" w:type="dxa"/>
          </w:tcPr>
          <w:p w14:paraId="14B13CE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0.89 ± 0.24 µg/L</w:t>
            </w:r>
          </w:p>
        </w:tc>
        <w:tc>
          <w:tcPr>
            <w:tcW w:w="1200" w:type="dxa"/>
          </w:tcPr>
          <w:p w14:paraId="6E7B3E3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NON-COMPLIANT</w:t>
            </w:r>
          </w:p>
        </w:tc>
        <w:tc>
          <w:tcPr>
            <w:tcW w:w="2800" w:type="dxa"/>
          </w:tcPr>
          <w:p w14:paraId="090FAAD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Requires additional AOP; PFAS-specific GAC/NF polishing step recommended</w:t>
            </w:r>
          </w:p>
        </w:tc>
      </w:tr>
      <w:tr w:rsidR="00D6251E" w:rsidRPr="00DE7E3A" w14:paraId="333570A0" w14:textId="77777777" w:rsidTr="00DE7E3A">
        <w:tc>
          <w:tcPr>
            <w:tcW w:w="2000" w:type="dxa"/>
          </w:tcPr>
          <w:p w14:paraId="05F4541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PFOA</w:t>
            </w:r>
          </w:p>
        </w:tc>
        <w:tc>
          <w:tcPr>
            <w:tcW w:w="1200" w:type="dxa"/>
          </w:tcPr>
          <w:p w14:paraId="094B8287"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&lt;0.87 µg/L</w:t>
            </w:r>
          </w:p>
        </w:tc>
        <w:tc>
          <w:tcPr>
            <w:tcW w:w="1200" w:type="dxa"/>
          </w:tcPr>
          <w:p w14:paraId="30DB2C0B"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67.8% removal</w:t>
            </w:r>
          </w:p>
        </w:tc>
        <w:tc>
          <w:tcPr>
            <w:tcW w:w="1400" w:type="dxa"/>
          </w:tcPr>
          <w:p w14:paraId="633561E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1.12 ± 0.31 µg/L</w:t>
            </w:r>
          </w:p>
        </w:tc>
        <w:tc>
          <w:tcPr>
            <w:tcW w:w="1200" w:type="dxa"/>
          </w:tcPr>
          <w:p w14:paraId="11F9FF2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NON-COMPLIANT</w:t>
            </w:r>
          </w:p>
        </w:tc>
        <w:tc>
          <w:tcPr>
            <w:tcW w:w="2800" w:type="dxa"/>
          </w:tcPr>
          <w:p w14:paraId="3EBEA7BA"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Effluent polishing with activated carbon filtration required</w:t>
            </w:r>
          </w:p>
        </w:tc>
      </w:tr>
      <w:tr w:rsidR="00D6251E" w:rsidRPr="00DE7E3A" w14:paraId="57C8EB7C" w14:textId="77777777" w:rsidTr="00DE7E3A">
        <w:tc>
          <w:tcPr>
            <w:tcW w:w="2000" w:type="dxa"/>
          </w:tcPr>
          <w:p w14:paraId="242E6CB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Microplastics (&gt;1 µm)</w:t>
            </w:r>
          </w:p>
        </w:tc>
        <w:tc>
          <w:tcPr>
            <w:tcW w:w="1200" w:type="dxa"/>
          </w:tcPr>
          <w:p w14:paraId="240E547F"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&lt;10 particles/L</w:t>
            </w:r>
          </w:p>
        </w:tc>
        <w:tc>
          <w:tcPr>
            <w:tcW w:w="1200" w:type="dxa"/>
          </w:tcPr>
          <w:p w14:paraId="54CC4AB3"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95.6% removal</w:t>
            </w:r>
          </w:p>
        </w:tc>
        <w:tc>
          <w:tcPr>
            <w:tcW w:w="1400" w:type="dxa"/>
          </w:tcPr>
          <w:p w14:paraId="3C5AA89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&lt;3 particles/L</w:t>
            </w:r>
          </w:p>
        </w:tc>
        <w:tc>
          <w:tcPr>
            <w:tcW w:w="1200" w:type="dxa"/>
          </w:tcPr>
          <w:p w14:paraId="7D019FF5"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42627FAD"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No binding EU standard; precautionary limit applied</w:t>
            </w:r>
          </w:p>
        </w:tc>
      </w:tr>
      <w:tr w:rsidR="00D6251E" w:rsidRPr="00DE7E3A" w14:paraId="1F00DF13" w14:textId="77777777" w:rsidTr="00DE7E3A">
        <w:tc>
          <w:tcPr>
            <w:tcW w:w="2000" w:type="dxa"/>
          </w:tcPr>
          <w:p w14:paraId="51FED38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lastRenderedPageBreak/>
              <w:t>E. coli (indicator)</w:t>
            </w:r>
          </w:p>
        </w:tc>
        <w:tc>
          <w:tcPr>
            <w:tcW w:w="1200" w:type="dxa"/>
          </w:tcPr>
          <w:p w14:paraId="3804E570"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 CFU/100mL</w:t>
            </w:r>
          </w:p>
        </w:tc>
        <w:tc>
          <w:tcPr>
            <w:tcW w:w="1200" w:type="dxa"/>
          </w:tcPr>
          <w:p w14:paraId="2EE2D0E8"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&gt;99.9% removal</w:t>
            </w:r>
          </w:p>
        </w:tc>
        <w:tc>
          <w:tcPr>
            <w:tcW w:w="1400" w:type="dxa"/>
          </w:tcPr>
          <w:p w14:paraId="4E75183E"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&lt;1 CFU/100mL</w:t>
            </w:r>
          </w:p>
        </w:tc>
        <w:tc>
          <w:tcPr>
            <w:tcW w:w="1200" w:type="dxa"/>
          </w:tcPr>
          <w:p w14:paraId="7D2FD2B1"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b/>
                <w:bCs/>
                <w:sz w:val="24"/>
                <w:szCs w:val="24"/>
              </w:rPr>
              <w:t>COMPLIANT</w:t>
            </w:r>
          </w:p>
        </w:tc>
        <w:tc>
          <w:tcPr>
            <w:tcW w:w="2800" w:type="dxa"/>
          </w:tcPr>
          <w:p w14:paraId="2EB2DE24" w14:textId="77777777" w:rsidR="00D6251E" w:rsidRPr="00DE7E3A" w:rsidRDefault="00000000" w:rsidP="00DE7E3A">
            <w:pPr>
              <w:jc w:val="both"/>
              <w:rPr>
                <w:rFonts w:ascii="Times New Roman" w:hAnsi="Times New Roman" w:cs="Times New Roman"/>
                <w:sz w:val="24"/>
                <w:szCs w:val="24"/>
              </w:rPr>
            </w:pPr>
            <w:r w:rsidRPr="00DE7E3A">
              <w:rPr>
                <w:rFonts w:ascii="Times New Roman" w:hAnsi="Times New Roman" w:cs="Times New Roman"/>
                <w:sz w:val="24"/>
                <w:szCs w:val="24"/>
              </w:rPr>
              <w:t>Membrane barrier provides excellent pathogen rejection</w:t>
            </w:r>
          </w:p>
        </w:tc>
      </w:tr>
    </w:tbl>
    <w:p w14:paraId="7F7AA720" w14:textId="77777777" w:rsidR="00D6251E" w:rsidRPr="00DE7E3A" w:rsidRDefault="00000000" w:rsidP="00DE7E3A">
      <w:pPr>
        <w:spacing w:before="40" w:after="40"/>
        <w:jc w:val="both"/>
        <w:rPr>
          <w:rFonts w:ascii="Times New Roman" w:hAnsi="Times New Roman" w:cs="Times New Roman"/>
          <w:sz w:val="24"/>
          <w:szCs w:val="24"/>
        </w:rPr>
      </w:pPr>
      <w:r w:rsidRPr="00DE7E3A">
        <w:rPr>
          <w:rFonts w:ascii="Times New Roman" w:hAnsi="Times New Roman" w:cs="Times New Roman"/>
          <w:i/>
          <w:iCs/>
          <w:sz w:val="24"/>
          <w:szCs w:val="24"/>
        </w:rPr>
        <w:t>Note: Compliance is evaluated against the most stringent applicable standard for each parameter. NON-COMPLIANT parameters (PFOS, PFOA) require downstream polishing with granular activated carbon (GAC) or nanofiltration, as discussed in Section 4.5 and Future Directions. All other parameters met discharge standards across all five plants.</w:t>
      </w:r>
    </w:p>
    <w:p w14:paraId="1F6A84EB" w14:textId="77777777" w:rsidR="00D6251E" w:rsidRPr="00DE7E3A" w:rsidRDefault="00D6251E" w:rsidP="00DE7E3A">
      <w:pPr>
        <w:spacing w:before="60" w:after="60"/>
        <w:jc w:val="both"/>
        <w:rPr>
          <w:rFonts w:ascii="Times New Roman" w:hAnsi="Times New Roman" w:cs="Times New Roman"/>
          <w:sz w:val="24"/>
          <w:szCs w:val="24"/>
        </w:rPr>
      </w:pPr>
    </w:p>
    <w:p w14:paraId="620B00A4" w14:textId="6917A8BB" w:rsidR="00D6251E" w:rsidRPr="00DE7E3A" w:rsidRDefault="00000000" w:rsidP="00536256">
      <w:pPr>
        <w:jc w:val="both"/>
        <w:rPr>
          <w:rFonts w:ascii="Times New Roman" w:hAnsi="Times New Roman" w:cs="Times New Roman"/>
          <w:sz w:val="24"/>
          <w:szCs w:val="24"/>
        </w:rPr>
      </w:pPr>
      <w:r w:rsidRPr="00DE7E3A">
        <w:rPr>
          <w:rFonts w:ascii="Times New Roman" w:hAnsi="Times New Roman" w:cs="Times New Roman"/>
          <w:b/>
          <w:bCs/>
          <w:sz w:val="24"/>
          <w:szCs w:val="24"/>
        </w:rPr>
        <w:t>Supplementary Figures</w:t>
      </w:r>
    </w:p>
    <w:p w14:paraId="5B247DC0" w14:textId="77777777" w:rsidR="00D6251E" w:rsidRPr="00DE7E3A" w:rsidRDefault="00000000" w:rsidP="00DE7E3A">
      <w:pPr>
        <w:spacing w:before="60" w:after="60"/>
        <w:jc w:val="both"/>
        <w:rPr>
          <w:rFonts w:ascii="Times New Roman" w:hAnsi="Times New Roman" w:cs="Times New Roman"/>
          <w:sz w:val="24"/>
          <w:szCs w:val="24"/>
        </w:rPr>
      </w:pPr>
      <w:r w:rsidRPr="00DE7E3A">
        <w:rPr>
          <w:rFonts w:ascii="Times New Roman" w:hAnsi="Times New Roman" w:cs="Times New Roman"/>
          <w:sz w:val="24"/>
          <w:szCs w:val="24"/>
        </w:rPr>
        <w:t>The following figures provide detailed graphical representations of methods, model performance, and results that supplement the main manuscript figures (Figures 1–4). All figures were generated programmatically using Python 3.10 with matplotlib (v3.7), seaborn (v0.12), and SHAP (v0.42) libraries. Source code and data are available at the Zenodo repository (DOI: 10.5281/zenodo.14287652).</w:t>
      </w:r>
    </w:p>
    <w:p w14:paraId="21F9175A" w14:textId="77777777" w:rsidR="00D6251E" w:rsidRPr="00DE7E3A" w:rsidRDefault="00D6251E" w:rsidP="00DE7E3A">
      <w:pPr>
        <w:spacing w:before="60" w:after="60"/>
        <w:jc w:val="both"/>
        <w:rPr>
          <w:rFonts w:ascii="Times New Roman" w:hAnsi="Times New Roman" w:cs="Times New Roman"/>
          <w:sz w:val="24"/>
          <w:szCs w:val="24"/>
        </w:rPr>
      </w:pPr>
    </w:p>
    <w:p w14:paraId="6C01A10C"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t>Figure S1. XAI-AMBR System Architecture (Detailed)</w:t>
      </w:r>
    </w:p>
    <w:p w14:paraId="158C42E5" w14:textId="11BC2B43" w:rsidR="00D6251E" w:rsidRPr="00DE7E3A" w:rsidRDefault="00C42C0F" w:rsidP="00DE7E3A">
      <w:pPr>
        <w:spacing w:before="120" w:after="120"/>
        <w:jc w:val="both"/>
        <w:rPr>
          <w:rFonts w:ascii="Times New Roman" w:hAnsi="Times New Roman" w:cs="Times New Roman"/>
          <w:sz w:val="24"/>
          <w:szCs w:val="24"/>
        </w:rPr>
      </w:pPr>
      <w:r>
        <w:rPr>
          <w:noProof/>
        </w:rPr>
        <w:drawing>
          <wp:inline distT="0" distB="0" distL="0" distR="0" wp14:anchorId="00FA0B0F" wp14:editId="3B8BBFBD">
            <wp:extent cx="6400800" cy="3912870"/>
            <wp:effectExtent l="0" t="0" r="0" b="0"/>
            <wp:docPr id="326657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3912870"/>
                    </a:xfrm>
                    <a:prstGeom prst="rect">
                      <a:avLst/>
                    </a:prstGeom>
                    <a:noFill/>
                    <a:ln>
                      <a:noFill/>
                    </a:ln>
                  </pic:spPr>
                </pic:pic>
              </a:graphicData>
            </a:graphic>
          </wp:inline>
        </w:drawing>
      </w:r>
    </w:p>
    <w:p w14:paraId="40EF16A5" w14:textId="77777777" w:rsidR="00D6251E" w:rsidRPr="00DE7E3A" w:rsidRDefault="00000000" w:rsidP="00DE7E3A">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S1. Detailed schematic of the XAI-AMBR four-layer framework. Layer 1: IoT sensor network (18 variables, 15-min intervals). Layer 2: Three-layer stacked LSTM network (128-64-32 neurons). Layer 3: SHAP interpretability engine generating real-time feature attribution dashboards. Layer 4: NSGA-II Pareto-optimal controller updating operational setpoints every 2 hours. Blue arrows indicate data flow; red arrows indicate control signal feedback.</w:t>
      </w:r>
    </w:p>
    <w:p w14:paraId="2F448E69" w14:textId="77777777" w:rsidR="00D6251E" w:rsidRPr="00DE7E3A" w:rsidRDefault="00D6251E" w:rsidP="00DE7E3A">
      <w:pPr>
        <w:spacing w:before="60" w:after="60"/>
        <w:jc w:val="both"/>
        <w:rPr>
          <w:rFonts w:ascii="Times New Roman" w:hAnsi="Times New Roman" w:cs="Times New Roman"/>
          <w:sz w:val="24"/>
          <w:szCs w:val="24"/>
        </w:rPr>
      </w:pPr>
    </w:p>
    <w:p w14:paraId="5D3CA2A7" w14:textId="77777777" w:rsidR="00536256" w:rsidRDefault="00536256" w:rsidP="00DE7E3A">
      <w:pPr>
        <w:pStyle w:val="Heading2"/>
        <w:jc w:val="both"/>
        <w:rPr>
          <w:rFonts w:ascii="Times New Roman" w:hAnsi="Times New Roman" w:cs="Times New Roman"/>
          <w:color w:val="auto"/>
        </w:rPr>
      </w:pPr>
    </w:p>
    <w:p w14:paraId="74181D25" w14:textId="4BB0EB38"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lastRenderedPageBreak/>
        <w:t>Figure S2. Data Preprocessing and Model Training Workflow</w:t>
      </w:r>
    </w:p>
    <w:p w14:paraId="5C230DD3" w14:textId="72582858"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0D82FE9D" wp14:editId="76D65AED">
            <wp:extent cx="6400800" cy="3181350"/>
            <wp:effectExtent l="0" t="0" r="0" b="0"/>
            <wp:docPr id="601865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3181350"/>
                    </a:xfrm>
                    <a:prstGeom prst="rect">
                      <a:avLst/>
                    </a:prstGeom>
                    <a:noFill/>
                    <a:ln>
                      <a:noFill/>
                    </a:ln>
                  </pic:spPr>
                </pic:pic>
              </a:graphicData>
            </a:graphic>
          </wp:inline>
        </w:drawing>
      </w:r>
    </w:p>
    <w:p w14:paraId="00B0EF61" w14:textId="1D212D1D" w:rsidR="00D6251E" w:rsidRPr="00DE7E3A" w:rsidRDefault="00000000" w:rsidP="00C42C0F">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S2. End-to-end data preprocessing and LSTM training workflow. The pipeline was implemented as a reproducible scikit-learn Pipeline object and applied identically across all five plants, with the sole exception of plant-specific input scaling ranges.</w:t>
      </w:r>
    </w:p>
    <w:p w14:paraId="1EDC0860"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t>Figure S3. LSTM Training and Validation Loss Curves</w:t>
      </w:r>
    </w:p>
    <w:p w14:paraId="7A39FDD3" w14:textId="13757BF5"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6F39A773" wp14:editId="685B5915">
            <wp:extent cx="5905500" cy="3568700"/>
            <wp:effectExtent l="0" t="0" r="0" b="0"/>
            <wp:docPr id="751049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3568700"/>
                    </a:xfrm>
                    <a:prstGeom prst="rect">
                      <a:avLst/>
                    </a:prstGeom>
                    <a:noFill/>
                    <a:ln>
                      <a:noFill/>
                    </a:ln>
                  </pic:spPr>
                </pic:pic>
              </a:graphicData>
            </a:graphic>
          </wp:inline>
        </w:drawing>
      </w:r>
    </w:p>
    <w:p w14:paraId="23180A91" w14:textId="7A38BC4D" w:rsidR="00D6251E" w:rsidRPr="00DE7E3A" w:rsidRDefault="00000000" w:rsidP="00536256">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S3. LSTM training (blue) and validation (orange) loss curves for all five plant-specific models. Dashed vertical lines indicate the early stopping epoch. Shaded regions represent ±1 SD across five cross-validation folds. Convergence without overfitting was confirmed in all models.</w:t>
      </w:r>
    </w:p>
    <w:p w14:paraId="6C5A1FF6"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lastRenderedPageBreak/>
        <w:t>Figure S4. SHAP Summary Plots for TMP Prediction</w:t>
      </w:r>
    </w:p>
    <w:p w14:paraId="5888FE8D" w14:textId="63E3A5BA"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48F9595D" wp14:editId="1C3C3417">
            <wp:extent cx="5905500" cy="2870200"/>
            <wp:effectExtent l="0" t="0" r="0" b="6350"/>
            <wp:docPr id="17113039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5500" cy="2870200"/>
                    </a:xfrm>
                    <a:prstGeom prst="rect">
                      <a:avLst/>
                    </a:prstGeom>
                    <a:noFill/>
                    <a:ln>
                      <a:noFill/>
                    </a:ln>
                  </pic:spPr>
                </pic:pic>
              </a:graphicData>
            </a:graphic>
          </wp:inline>
        </w:drawing>
      </w:r>
    </w:p>
    <w:p w14:paraId="2C9BFF05" w14:textId="4CA709D5" w:rsidR="00D6251E" w:rsidRPr="00DE7E3A" w:rsidRDefault="00000000" w:rsidP="00536256">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S4. SHAP beeswarm summary plots for transmembrane pressure (TMP) prediction. Each point represents one prediction from the test set. Colour encodes the raw feature value (red = high; blue = low). The x-axis represents the SHAP value (impact on model output; positive values push prediction higher, i.e., towards fouling). MLSS, HRT, and DO consistently show the largest spread and magnitude across all plants.</w:t>
      </w:r>
    </w:p>
    <w:p w14:paraId="77931C49"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t>Figure S5. NSGA-II Pareto Fronts</w:t>
      </w:r>
    </w:p>
    <w:p w14:paraId="61B10292" w14:textId="0733C6A6"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17393CFD" wp14:editId="6B1D092D">
            <wp:extent cx="5905500" cy="3314700"/>
            <wp:effectExtent l="0" t="0" r="0" b="0"/>
            <wp:docPr id="20705746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3314700"/>
                    </a:xfrm>
                    <a:prstGeom prst="rect">
                      <a:avLst/>
                    </a:prstGeom>
                    <a:noFill/>
                    <a:ln>
                      <a:noFill/>
                    </a:ln>
                  </pic:spPr>
                </pic:pic>
              </a:graphicData>
            </a:graphic>
          </wp:inline>
        </w:drawing>
      </w:r>
    </w:p>
    <w:p w14:paraId="5EBC8429" w14:textId="77777777" w:rsidR="00D6251E" w:rsidRPr="00DE7E3A" w:rsidRDefault="00000000" w:rsidP="00DE7E3A">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S5. Pareto optimal solutions from NSGA-II for Plant P-1 (municipal MBR, New Delhi). The selected operating point (star symbol) represents the solution with the best compromise between the three objectives, identified by Tchebycheff scalarisation with equal objective weights. The Pareto front contains 61 non-dominated solutions.</w:t>
      </w:r>
    </w:p>
    <w:p w14:paraId="01271308" w14:textId="77777777" w:rsidR="00D6251E" w:rsidRPr="00DE7E3A" w:rsidRDefault="00D6251E" w:rsidP="00DE7E3A">
      <w:pPr>
        <w:spacing w:before="60" w:after="60"/>
        <w:jc w:val="both"/>
        <w:rPr>
          <w:rFonts w:ascii="Times New Roman" w:hAnsi="Times New Roman" w:cs="Times New Roman"/>
          <w:sz w:val="24"/>
          <w:szCs w:val="24"/>
        </w:rPr>
      </w:pPr>
    </w:p>
    <w:p w14:paraId="5311D03A"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t>Figure S6. TMP Prediction: LSTM vs Measured Values</w:t>
      </w:r>
    </w:p>
    <w:p w14:paraId="6D6E355C" w14:textId="5A0C6106"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0F788ADE" wp14:editId="2211AFCA">
            <wp:extent cx="5905500" cy="2997200"/>
            <wp:effectExtent l="0" t="0" r="0" b="0"/>
            <wp:docPr id="1210060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0" cy="2997200"/>
                    </a:xfrm>
                    <a:prstGeom prst="rect">
                      <a:avLst/>
                    </a:prstGeom>
                    <a:noFill/>
                    <a:ln>
                      <a:noFill/>
                    </a:ln>
                  </pic:spPr>
                </pic:pic>
              </a:graphicData>
            </a:graphic>
          </wp:inline>
        </w:drawing>
      </w:r>
    </w:p>
    <w:p w14:paraId="3CCC826F" w14:textId="1B919DFE" w:rsidR="00D6251E" w:rsidRPr="00DE7E3A" w:rsidRDefault="00000000" w:rsidP="00536256">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S6. LSTM model performance for TMP prediction at Plant P-1. (a) Time-series overlay of predicted (red) vs. measured (blue) TMP over 90-day test period. Grey shaded regions indicate membrane cleaning events. (b) Scatter plot of predicted vs. actual TMP with 45° reference line; R² = 0.951, RMSE = 1.84 kPa, MAE = 1.31 kPa.</w:t>
      </w:r>
    </w:p>
    <w:p w14:paraId="0CB4AB01"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t>Figure S7. Transfer Learning Performance Visualisation</w:t>
      </w:r>
    </w:p>
    <w:p w14:paraId="0A10EE34" w14:textId="09EEDEAD"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3165FFB1" wp14:editId="62473D83">
            <wp:extent cx="5905500" cy="3098800"/>
            <wp:effectExtent l="0" t="0" r="0" b="6350"/>
            <wp:docPr id="14812156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098800"/>
                    </a:xfrm>
                    <a:prstGeom prst="rect">
                      <a:avLst/>
                    </a:prstGeom>
                    <a:noFill/>
                    <a:ln>
                      <a:noFill/>
                    </a:ln>
                  </pic:spPr>
                </pic:pic>
              </a:graphicData>
            </a:graphic>
          </wp:inline>
        </w:drawing>
      </w:r>
    </w:p>
    <w:p w14:paraId="468EF424" w14:textId="77777777" w:rsidR="00D6251E" w:rsidRPr="00DE7E3A" w:rsidRDefault="00000000" w:rsidP="00DE7E3A">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S7. Transfer learning performance. (a) R² comparison before (grey) and after (blue) transfer learning for all six plant-pair combinations. (b) Learning curves showing validation R² as a function of labeled target-domain training samples. Transfer learning consistently achieves high R² with fewer than 3,000 target-domain samples, compared to 15,000+ required without transfer.</w:t>
      </w:r>
    </w:p>
    <w:p w14:paraId="7538EC35" w14:textId="77777777" w:rsidR="00D6251E" w:rsidRPr="00DE7E3A" w:rsidRDefault="00D6251E" w:rsidP="00DE7E3A">
      <w:pPr>
        <w:spacing w:before="60" w:after="60"/>
        <w:jc w:val="both"/>
        <w:rPr>
          <w:rFonts w:ascii="Times New Roman" w:hAnsi="Times New Roman" w:cs="Times New Roman"/>
          <w:sz w:val="24"/>
          <w:szCs w:val="24"/>
        </w:rPr>
      </w:pPr>
    </w:p>
    <w:p w14:paraId="23CA9302" w14:textId="77777777" w:rsidR="00D6251E" w:rsidRPr="00DE7E3A" w:rsidRDefault="00000000" w:rsidP="00DE7E3A">
      <w:pPr>
        <w:pStyle w:val="Heading2"/>
        <w:jc w:val="both"/>
        <w:rPr>
          <w:rFonts w:ascii="Times New Roman" w:hAnsi="Times New Roman" w:cs="Times New Roman"/>
          <w:color w:val="auto"/>
        </w:rPr>
      </w:pPr>
      <w:r w:rsidRPr="00DE7E3A">
        <w:rPr>
          <w:rFonts w:ascii="Times New Roman" w:hAnsi="Times New Roman" w:cs="Times New Roman"/>
          <w:color w:val="auto"/>
        </w:rPr>
        <w:t>Figure S8. Micropollutant Removal Radar Charts</w:t>
      </w:r>
    </w:p>
    <w:p w14:paraId="2D7680FB" w14:textId="20575919" w:rsidR="00D6251E" w:rsidRPr="00DE7E3A" w:rsidRDefault="00C42C0F" w:rsidP="00536256">
      <w:pPr>
        <w:spacing w:before="120" w:after="120"/>
        <w:jc w:val="center"/>
        <w:rPr>
          <w:rFonts w:ascii="Times New Roman" w:hAnsi="Times New Roman" w:cs="Times New Roman"/>
          <w:sz w:val="24"/>
          <w:szCs w:val="24"/>
        </w:rPr>
      </w:pPr>
      <w:r>
        <w:rPr>
          <w:noProof/>
        </w:rPr>
        <w:drawing>
          <wp:inline distT="0" distB="0" distL="0" distR="0" wp14:anchorId="76F3985E" wp14:editId="5B90EF81">
            <wp:extent cx="5905500" cy="3168650"/>
            <wp:effectExtent l="0" t="0" r="0" b="0"/>
            <wp:docPr id="5281587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500" cy="3168650"/>
                    </a:xfrm>
                    <a:prstGeom prst="rect">
                      <a:avLst/>
                    </a:prstGeom>
                    <a:noFill/>
                    <a:ln>
                      <a:noFill/>
                    </a:ln>
                  </pic:spPr>
                </pic:pic>
              </a:graphicData>
            </a:graphic>
          </wp:inline>
        </w:drawing>
      </w:r>
    </w:p>
    <w:p w14:paraId="2885A55F" w14:textId="24936FEF" w:rsidR="00D6251E" w:rsidRPr="00DE7E3A" w:rsidRDefault="00000000" w:rsidP="00C95D7C">
      <w:pPr>
        <w:spacing w:before="60" w:after="120"/>
        <w:jc w:val="both"/>
        <w:rPr>
          <w:rFonts w:ascii="Times New Roman" w:hAnsi="Times New Roman" w:cs="Times New Roman"/>
          <w:sz w:val="24"/>
          <w:szCs w:val="24"/>
        </w:rPr>
      </w:pPr>
      <w:r w:rsidRPr="00DE7E3A">
        <w:rPr>
          <w:rFonts w:ascii="Times New Roman" w:hAnsi="Times New Roman" w:cs="Times New Roman"/>
          <w:b/>
          <w:bCs/>
          <w:i/>
          <w:iCs/>
          <w:sz w:val="24"/>
          <w:szCs w:val="24"/>
        </w:rPr>
        <w:t>Figure S8. Radar charts of micropollutant removal efficiency (%) for all 23 target compounds. Each axis represents one compound (labelled). Dashed polygon indicates the regulatory compliance boundary (compound-specific limits normalised to 100% compliance threshold). XAI-AMBR (blue polygon) meets or exceeds regulatory limits for 21 of 23 compounds; PFOS and PFOA (bottom-left quadrant) fall short and require additional treatment.</w:t>
      </w:r>
    </w:p>
    <w:p w14:paraId="42239175" w14:textId="62411BDA" w:rsidR="00D6251E" w:rsidRPr="00DE7E3A" w:rsidRDefault="00000000" w:rsidP="00536256">
      <w:pPr>
        <w:pStyle w:val="Heading1"/>
        <w:jc w:val="both"/>
        <w:rPr>
          <w:rFonts w:ascii="Times New Roman" w:hAnsi="Times New Roman" w:cs="Times New Roman"/>
          <w:color w:val="auto"/>
          <w:sz w:val="24"/>
          <w:szCs w:val="24"/>
        </w:rPr>
      </w:pPr>
      <w:r w:rsidRPr="00DE7E3A">
        <w:rPr>
          <w:rFonts w:ascii="Times New Roman" w:hAnsi="Times New Roman" w:cs="Times New Roman"/>
          <w:color w:val="auto"/>
          <w:sz w:val="24"/>
          <w:szCs w:val="24"/>
        </w:rPr>
        <w:t>Supplementary References</w:t>
      </w:r>
    </w:p>
    <w:p w14:paraId="69900E37" w14:textId="77777777" w:rsidR="00D6251E" w:rsidRPr="00DE7E3A" w:rsidRDefault="00000000" w:rsidP="00DE7E3A">
      <w:pPr>
        <w:spacing w:before="60" w:after="40"/>
        <w:jc w:val="both"/>
        <w:rPr>
          <w:rFonts w:ascii="Times New Roman" w:hAnsi="Times New Roman" w:cs="Times New Roman"/>
          <w:sz w:val="24"/>
          <w:szCs w:val="24"/>
        </w:rPr>
      </w:pPr>
      <w:r w:rsidRPr="00DE7E3A">
        <w:rPr>
          <w:rFonts w:ascii="Times New Roman" w:hAnsi="Times New Roman" w:cs="Times New Roman"/>
          <w:sz w:val="24"/>
          <w:szCs w:val="24"/>
        </w:rPr>
        <w:t>[S1] Akiba, T., Sano, S., Yanase, T., Ohta, T., &amp; Koyama, M. (2019). Optuna: A next-generation hyperparameter optimization framework. Proceedings of the 25th ACM SIGKDD International Conference on Knowledge Discovery &amp; Data Mining, 2623–2631. https://doi.org/10.1145/3292500.3330701</w:t>
      </w:r>
    </w:p>
    <w:p w14:paraId="567E5694" w14:textId="77777777" w:rsidR="00D6251E" w:rsidRPr="00DE7E3A" w:rsidRDefault="00000000" w:rsidP="00DE7E3A">
      <w:pPr>
        <w:spacing w:before="60" w:after="40"/>
        <w:jc w:val="both"/>
        <w:rPr>
          <w:rFonts w:ascii="Times New Roman" w:hAnsi="Times New Roman" w:cs="Times New Roman"/>
          <w:sz w:val="24"/>
          <w:szCs w:val="24"/>
        </w:rPr>
      </w:pPr>
      <w:r w:rsidRPr="00DE7E3A">
        <w:rPr>
          <w:rFonts w:ascii="Times New Roman" w:hAnsi="Times New Roman" w:cs="Times New Roman"/>
          <w:sz w:val="24"/>
          <w:szCs w:val="24"/>
        </w:rPr>
        <w:t>[S2] Lundberg, S.M., &amp; Lee, S.I. (2017). A unified approach to interpreting model predictions. Advances in Neural Information Processing Systems, 30, 4765–4774. https://doi.org/10.48550/arXiv.1705.07874</w:t>
      </w:r>
    </w:p>
    <w:p w14:paraId="47CC5C9C" w14:textId="77777777" w:rsidR="00D6251E" w:rsidRPr="00DE7E3A" w:rsidRDefault="00000000" w:rsidP="00DE7E3A">
      <w:pPr>
        <w:spacing w:before="60" w:after="40"/>
        <w:jc w:val="both"/>
        <w:rPr>
          <w:rFonts w:ascii="Times New Roman" w:hAnsi="Times New Roman" w:cs="Times New Roman"/>
          <w:sz w:val="24"/>
          <w:szCs w:val="24"/>
        </w:rPr>
      </w:pPr>
      <w:r w:rsidRPr="00DE7E3A">
        <w:rPr>
          <w:rFonts w:ascii="Times New Roman" w:hAnsi="Times New Roman" w:cs="Times New Roman"/>
          <w:sz w:val="24"/>
          <w:szCs w:val="24"/>
        </w:rPr>
        <w:t>[S3] Deb, K., Pratap, A., Agarwal, S., &amp; Meyarivan, T. (2002). A fast and elitist multiobjective genetic algorithm: NSGA-II. IEEE Transactions on Evolutionary Computation, 6(2), 182–197. https://doi.org/10.1109/4235.996017</w:t>
      </w:r>
    </w:p>
    <w:p w14:paraId="06099548" w14:textId="77777777" w:rsidR="00D6251E" w:rsidRPr="00DE7E3A" w:rsidRDefault="00000000" w:rsidP="00DE7E3A">
      <w:pPr>
        <w:spacing w:before="60" w:after="40"/>
        <w:jc w:val="both"/>
        <w:rPr>
          <w:rFonts w:ascii="Times New Roman" w:hAnsi="Times New Roman" w:cs="Times New Roman"/>
          <w:sz w:val="24"/>
          <w:szCs w:val="24"/>
        </w:rPr>
      </w:pPr>
      <w:r w:rsidRPr="00DE7E3A">
        <w:rPr>
          <w:rFonts w:ascii="Times New Roman" w:hAnsi="Times New Roman" w:cs="Times New Roman"/>
          <w:sz w:val="24"/>
          <w:szCs w:val="24"/>
        </w:rPr>
        <w:t>[S4] Chawla, N.V., Bowyer, K.W., Hall, L.O., &amp; Kegelmeyer, W.P. (2002). SMOTE: Synthetic minority over-sampling technique. Journal of Artificial Intelligence Research, 16, 321–357. https://doi.org/10.1613/jair.953</w:t>
      </w:r>
    </w:p>
    <w:p w14:paraId="38B09F02" w14:textId="77777777" w:rsidR="00D6251E" w:rsidRPr="00DE7E3A" w:rsidRDefault="00000000" w:rsidP="00DE7E3A">
      <w:pPr>
        <w:spacing w:before="60" w:after="40"/>
        <w:jc w:val="both"/>
        <w:rPr>
          <w:rFonts w:ascii="Times New Roman" w:hAnsi="Times New Roman" w:cs="Times New Roman"/>
          <w:sz w:val="24"/>
          <w:szCs w:val="24"/>
        </w:rPr>
      </w:pPr>
      <w:r w:rsidRPr="00DE7E3A">
        <w:rPr>
          <w:rFonts w:ascii="Times New Roman" w:hAnsi="Times New Roman" w:cs="Times New Roman"/>
          <w:sz w:val="24"/>
          <w:szCs w:val="24"/>
        </w:rPr>
        <w:t>[S5] Pan, S.J., &amp; Yang, Q. (2010). A survey on transfer learning. IEEE Transactions on Knowledge and Data Engineering, 22(10), 1345–1359. https://doi.org/10.1109/TKDE.2009.191</w:t>
      </w:r>
    </w:p>
    <w:sectPr w:rsidR="00D6251E" w:rsidRPr="00DE7E3A">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356A8" w14:textId="77777777" w:rsidR="008B6ECE" w:rsidRDefault="008B6ECE">
      <w:r>
        <w:separator/>
      </w:r>
    </w:p>
  </w:endnote>
  <w:endnote w:type="continuationSeparator" w:id="0">
    <w:p w14:paraId="154743C2" w14:textId="77777777" w:rsidR="008B6ECE" w:rsidRDefault="008B6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1FEEB" w14:textId="77777777" w:rsidR="008B6ECE" w:rsidRDefault="008B6ECE">
      <w:r>
        <w:separator/>
      </w:r>
    </w:p>
  </w:footnote>
  <w:footnote w:type="continuationSeparator" w:id="0">
    <w:p w14:paraId="676CB2D8" w14:textId="77777777" w:rsidR="008B6ECE" w:rsidRDefault="008B6E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F5A96"/>
    <w:multiLevelType w:val="hybridMultilevel"/>
    <w:tmpl w:val="E7CE9204"/>
    <w:lvl w:ilvl="0" w:tplc="206E9D84">
      <w:start w:val="1"/>
      <w:numFmt w:val="decimal"/>
      <w:lvlText w:val="%1."/>
      <w:lvlJc w:val="left"/>
      <w:pPr>
        <w:ind w:left="720" w:hanging="360"/>
      </w:pPr>
    </w:lvl>
    <w:lvl w:ilvl="1" w:tplc="620851E8">
      <w:numFmt w:val="decimal"/>
      <w:lvlText w:val=""/>
      <w:lvlJc w:val="left"/>
    </w:lvl>
    <w:lvl w:ilvl="2" w:tplc="AA504DCE">
      <w:numFmt w:val="decimal"/>
      <w:lvlText w:val=""/>
      <w:lvlJc w:val="left"/>
    </w:lvl>
    <w:lvl w:ilvl="3" w:tplc="5BF2EFD2">
      <w:numFmt w:val="decimal"/>
      <w:lvlText w:val=""/>
      <w:lvlJc w:val="left"/>
    </w:lvl>
    <w:lvl w:ilvl="4" w:tplc="CD1ADA88">
      <w:numFmt w:val="decimal"/>
      <w:lvlText w:val=""/>
      <w:lvlJc w:val="left"/>
    </w:lvl>
    <w:lvl w:ilvl="5" w:tplc="0FF21826">
      <w:numFmt w:val="decimal"/>
      <w:lvlText w:val=""/>
      <w:lvlJc w:val="left"/>
    </w:lvl>
    <w:lvl w:ilvl="6" w:tplc="D52A645C">
      <w:numFmt w:val="decimal"/>
      <w:lvlText w:val=""/>
      <w:lvlJc w:val="left"/>
    </w:lvl>
    <w:lvl w:ilvl="7" w:tplc="897A96D0">
      <w:numFmt w:val="decimal"/>
      <w:lvlText w:val=""/>
      <w:lvlJc w:val="left"/>
    </w:lvl>
    <w:lvl w:ilvl="8" w:tplc="23CE09C4">
      <w:numFmt w:val="decimal"/>
      <w:lvlText w:val=""/>
      <w:lvlJc w:val="left"/>
    </w:lvl>
  </w:abstractNum>
  <w:abstractNum w:abstractNumId="1" w15:restartNumberingAfterBreak="0">
    <w:nsid w:val="496A1F1F"/>
    <w:multiLevelType w:val="hybridMultilevel"/>
    <w:tmpl w:val="4F500C84"/>
    <w:lvl w:ilvl="0" w:tplc="90E074F6">
      <w:start w:val="1"/>
      <w:numFmt w:val="bullet"/>
      <w:lvlText w:val="•"/>
      <w:lvlJc w:val="left"/>
      <w:pPr>
        <w:ind w:left="720" w:hanging="360"/>
      </w:pPr>
    </w:lvl>
    <w:lvl w:ilvl="1" w:tplc="63A2B5E0">
      <w:numFmt w:val="decimal"/>
      <w:lvlText w:val=""/>
      <w:lvlJc w:val="left"/>
    </w:lvl>
    <w:lvl w:ilvl="2" w:tplc="E4C88FC0">
      <w:numFmt w:val="decimal"/>
      <w:lvlText w:val=""/>
      <w:lvlJc w:val="left"/>
    </w:lvl>
    <w:lvl w:ilvl="3" w:tplc="2322241A">
      <w:numFmt w:val="decimal"/>
      <w:lvlText w:val=""/>
      <w:lvlJc w:val="left"/>
    </w:lvl>
    <w:lvl w:ilvl="4" w:tplc="811204E0">
      <w:numFmt w:val="decimal"/>
      <w:lvlText w:val=""/>
      <w:lvlJc w:val="left"/>
    </w:lvl>
    <w:lvl w:ilvl="5" w:tplc="6F940BFE">
      <w:numFmt w:val="decimal"/>
      <w:lvlText w:val=""/>
      <w:lvlJc w:val="left"/>
    </w:lvl>
    <w:lvl w:ilvl="6" w:tplc="94C846DE">
      <w:numFmt w:val="decimal"/>
      <w:lvlText w:val=""/>
      <w:lvlJc w:val="left"/>
    </w:lvl>
    <w:lvl w:ilvl="7" w:tplc="3B8CFAD6">
      <w:numFmt w:val="decimal"/>
      <w:lvlText w:val=""/>
      <w:lvlJc w:val="left"/>
    </w:lvl>
    <w:lvl w:ilvl="8" w:tplc="943677F2">
      <w:numFmt w:val="decimal"/>
      <w:lvlText w:val=""/>
      <w:lvlJc w:val="left"/>
    </w:lvl>
  </w:abstractNum>
  <w:abstractNum w:abstractNumId="2" w15:restartNumberingAfterBreak="0">
    <w:nsid w:val="6C750F65"/>
    <w:multiLevelType w:val="hybridMultilevel"/>
    <w:tmpl w:val="F230D716"/>
    <w:lvl w:ilvl="0" w:tplc="25EE6468">
      <w:start w:val="1"/>
      <w:numFmt w:val="bullet"/>
      <w:lvlText w:val="●"/>
      <w:lvlJc w:val="left"/>
      <w:pPr>
        <w:ind w:left="720" w:hanging="360"/>
      </w:pPr>
    </w:lvl>
    <w:lvl w:ilvl="1" w:tplc="89D889C8">
      <w:start w:val="1"/>
      <w:numFmt w:val="bullet"/>
      <w:lvlText w:val="○"/>
      <w:lvlJc w:val="left"/>
      <w:pPr>
        <w:ind w:left="1440" w:hanging="360"/>
      </w:pPr>
    </w:lvl>
    <w:lvl w:ilvl="2" w:tplc="3ED86BA0">
      <w:start w:val="1"/>
      <w:numFmt w:val="bullet"/>
      <w:lvlText w:val="■"/>
      <w:lvlJc w:val="left"/>
      <w:pPr>
        <w:ind w:left="2160" w:hanging="360"/>
      </w:pPr>
    </w:lvl>
    <w:lvl w:ilvl="3" w:tplc="656AEDDC">
      <w:start w:val="1"/>
      <w:numFmt w:val="bullet"/>
      <w:lvlText w:val="●"/>
      <w:lvlJc w:val="left"/>
      <w:pPr>
        <w:ind w:left="2880" w:hanging="360"/>
      </w:pPr>
    </w:lvl>
    <w:lvl w:ilvl="4" w:tplc="A64C628E">
      <w:start w:val="1"/>
      <w:numFmt w:val="bullet"/>
      <w:lvlText w:val="○"/>
      <w:lvlJc w:val="left"/>
      <w:pPr>
        <w:ind w:left="3600" w:hanging="360"/>
      </w:pPr>
    </w:lvl>
    <w:lvl w:ilvl="5" w:tplc="4E462332">
      <w:start w:val="1"/>
      <w:numFmt w:val="bullet"/>
      <w:lvlText w:val="■"/>
      <w:lvlJc w:val="left"/>
      <w:pPr>
        <w:ind w:left="4320" w:hanging="360"/>
      </w:pPr>
    </w:lvl>
    <w:lvl w:ilvl="6" w:tplc="9BB02878">
      <w:start w:val="1"/>
      <w:numFmt w:val="bullet"/>
      <w:lvlText w:val="●"/>
      <w:lvlJc w:val="left"/>
      <w:pPr>
        <w:ind w:left="5040" w:hanging="360"/>
      </w:pPr>
    </w:lvl>
    <w:lvl w:ilvl="7" w:tplc="CD06EA9E">
      <w:start w:val="1"/>
      <w:numFmt w:val="bullet"/>
      <w:lvlText w:val="●"/>
      <w:lvlJc w:val="left"/>
      <w:pPr>
        <w:ind w:left="5760" w:hanging="360"/>
      </w:pPr>
    </w:lvl>
    <w:lvl w:ilvl="8" w:tplc="41FE4224">
      <w:start w:val="1"/>
      <w:numFmt w:val="bullet"/>
      <w:lvlText w:val="●"/>
      <w:lvlJc w:val="left"/>
      <w:pPr>
        <w:ind w:left="6480" w:hanging="360"/>
      </w:pPr>
    </w:lvl>
  </w:abstractNum>
  <w:num w:numId="1" w16cid:durableId="590814216">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51E"/>
    <w:rsid w:val="00536256"/>
    <w:rsid w:val="008B6ECE"/>
    <w:rsid w:val="00C42C0F"/>
    <w:rsid w:val="00C95D7C"/>
    <w:rsid w:val="00CC0EEE"/>
    <w:rsid w:val="00D6251E"/>
    <w:rsid w:val="00DE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63E23"/>
  <w15:docId w15:val="{265A600F-B60B-4378-96D0-19C852437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20"/>
      <w:outlineLvl w:val="0"/>
    </w:pPr>
    <w:rPr>
      <w:b/>
      <w:bCs/>
      <w:color w:val="1F3864"/>
      <w:sz w:val="28"/>
      <w:szCs w:val="28"/>
    </w:rPr>
  </w:style>
  <w:style w:type="paragraph" w:styleId="Heading2">
    <w:name w:val="heading 2"/>
    <w:uiPriority w:val="9"/>
    <w:unhideWhenUsed/>
    <w:qFormat/>
    <w:pPr>
      <w:spacing w:before="240" w:after="80"/>
      <w:outlineLvl w:val="1"/>
    </w:pPr>
    <w:rPr>
      <w:b/>
      <w:bCs/>
      <w:color w:val="2E75B6"/>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DE7E3A"/>
    <w:pPr>
      <w:tabs>
        <w:tab w:val="center" w:pos="4680"/>
        <w:tab w:val="right" w:pos="9360"/>
      </w:tabs>
    </w:pPr>
  </w:style>
  <w:style w:type="character" w:customStyle="1" w:styleId="HeaderChar">
    <w:name w:val="Header Char"/>
    <w:basedOn w:val="DefaultParagraphFont"/>
    <w:link w:val="Header"/>
    <w:uiPriority w:val="99"/>
    <w:rsid w:val="00DE7E3A"/>
  </w:style>
  <w:style w:type="paragraph" w:styleId="Footer">
    <w:name w:val="footer"/>
    <w:basedOn w:val="Normal"/>
    <w:link w:val="FooterChar"/>
    <w:uiPriority w:val="99"/>
    <w:unhideWhenUsed/>
    <w:rsid w:val="00DE7E3A"/>
    <w:pPr>
      <w:tabs>
        <w:tab w:val="center" w:pos="4680"/>
        <w:tab w:val="right" w:pos="9360"/>
      </w:tabs>
    </w:pPr>
  </w:style>
  <w:style w:type="character" w:customStyle="1" w:styleId="FooterChar">
    <w:name w:val="Footer Char"/>
    <w:basedOn w:val="DefaultParagraphFont"/>
    <w:link w:val="Footer"/>
    <w:uiPriority w:val="99"/>
    <w:rsid w:val="00DE7E3A"/>
  </w:style>
  <w:style w:type="table" w:styleId="TableGridLight">
    <w:name w:val="Grid Table Light"/>
    <w:basedOn w:val="TableNormal"/>
    <w:uiPriority w:val="40"/>
    <w:rsid w:val="00DE7E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19</Pages>
  <Words>4525</Words>
  <Characters>25797</Characters>
  <Application>Microsoft Office Word</Application>
  <DocSecurity>0</DocSecurity>
  <Lines>214</Lines>
  <Paragraphs>60</Paragraphs>
  <ScaleCrop>false</ScaleCrop>
  <Company/>
  <LinksUpToDate>false</LinksUpToDate>
  <CharactersWithSpaces>30262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Dr. Devesh Ojha</cp:lastModifiedBy>
  <cp:revision>4</cp:revision>
  <dcterms:created xsi:type="dcterms:W3CDTF">2026-06-27T01:23:00Z</dcterms:created>
  <dcterms:modified xsi:type="dcterms:W3CDTF">2026-06-28T13:06:00Z</dcterms:modified>
</cp:coreProperties>
</file>