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2563EB" w:sz="6" w:space="2"/>
        </w:pBdr>
        <w:spacing w:after="120" w:before="0"/>
        <w:ind w:firstLine="0"/>
        <w:jc w:val="left"/>
      </w:pPr>
      <w:r>
        <w:rPr>
          <w:rFonts w:ascii="Arial" w:cs="Arial" w:eastAsia="Arial" w:hAnsi="Arial"/>
          <w:b/>
          <w:bCs/>
          <w:color w:val="1B3A6B"/>
        </w:rPr>
        <w:t xml:space="preserve">STROBE Checklist — Cross-Sectional Study (Appendix B)</w:t>
      </w:r>
    </w:p>
    <w:p>
      <w:pPr>
        <w:spacing w:after="80" w:before="40"/>
        <w:ind w:firstLine="0"/>
        <w:jc w:val="left"/>
      </w:pPr>
      <w:r>
        <w:rPr>
          <w:rFonts w:ascii="Arial" w:cs="Arial" w:eastAsia="Arial" w:hAnsi="Arial"/>
          <w:i/>
          <w:iCs/>
          <w:color w:val="64748B"/>
        </w:rPr>
        <w:t xml:space="preserve">Manuscript: Healthcare Ethics Literacy in Pre-Conflict Sudan | Corresponding Author: Algasim Abdelfrag, MBBS | algasim14@gmail.com</w:t>
      </w:r>
    </w:p>
    <w:p>
      <w:pPr>
        <w:spacing w:after="100" w:before="0"/>
        <w:ind w:firstLine="0"/>
        <w:jc w:val="left"/>
      </w:pPr>
      <w:r>
        <w:rPr>
          <w:rFonts w:ascii="Times New Roman" w:cs="Times New Roman" w:eastAsia="Times New Roman" w:hAnsi="Times New Roman"/>
        </w:rPr>
        <w:t xml:space="preserve">Reference: von Elm E, et al. The STROBE statement. Lancet. 2007;370(9596):1453–7. doi:10.1016/S0140-6736(07)61602-X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800"/>
        <w:gridCol w:w="4600"/>
        <w:gridCol w:w="2100"/>
      </w:tblGrid>
      <w:tr>
        <w:tc>
          <w:tcPr>
            <w:tcW w:type="dxa" w:w="7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</w:rPr>
              <w:t xml:space="preserve">Item</w:t>
            </w:r>
          </w:p>
        </w:tc>
        <w:tc>
          <w:tcPr>
            <w:tcW w:type="dxa" w:w="18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</w:rPr>
              <w:t xml:space="preserve">Recommendation</w:t>
            </w:r>
          </w:p>
        </w:tc>
        <w:tc>
          <w:tcPr>
            <w:tcW w:type="dxa" w:w="46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</w:rPr>
              <w:t xml:space="preserve">Reported in Manuscript</w:t>
            </w:r>
          </w:p>
        </w:tc>
        <w:tc>
          <w:tcPr>
            <w:tcW w:type="dxa" w:w="21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</w:rPr>
              <w:t xml:space="preserve">Location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1(a)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Title and abstract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Title identifies study as cross-sectional baseline study; structured abstract includes background, methods, results, conclusion with key statistics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Title; Abstract (p.1)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1(b)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Abstract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Structured abstract with Background/Methods/Results/Conclusion (≤300 words)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Abstract (p.1)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2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Background/rationale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Background provided; rationale for historical baseline framing explicitly stated including Sudan conflict timeline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Introduction §1; Lit Review §2.5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3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Objectives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Study objectives and two explicit hypotheses stated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Introduction §1.2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4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Study design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Cross-sectional institutional audit explicitly stated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§3.1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5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Setting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Dates of data collection, institution, location, and clinical context fully described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§3.2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6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Participants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Eligibility criteria, sampling approach, and participant flow (100/150 eligible, 50 absent) described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§3.3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7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Variables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All outcome and exposure variables defined with measurement approach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§3.4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8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Data sources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Questionnaire adaptation, bilingual translation, open-ended verification, inter-rater reliability described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§3.4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9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Bias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Social desirability bias, preparation bias, and seasonal bias sources identified with mitigation strategies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§3.3–3.4; Limitations §5.8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10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Study size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Total enumeration approach described; a priori power calculation and post-hoc power analysis reported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§3.3, §3.6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11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Quantitative variables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Age continuous then stratified; composite knowledge score defined with 75% cut-off justified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§3.4, §3.6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12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Statistical methods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Fisher's Exact, PR (Miettinen), Cramér's V, sensitivity analysis, trend analysis, leave-one-out, power analysis all described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§3.6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13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Participants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Participant flow with 100 enrolled, 50 absent (33 leave/sick, 17 on external duty)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§3.3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14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Descriptive data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Table 1: demographics with 95% CIs. Mean age and experience reported.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Results §4.1, Table 1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15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Outcome data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Tables 2–3 present all knowledge and attitudinal outcomes with 95% CIs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Results §4.2–4.4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16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Main results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PRs, 95% CIs, Fisher's p, Cramér's V for all comparisons in Table 4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Results §4.5, Table 4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17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Other analyses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Sensitivity at ≥2/4 and 4/4 with CIs; leave-one-out; trend analysis (Cochran-Armitage)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Results §4.3, Table 2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18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Key results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Summary of three key findings opens Discussion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Discussion §5.1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19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Limitations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Eight limitations explicitly stated with direction and magnitude of potential bias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Discussion §5.8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20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Interpretation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Results interpreted within three theoretical frameworks and global literature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Discussion §5.2–5.7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21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Generalisability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Generalisability discussed; inverse generalisability argument for single-institution design stated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shd w:fill="F0F7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Methods §3.2; Discussion §5.6</w:t>
            </w:r>
          </w:p>
        </w:tc>
      </w:tr>
      <w:tr>
        <w:tc>
          <w:tcPr>
            <w:tcW w:type="dxa" w:w="7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22</w:t>
            </w:r>
          </w:p>
        </w:tc>
        <w:tc>
          <w:tcPr>
            <w:tcW w:type="dxa" w:w="18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 xml:space="preserve">Funding</w:t>
            </w:r>
          </w:p>
        </w:tc>
        <w:tc>
          <w:tcPr>
            <w:tcW w:type="dxa" w:w="46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No external funding; self-funded by authors; ethics protocol number stated</w:t>
            </w:r>
          </w:p>
        </w:tc>
        <w:tc>
          <w:tcPr>
            <w:tcW w:type="dxa" w:w="2100"/>
            <w:tcBorders>
              <w:top w:val="single" w:color="94A3B8" w:sz="4"/>
              <w:left w:val="single" w:color="94A3B8" w:sz="4"/>
              <w:bottom w:val="single" w:color="94A3B8" w:sz="4"/>
              <w:right w:val="single" w:color="94A3B8" w:sz="4"/>
            </w:tcBorders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</w:rPr>
              <w:t xml:space="preserve">Declarations</w:t>
            </w:r>
          </w:p>
        </w:tc>
      </w:tr>
    </w:tbl>
    <w:p>
      <w:pPr>
        <w:spacing w:after="60" w:before="60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/>
      </w:r>
    </w:p>
    <w:p>
      <w:pPr>
        <w:spacing w:after="0" w:before="0"/>
        <w:ind w:firstLine="0"/>
        <w:jc w:val="left"/>
      </w:pPr>
      <w:r>
        <w:rPr>
          <w:rFonts w:ascii="Times New Roman" w:cs="Times New Roman" w:eastAsia="Times New Roman" w:hAnsi="Times New Roman"/>
          <w:i/>
          <w:iCs/>
        </w:rPr>
        <w:t xml:space="preserve">All 22 STROBE items are addressed in the manuscript. The location column refers to the final submitted version. Page numbers will be updated upon final editorial formatting.</w:t>
      </w:r>
    </w:p>
    <w:sectPr>
      <w:pgSz w:w="13066" w:h="16838" w:orient="portrait"/>
      <w:pgMar w:top="1080" w:right="720" w:bottom="10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2026-06-28T08:48:27.111Z</dcterms:created>
  <dcterms:modified xsi:type="dcterms:W3CDTF">2026-06-28T08:48:27.111Z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