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31C1" w14:textId="77777777" w:rsidR="00D016D4" w:rsidRPr="00C116A2" w:rsidRDefault="00D016D4" w:rsidP="00D016D4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C116A2">
        <w:rPr>
          <w:rFonts w:ascii="Times New Roman" w:hAnsi="Times New Roman" w:cs="Times New Roman"/>
          <w:b/>
          <w:bCs/>
          <w:sz w:val="36"/>
          <w:szCs w:val="36"/>
          <w:lang w:val="en-US"/>
        </w:rPr>
        <w:t>Supplementary Material 3_Dimensionality, factor structure and reliability of the psychological distress scale (Exploratory Factor Analysis)</w:t>
      </w:r>
    </w:p>
    <w:p w14:paraId="5C047F2B" w14:textId="77777777" w:rsidR="00D016D4" w:rsidRPr="008E7E5C" w:rsidRDefault="00D016D4" w:rsidP="00D016D4">
      <w:pPr>
        <w:pStyle w:val="Titre2"/>
        <w:spacing w:before="0" w:after="0" w:line="360" w:lineRule="auto"/>
        <w:rPr>
          <w:rFonts w:ascii="Times New Roman" w:hAnsi="Times New Roman" w:cs="Times New Roman"/>
          <w:color w:val="auto"/>
          <w:lang w:val="en-US"/>
        </w:rPr>
      </w:pPr>
      <w:r w:rsidRPr="008E7E5C">
        <w:rPr>
          <w:rFonts w:ascii="Times New Roman" w:hAnsi="Times New Roman" w:cs="Times New Roman"/>
          <w:color w:val="auto"/>
          <w:lang w:val="en-US"/>
        </w:rPr>
        <w:t>Methods</w:t>
      </w:r>
    </w:p>
    <w:p w14:paraId="338F8E75" w14:textId="77777777" w:rsidR="00D016D4" w:rsidRPr="008E7E5C" w:rsidRDefault="00D016D4" w:rsidP="00D016D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E7E5C">
        <w:rPr>
          <w:rFonts w:ascii="Times New Roman" w:hAnsi="Times New Roman" w:cs="Times New Roman"/>
          <w:lang w:val="en-US"/>
        </w:rPr>
        <w:t>The dimensionality and internal structure of the five-item psychological distress scale (N = 284) were examined by exploratory factor analysis in FACTOR (version 12.06)</w:t>
      </w:r>
      <w:r w:rsidRPr="008E7E5C">
        <w:rPr>
          <w:rFonts w:ascii="Times New Roman" w:hAnsi="Times New Roman" w:cs="Times New Roman"/>
          <w:vertAlign w:val="superscript"/>
          <w:lang w:val="en-US"/>
        </w:rPr>
        <w:t>1</w:t>
      </w:r>
      <w:r w:rsidRPr="008E7E5C">
        <w:rPr>
          <w:rFonts w:ascii="Times New Roman" w:hAnsi="Times New Roman" w:cs="Times New Roman"/>
          <w:lang w:val="en-US"/>
        </w:rPr>
        <w:t xml:space="preserve">. Because the items are ordinal and asymmetrically distributed, the analysis was carried out on the matrix of </w:t>
      </w:r>
      <w:proofErr w:type="spellStart"/>
      <w:r w:rsidRPr="008E7E5C">
        <w:rPr>
          <w:rFonts w:ascii="Times New Roman" w:hAnsi="Times New Roman" w:cs="Times New Roman"/>
          <w:lang w:val="en-US"/>
        </w:rPr>
        <w:t>polychoric</w:t>
      </w:r>
      <w:proofErr w:type="spellEnd"/>
      <w:r w:rsidRPr="008E7E5C">
        <w:rPr>
          <w:rFonts w:ascii="Times New Roman" w:hAnsi="Times New Roman" w:cs="Times New Roman"/>
          <w:lang w:val="en-US"/>
        </w:rPr>
        <w:t xml:space="preserve"> correlations</w:t>
      </w:r>
      <w:r w:rsidRPr="008E7E5C">
        <w:rPr>
          <w:rFonts w:ascii="Times New Roman" w:hAnsi="Times New Roman" w:cs="Times New Roman"/>
          <w:vertAlign w:val="superscript"/>
          <w:lang w:val="en-US"/>
        </w:rPr>
        <w:t>2</w:t>
      </w:r>
      <w:r w:rsidRPr="008E7E5C">
        <w:rPr>
          <w:rFonts w:ascii="Times New Roman" w:hAnsi="Times New Roman" w:cs="Times New Roman"/>
          <w:lang w:val="en-US"/>
        </w:rPr>
        <w:t>. The number of dimensions to retain was determined using the optimal implementation of parallel analysis</w:t>
      </w:r>
      <w:r w:rsidRPr="008E7E5C">
        <w:rPr>
          <w:rFonts w:ascii="Times New Roman" w:hAnsi="Times New Roman" w:cs="Times New Roman"/>
          <w:vertAlign w:val="superscript"/>
          <w:lang w:val="en-US"/>
        </w:rPr>
        <w:t>3</w:t>
      </w:r>
      <w:r w:rsidRPr="008E7E5C">
        <w:rPr>
          <w:rFonts w:ascii="Times New Roman" w:hAnsi="Times New Roman" w:cs="Times New Roman"/>
          <w:lang w:val="en-US"/>
        </w:rPr>
        <w:t>; the factor was extracted with the MORGANA procedure</w:t>
      </w:r>
      <w:r w:rsidRPr="008E7E5C">
        <w:rPr>
          <w:rFonts w:ascii="Times New Roman" w:hAnsi="Times New Roman" w:cs="Times New Roman"/>
          <w:vertAlign w:val="superscript"/>
          <w:lang w:val="en-US"/>
        </w:rPr>
        <w:t>4</w:t>
      </w:r>
      <w:r w:rsidRPr="008E7E5C">
        <w:rPr>
          <w:rFonts w:ascii="Times New Roman" w:hAnsi="Times New Roman" w:cs="Times New Roman"/>
          <w:lang w:val="en-US"/>
        </w:rPr>
        <w:t>, and robust 95% confidence intervals were obtained by bias-corrected and accelerated (</w:t>
      </w:r>
      <w:proofErr w:type="spellStart"/>
      <w:r w:rsidRPr="008E7E5C">
        <w:rPr>
          <w:rFonts w:ascii="Times New Roman" w:hAnsi="Times New Roman" w:cs="Times New Roman"/>
          <w:lang w:val="en-US"/>
        </w:rPr>
        <w:t>BCa</w:t>
      </w:r>
      <w:proofErr w:type="spellEnd"/>
      <w:r w:rsidRPr="008E7E5C">
        <w:rPr>
          <w:rFonts w:ascii="Times New Roman" w:hAnsi="Times New Roman" w:cs="Times New Roman"/>
          <w:lang w:val="en-US"/>
        </w:rPr>
        <w:t>) bootstrapping with 1,000 resamples</w:t>
      </w:r>
      <w:r w:rsidRPr="008E7E5C">
        <w:rPr>
          <w:rFonts w:ascii="Times New Roman" w:hAnsi="Times New Roman" w:cs="Times New Roman"/>
          <w:vertAlign w:val="superscript"/>
          <w:lang w:val="en-US"/>
        </w:rPr>
        <w:t>5</w:t>
      </w:r>
      <w:r w:rsidRPr="008E7E5C">
        <w:rPr>
          <w:rFonts w:ascii="Times New Roman" w:hAnsi="Times New Roman" w:cs="Times New Roman"/>
          <w:lang w:val="en-US"/>
        </w:rPr>
        <w:t>. Goodness-of-fit statistics were computed with the LOSEFER empirical correction</w:t>
      </w:r>
      <w:r w:rsidRPr="008E7E5C">
        <w:rPr>
          <w:rFonts w:ascii="Times New Roman" w:hAnsi="Times New Roman" w:cs="Times New Roman"/>
          <w:vertAlign w:val="superscript"/>
          <w:lang w:val="en-US"/>
        </w:rPr>
        <w:t>6</w:t>
      </w:r>
      <w:r w:rsidRPr="008E7E5C">
        <w:rPr>
          <w:rFonts w:ascii="Times New Roman" w:hAnsi="Times New Roman" w:cs="Times New Roman"/>
          <w:lang w:val="en-US"/>
        </w:rPr>
        <w:t>. Internal consistency was estimated using McDonald's ordinal omega</w:t>
      </w:r>
      <w:r w:rsidRPr="008E7E5C">
        <w:rPr>
          <w:rFonts w:ascii="Times New Roman" w:hAnsi="Times New Roman" w:cs="Times New Roman"/>
          <w:vertAlign w:val="superscript"/>
          <w:lang w:val="en-US"/>
        </w:rPr>
        <w:t>7</w:t>
      </w:r>
      <w:r w:rsidRPr="008E7E5C">
        <w:rPr>
          <w:rFonts w:ascii="Times New Roman" w:hAnsi="Times New Roman" w:cs="Times New Roman"/>
          <w:lang w:val="en-US"/>
        </w:rPr>
        <w:t>, the standardized Cronbach's alpha and the greatest lower bound (GLB)</w:t>
      </w:r>
      <w:r w:rsidRPr="008E7E5C">
        <w:rPr>
          <w:rFonts w:ascii="Times New Roman" w:hAnsi="Times New Roman" w:cs="Times New Roman"/>
          <w:vertAlign w:val="superscript"/>
          <w:lang w:val="en-US"/>
        </w:rPr>
        <w:t>8</w:t>
      </w:r>
      <w:r w:rsidRPr="008E7E5C">
        <w:rPr>
          <w:rFonts w:ascii="Times New Roman" w:hAnsi="Times New Roman" w:cs="Times New Roman"/>
          <w:lang w:val="en-US"/>
        </w:rPr>
        <w:t>.</w:t>
      </w:r>
    </w:p>
    <w:p w14:paraId="2558DF52" w14:textId="77777777" w:rsidR="00D016D4" w:rsidRPr="008E7E5C" w:rsidRDefault="00D016D4" w:rsidP="00D016D4">
      <w:pPr>
        <w:pStyle w:val="Titre2"/>
        <w:spacing w:before="0" w:after="0" w:line="360" w:lineRule="auto"/>
        <w:rPr>
          <w:rFonts w:ascii="Times New Roman" w:hAnsi="Times New Roman" w:cs="Times New Roman"/>
          <w:color w:val="auto"/>
          <w:lang w:val="en-US"/>
        </w:rPr>
      </w:pPr>
      <w:r w:rsidRPr="008E7E5C">
        <w:rPr>
          <w:rFonts w:ascii="Times New Roman" w:hAnsi="Times New Roman" w:cs="Times New Roman"/>
          <w:color w:val="auto"/>
          <w:lang w:val="en-US"/>
        </w:rPr>
        <w:t>Results</w:t>
      </w:r>
    </w:p>
    <w:p w14:paraId="5D7C04D5" w14:textId="77777777" w:rsidR="00D016D4" w:rsidRPr="008E7E5C" w:rsidRDefault="00D016D4" w:rsidP="00D016D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E7E5C">
        <w:rPr>
          <w:rFonts w:ascii="Times New Roman" w:hAnsi="Times New Roman" w:cs="Times New Roman"/>
          <w:lang w:val="en-US"/>
        </w:rPr>
        <w:t>The correlation matrix was suitable for factor analysis (Table S3.1). Parallel analysis supported a single dimension (Table S3.2), and the closeness-to-</w:t>
      </w:r>
      <w:proofErr w:type="spellStart"/>
      <w:r w:rsidRPr="008E7E5C">
        <w:rPr>
          <w:rFonts w:ascii="Times New Roman" w:hAnsi="Times New Roman" w:cs="Times New Roman"/>
          <w:lang w:val="en-US"/>
        </w:rPr>
        <w:t>unidimensionality</w:t>
      </w:r>
      <w:proofErr w:type="spellEnd"/>
      <w:r w:rsidRPr="008E7E5C">
        <w:rPr>
          <w:rFonts w:ascii="Times New Roman" w:hAnsi="Times New Roman" w:cs="Times New Roman"/>
          <w:lang w:val="en-US"/>
        </w:rPr>
        <w:t xml:space="preserve"> indices</w:t>
      </w:r>
      <w:r w:rsidRPr="008E7E5C">
        <w:rPr>
          <w:rFonts w:ascii="Times New Roman" w:hAnsi="Times New Roman" w:cs="Times New Roman"/>
          <w:vertAlign w:val="superscript"/>
          <w:lang w:val="en-US"/>
        </w:rPr>
        <w:t>9</w:t>
      </w:r>
      <w:r w:rsidRPr="008E7E5C">
        <w:rPr>
          <w:rFonts w:ascii="Times New Roman" w:hAnsi="Times New Roman" w:cs="Times New Roman"/>
          <w:lang w:val="en-US"/>
        </w:rPr>
        <w:t xml:space="preserve"> indicated essential </w:t>
      </w:r>
      <w:proofErr w:type="spellStart"/>
      <w:r w:rsidRPr="008E7E5C">
        <w:rPr>
          <w:rFonts w:ascii="Times New Roman" w:hAnsi="Times New Roman" w:cs="Times New Roman"/>
          <w:lang w:val="en-US"/>
        </w:rPr>
        <w:t>unidimensionality</w:t>
      </w:r>
      <w:proofErr w:type="spellEnd"/>
      <w:r w:rsidRPr="008E7E5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8E7E5C">
        <w:rPr>
          <w:rFonts w:ascii="Times New Roman" w:hAnsi="Times New Roman" w:cs="Times New Roman"/>
          <w:lang w:val="en-US"/>
        </w:rPr>
        <w:t>UniCo</w:t>
      </w:r>
      <w:proofErr w:type="spellEnd"/>
      <w:r w:rsidRPr="008E7E5C">
        <w:rPr>
          <w:rFonts w:ascii="Times New Roman" w:hAnsi="Times New Roman" w:cs="Times New Roman"/>
          <w:lang w:val="en-US"/>
        </w:rPr>
        <w:t xml:space="preserve"> = 0.99; ECV = 0.91; MIREAL = 0.20). The one-factor solution showed excellent fit (RMSEA = 0.00; CFI = 1.00) and salient, well-determined loadings on all five items (Table S3.3). Internal consistency was high (Table S3.4).</w:t>
      </w:r>
    </w:p>
    <w:p w14:paraId="79D25A7C" w14:textId="77777777" w:rsidR="00D016D4" w:rsidRPr="003F592A" w:rsidRDefault="00D016D4" w:rsidP="00D016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592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S3.1. Sampling adequacy, dimensionality and model-fit indices.</w:t>
      </w:r>
    </w:p>
    <w:tbl>
      <w:tblPr>
        <w:tblW w:w="9076" w:type="dxa"/>
        <w:tblInd w:w="2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6"/>
        <w:gridCol w:w="2780"/>
        <w:gridCol w:w="2080"/>
      </w:tblGrid>
      <w:tr w:rsidR="00D016D4" w:rsidRPr="008E7E5C" w14:paraId="087CE909" w14:textId="77777777" w:rsidTr="00AE1EC1">
        <w:trPr>
          <w:tblHeader/>
        </w:trPr>
        <w:tc>
          <w:tcPr>
            <w:tcW w:w="4216" w:type="dxa"/>
            <w:tcBorders>
              <w:top w:val="single" w:sz="12" w:space="0" w:color="auto"/>
              <w:bottom w:val="single" w:sz="8" w:space="0" w:color="auto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E63199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Statistic</w:t>
            </w:r>
            <w:proofErr w:type="spellEnd"/>
          </w:p>
        </w:tc>
        <w:tc>
          <w:tcPr>
            <w:tcW w:w="2780" w:type="dxa"/>
            <w:tcBorders>
              <w:top w:val="single" w:sz="12" w:space="0" w:color="auto"/>
              <w:bottom w:val="single" w:sz="8" w:space="0" w:color="auto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097973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  <w:proofErr w:type="spellEnd"/>
          </w:p>
        </w:tc>
        <w:tc>
          <w:tcPr>
            <w:tcW w:w="2080" w:type="dxa"/>
            <w:tcBorders>
              <w:top w:val="single" w:sz="12" w:space="0" w:color="auto"/>
              <w:bottom w:val="single" w:sz="8" w:space="0" w:color="auto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584F376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D016D4" w:rsidRPr="008E7E5C" w14:paraId="52945F64" w14:textId="77777777" w:rsidTr="00AE1EC1">
        <w:tc>
          <w:tcPr>
            <w:tcW w:w="4216" w:type="dxa"/>
            <w:tcBorders>
              <w:top w:val="single" w:sz="8" w:space="0" w:color="auto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04B8CA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Kaiser–Meyer–Olkin (KMO) measure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31F1E7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0.848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1A008F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0.757–0.866</w:t>
            </w:r>
          </w:p>
        </w:tc>
      </w:tr>
      <w:tr w:rsidR="00D016D4" w:rsidRPr="008E7E5C" w14:paraId="3106D241" w14:textId="77777777" w:rsidTr="00AE1EC1">
        <w:tc>
          <w:tcPr>
            <w:tcW w:w="4216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1C5978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Bartlett's</w:t>
            </w:r>
            <w:proofErr w:type="spellEnd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 xml:space="preserve"> test of </w:t>
            </w:r>
            <w:proofErr w:type="spellStart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27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A117C6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χ²(</w:t>
            </w:r>
            <w:proofErr w:type="gramEnd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10) = 858.0, p &lt; 0.001</w:t>
            </w:r>
          </w:p>
        </w:tc>
        <w:tc>
          <w:tcPr>
            <w:tcW w:w="20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19F632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016D4" w:rsidRPr="008E7E5C" w14:paraId="758C3670" w14:textId="77777777" w:rsidTr="00AE1EC1">
        <w:tc>
          <w:tcPr>
            <w:tcW w:w="4216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BCC547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Unidimensional</w:t>
            </w:r>
            <w:proofErr w:type="spellEnd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 xml:space="preserve"> Congruence (</w:t>
            </w:r>
            <w:proofErr w:type="spellStart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UniCo</w:t>
            </w:r>
            <w:proofErr w:type="spellEnd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E92170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20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B4AE36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0.950–0.999</w:t>
            </w:r>
          </w:p>
        </w:tc>
      </w:tr>
      <w:tr w:rsidR="00D016D4" w:rsidRPr="008E7E5C" w14:paraId="3BFB9443" w14:textId="77777777" w:rsidTr="00AE1EC1">
        <w:tc>
          <w:tcPr>
            <w:tcW w:w="4216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116B63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Explained</w:t>
            </w:r>
            <w:proofErr w:type="spellEnd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 xml:space="preserve"> Common Variance (ECV)</w:t>
            </w:r>
          </w:p>
        </w:tc>
        <w:tc>
          <w:tcPr>
            <w:tcW w:w="27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5182D0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20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145B34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0.843–0.965</w:t>
            </w:r>
          </w:p>
        </w:tc>
      </w:tr>
      <w:tr w:rsidR="00D016D4" w:rsidRPr="008E7E5C" w14:paraId="5B20F063" w14:textId="77777777" w:rsidTr="00AE1EC1">
        <w:tc>
          <w:tcPr>
            <w:tcW w:w="4216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7394EC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Item Residual Absolute Loading (MIREAL)</w:t>
            </w:r>
          </w:p>
        </w:tc>
        <w:tc>
          <w:tcPr>
            <w:tcW w:w="27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24FF9F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20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6F4118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0.111–0.245</w:t>
            </w:r>
          </w:p>
        </w:tc>
      </w:tr>
      <w:tr w:rsidR="00D016D4" w:rsidRPr="008E7E5C" w14:paraId="2F9691F1" w14:textId="77777777" w:rsidTr="00AE1EC1">
        <w:tc>
          <w:tcPr>
            <w:tcW w:w="4216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B2E86C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27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8B44A2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0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D4ED0B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0.000–0.042</w:t>
            </w:r>
          </w:p>
        </w:tc>
      </w:tr>
      <w:tr w:rsidR="00D016D4" w:rsidRPr="008E7E5C" w14:paraId="45B7C976" w14:textId="77777777" w:rsidTr="00AE1EC1">
        <w:tc>
          <w:tcPr>
            <w:tcW w:w="4216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69A750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Comparative Fit Index (CFI)</w:t>
            </w:r>
          </w:p>
        </w:tc>
        <w:tc>
          <w:tcPr>
            <w:tcW w:w="27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447CF4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20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7A9520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0.991–1.000</w:t>
            </w:r>
          </w:p>
        </w:tc>
      </w:tr>
      <w:tr w:rsidR="00D016D4" w:rsidRPr="008E7E5C" w14:paraId="37B8DD9C" w14:textId="77777777" w:rsidTr="00AE1EC1">
        <w:tc>
          <w:tcPr>
            <w:tcW w:w="4216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B88FBB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proofErr w:type="spellStart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Normed</w:t>
            </w:r>
            <w:proofErr w:type="spellEnd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 xml:space="preserve"> Fit Index (NNFI / TLI)</w:t>
            </w:r>
          </w:p>
        </w:tc>
        <w:tc>
          <w:tcPr>
            <w:tcW w:w="27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6EC6EF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20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D29C08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0.988–1.005</w:t>
            </w:r>
          </w:p>
        </w:tc>
      </w:tr>
      <w:tr w:rsidR="00D016D4" w:rsidRPr="008E7E5C" w14:paraId="10423575" w14:textId="77777777" w:rsidTr="00AE1EC1">
        <w:tc>
          <w:tcPr>
            <w:tcW w:w="4216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1A8981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Goodness-of-Fit Index (GFI)</w:t>
            </w:r>
          </w:p>
        </w:tc>
        <w:tc>
          <w:tcPr>
            <w:tcW w:w="27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19FFEA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20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7B9CFC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0.958–0.998</w:t>
            </w:r>
          </w:p>
        </w:tc>
      </w:tr>
      <w:tr w:rsidR="00D016D4" w:rsidRPr="008E7E5C" w14:paraId="54B9455E" w14:textId="77777777" w:rsidTr="00AE1EC1">
        <w:tc>
          <w:tcPr>
            <w:tcW w:w="4216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098F09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Robust</w:t>
            </w:r>
            <w:proofErr w:type="spellEnd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 xml:space="preserve"> χ² (LOSEFER correction)</w:t>
            </w:r>
          </w:p>
        </w:tc>
        <w:tc>
          <w:tcPr>
            <w:tcW w:w="27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C13BB1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3.372 (</w:t>
            </w:r>
            <w:proofErr w:type="spellStart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8E7E5C">
              <w:rPr>
                <w:rFonts w:ascii="Times New Roman" w:hAnsi="Times New Roman" w:cs="Times New Roman"/>
                <w:sz w:val="20"/>
                <w:szCs w:val="20"/>
              </w:rPr>
              <w:t xml:space="preserve"> = 5), p = 0.647</w:t>
            </w:r>
          </w:p>
        </w:tc>
        <w:tc>
          <w:tcPr>
            <w:tcW w:w="20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1BAC9A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016D4" w:rsidRPr="008E7E5C" w14:paraId="458AAD77" w14:textId="77777777" w:rsidTr="00AE1EC1">
        <w:tc>
          <w:tcPr>
            <w:tcW w:w="4216" w:type="dxa"/>
            <w:tcBorders>
              <w:bottom w:val="single" w:sz="12" w:space="0" w:color="auto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A7148B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Root Mean Square of Residuals (RMSR)</w:t>
            </w:r>
          </w:p>
        </w:tc>
        <w:tc>
          <w:tcPr>
            <w:tcW w:w="2780" w:type="dxa"/>
            <w:tcBorders>
              <w:bottom w:val="single" w:sz="12" w:space="0" w:color="auto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CBF9D4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0.0218</w:t>
            </w:r>
          </w:p>
        </w:tc>
        <w:tc>
          <w:tcPr>
            <w:tcW w:w="2080" w:type="dxa"/>
            <w:tcBorders>
              <w:bottom w:val="single" w:sz="12" w:space="0" w:color="auto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3C11FC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E5C">
              <w:rPr>
                <w:rFonts w:ascii="Times New Roman" w:hAnsi="Times New Roman" w:cs="Times New Roman"/>
                <w:sz w:val="20"/>
                <w:szCs w:val="20"/>
              </w:rPr>
              <w:t>0.009–0.028</w:t>
            </w:r>
          </w:p>
        </w:tc>
      </w:tr>
    </w:tbl>
    <w:p w14:paraId="742D7B8E" w14:textId="77777777" w:rsidR="00D016D4" w:rsidRPr="003F592A" w:rsidRDefault="00D016D4" w:rsidP="00D016D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F592A">
        <w:rPr>
          <w:rFonts w:ascii="Times New Roman" w:hAnsi="Times New Roman" w:cs="Times New Roman"/>
          <w:b/>
          <w:bCs/>
          <w:sz w:val="16"/>
          <w:szCs w:val="16"/>
          <w:lang w:val="en-US"/>
        </w:rPr>
        <w:t>Foot note</w:t>
      </w:r>
      <w:r w:rsidRPr="003F592A">
        <w:rPr>
          <w:rFonts w:ascii="Times New Roman" w:hAnsi="Times New Roman" w:cs="Times New Roman"/>
          <w:sz w:val="16"/>
          <w:szCs w:val="16"/>
          <w:lang w:val="en-US"/>
        </w:rPr>
        <w:t xml:space="preserve">: KMO interpretation: ≥0.80, good. </w:t>
      </w:r>
      <w:proofErr w:type="spellStart"/>
      <w:r w:rsidRPr="003F592A">
        <w:rPr>
          <w:rFonts w:ascii="Times New Roman" w:hAnsi="Times New Roman" w:cs="Times New Roman"/>
          <w:sz w:val="16"/>
          <w:szCs w:val="16"/>
          <w:lang w:val="en-US"/>
        </w:rPr>
        <w:t>UniCo</w:t>
      </w:r>
      <w:proofErr w:type="spellEnd"/>
      <w:r w:rsidRPr="003F592A">
        <w:rPr>
          <w:rFonts w:ascii="Times New Roman" w:hAnsi="Times New Roman" w:cs="Times New Roman"/>
          <w:sz w:val="16"/>
          <w:szCs w:val="16"/>
          <w:lang w:val="en-US"/>
        </w:rPr>
        <w:t xml:space="preserve"> ≥0.95 and ECV ≥0.85 indicate essential </w:t>
      </w:r>
      <w:proofErr w:type="spellStart"/>
      <w:r w:rsidRPr="003F592A">
        <w:rPr>
          <w:rFonts w:ascii="Times New Roman" w:hAnsi="Times New Roman" w:cs="Times New Roman"/>
          <w:sz w:val="16"/>
          <w:szCs w:val="16"/>
          <w:lang w:val="en-US"/>
        </w:rPr>
        <w:t>unidimensionality</w:t>
      </w:r>
      <w:proofErr w:type="spellEnd"/>
      <w:r w:rsidRPr="003F592A">
        <w:rPr>
          <w:rFonts w:ascii="Times New Roman" w:hAnsi="Times New Roman" w:cs="Times New Roman"/>
          <w:sz w:val="16"/>
          <w:szCs w:val="16"/>
          <w:lang w:val="en-US"/>
        </w:rPr>
        <w:t>; MIREAL &lt;0.30 indicates negligible residual multidimensionality. 95% confidence intervals are bias-corrected and accelerated (</w:t>
      </w:r>
      <w:proofErr w:type="spellStart"/>
      <w:r w:rsidRPr="003F592A">
        <w:rPr>
          <w:rFonts w:ascii="Times New Roman" w:hAnsi="Times New Roman" w:cs="Times New Roman"/>
          <w:sz w:val="16"/>
          <w:szCs w:val="16"/>
          <w:lang w:val="en-US"/>
        </w:rPr>
        <w:t>BCa</w:t>
      </w:r>
      <w:proofErr w:type="spellEnd"/>
      <w:r w:rsidRPr="003F592A">
        <w:rPr>
          <w:rFonts w:ascii="Times New Roman" w:hAnsi="Times New Roman" w:cs="Times New Roman"/>
          <w:sz w:val="16"/>
          <w:szCs w:val="16"/>
          <w:lang w:val="en-US"/>
        </w:rPr>
        <w:t>) bootstrap intervals (1,000 resamples).</w:t>
      </w:r>
    </w:p>
    <w:p w14:paraId="0FE9E1D0" w14:textId="77777777" w:rsidR="00D016D4" w:rsidRPr="008E7E5C" w:rsidRDefault="00D016D4" w:rsidP="00D016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E5C">
        <w:rPr>
          <w:rFonts w:ascii="Times New Roman" w:hAnsi="Times New Roman" w:cs="Times New Roman"/>
          <w:b/>
          <w:bCs/>
          <w:sz w:val="24"/>
          <w:szCs w:val="24"/>
        </w:rPr>
        <w:t xml:space="preserve">Table S3.2. </w:t>
      </w:r>
      <w:proofErr w:type="spellStart"/>
      <w:r w:rsidRPr="008E7E5C">
        <w:rPr>
          <w:rFonts w:ascii="Times New Roman" w:hAnsi="Times New Roman" w:cs="Times New Roman"/>
          <w:b/>
          <w:bCs/>
          <w:sz w:val="24"/>
          <w:szCs w:val="24"/>
        </w:rPr>
        <w:t>Parallel</w:t>
      </w:r>
      <w:proofErr w:type="spellEnd"/>
      <w:r w:rsidRPr="008E7E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7E5C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 w:rsidRPr="008E7E5C">
        <w:rPr>
          <w:rFonts w:ascii="Times New Roman" w:hAnsi="Times New Roman" w:cs="Times New Roman"/>
          <w:b/>
          <w:bCs/>
          <w:sz w:val="24"/>
          <w:szCs w:val="24"/>
        </w:rPr>
        <w:t xml:space="preserve"> (optimal </w:t>
      </w:r>
      <w:proofErr w:type="spellStart"/>
      <w:r w:rsidRPr="008E7E5C">
        <w:rPr>
          <w:rFonts w:ascii="Times New Roman" w:hAnsi="Times New Roman" w:cs="Times New Roman"/>
          <w:b/>
          <w:bCs/>
          <w:sz w:val="24"/>
          <w:szCs w:val="24"/>
        </w:rPr>
        <w:t>implementation</w:t>
      </w:r>
      <w:proofErr w:type="spellEnd"/>
      <w:r w:rsidRPr="008E7E5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E7E5C">
        <w:rPr>
          <w:rFonts w:ascii="Times New Roman" w:hAnsi="Times New Roman" w:cs="Times New Roman"/>
          <w:b/>
          <w:bCs/>
          <w:sz w:val="24"/>
          <w:szCs w:val="24"/>
        </w:rPr>
        <w:t>polychoric</w:t>
      </w:r>
      <w:proofErr w:type="spellEnd"/>
      <w:r w:rsidRPr="008E7E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7E5C">
        <w:rPr>
          <w:rFonts w:ascii="Times New Roman" w:hAnsi="Times New Roman" w:cs="Times New Roman"/>
          <w:b/>
          <w:bCs/>
          <w:sz w:val="24"/>
          <w:szCs w:val="24"/>
        </w:rPr>
        <w:t>correlations</w:t>
      </w:r>
      <w:proofErr w:type="spellEnd"/>
      <w:r w:rsidRPr="008E7E5C">
        <w:rPr>
          <w:rFonts w:ascii="Times New Roman" w:hAnsi="Times New Roman" w:cs="Times New Roman"/>
          <w:b/>
          <w:bCs/>
          <w:sz w:val="24"/>
          <w:szCs w:val="24"/>
        </w:rPr>
        <w:t xml:space="preserve">, 500 </w:t>
      </w:r>
      <w:proofErr w:type="spellStart"/>
      <w:r w:rsidRPr="008E7E5C">
        <w:rPr>
          <w:rFonts w:ascii="Times New Roman" w:hAnsi="Times New Roman" w:cs="Times New Roman"/>
          <w:b/>
          <w:bCs/>
          <w:sz w:val="24"/>
          <w:szCs w:val="24"/>
        </w:rPr>
        <w:t>random</w:t>
      </w:r>
      <w:proofErr w:type="spellEnd"/>
      <w:r w:rsidRPr="008E7E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7E5C">
        <w:rPr>
          <w:rFonts w:ascii="Times New Roman" w:hAnsi="Times New Roman" w:cs="Times New Roman"/>
          <w:b/>
          <w:bCs/>
          <w:sz w:val="24"/>
          <w:szCs w:val="24"/>
        </w:rPr>
        <w:t>datasets</w:t>
      </w:r>
      <w:proofErr w:type="spellEnd"/>
      <w:r w:rsidRPr="008E7E5C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W w:w="921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2520"/>
        <w:gridCol w:w="2767"/>
        <w:gridCol w:w="2977"/>
      </w:tblGrid>
      <w:tr w:rsidR="00D016D4" w:rsidRPr="008E7E5C" w14:paraId="48456F94" w14:textId="77777777" w:rsidTr="00AE1EC1">
        <w:trPr>
          <w:tblHeader/>
          <w:jc w:val="center"/>
        </w:trPr>
        <w:tc>
          <w:tcPr>
            <w:tcW w:w="950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A889958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Factor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6F81F7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Real-data % variance</w:t>
            </w:r>
          </w:p>
        </w:tc>
        <w:tc>
          <w:tcPr>
            <w:tcW w:w="2767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1D98EAA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Random </w:t>
            </w:r>
            <w:proofErr w:type="spellStart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mean</w:t>
            </w:r>
            <w:proofErr w:type="spellEnd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% variance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42D07F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Random 95th percentile %</w:t>
            </w:r>
          </w:p>
        </w:tc>
      </w:tr>
      <w:tr w:rsidR="00D016D4" w:rsidRPr="008E7E5C" w14:paraId="2A7DB472" w14:textId="77777777" w:rsidTr="00AE1EC1">
        <w:trPr>
          <w:jc w:val="center"/>
        </w:trPr>
        <w:tc>
          <w:tcPr>
            <w:tcW w:w="950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D659A2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395FA9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83.77*</w:t>
            </w:r>
          </w:p>
        </w:tc>
        <w:tc>
          <w:tcPr>
            <w:tcW w:w="2767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17BEFF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40.92</w:t>
            </w:r>
          </w:p>
        </w:tc>
        <w:tc>
          <w:tcPr>
            <w:tcW w:w="2977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0705FD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52.78</w:t>
            </w:r>
          </w:p>
        </w:tc>
      </w:tr>
      <w:tr w:rsidR="00D016D4" w:rsidRPr="008E7E5C" w14:paraId="6854382D" w14:textId="77777777" w:rsidTr="00AE1EC1">
        <w:trPr>
          <w:jc w:val="center"/>
        </w:trPr>
        <w:tc>
          <w:tcPr>
            <w:tcW w:w="95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8044B8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D90F5F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9.52</w:t>
            </w:r>
          </w:p>
        </w:tc>
        <w:tc>
          <w:tcPr>
            <w:tcW w:w="2767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2FA91F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29.90</w:t>
            </w:r>
          </w:p>
        </w:tc>
        <w:tc>
          <w:tcPr>
            <w:tcW w:w="2977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77DC88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36.47</w:t>
            </w:r>
          </w:p>
        </w:tc>
      </w:tr>
      <w:tr w:rsidR="00D016D4" w:rsidRPr="008E7E5C" w14:paraId="59A2177B" w14:textId="77777777" w:rsidTr="00AE1EC1">
        <w:trPr>
          <w:jc w:val="center"/>
        </w:trPr>
        <w:tc>
          <w:tcPr>
            <w:tcW w:w="95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FC1056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0B5BA1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5.76</w:t>
            </w:r>
          </w:p>
        </w:tc>
        <w:tc>
          <w:tcPr>
            <w:tcW w:w="2767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C705A8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19.49</w:t>
            </w:r>
          </w:p>
        </w:tc>
        <w:tc>
          <w:tcPr>
            <w:tcW w:w="2977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230EA86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26.04</w:t>
            </w:r>
          </w:p>
        </w:tc>
      </w:tr>
      <w:tr w:rsidR="00D016D4" w:rsidRPr="008E7E5C" w14:paraId="1AA80ADB" w14:textId="77777777" w:rsidTr="00AE1EC1">
        <w:trPr>
          <w:jc w:val="center"/>
        </w:trPr>
        <w:tc>
          <w:tcPr>
            <w:tcW w:w="950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6BACD0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20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D18D51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2767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272987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9.69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70F65C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16.91</w:t>
            </w:r>
          </w:p>
        </w:tc>
      </w:tr>
    </w:tbl>
    <w:p w14:paraId="3BB52875" w14:textId="77777777" w:rsidR="00D016D4" w:rsidRPr="003F592A" w:rsidRDefault="00D016D4" w:rsidP="00D016D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F592A">
        <w:rPr>
          <w:rFonts w:ascii="Times New Roman" w:hAnsi="Times New Roman" w:cs="Times New Roman"/>
          <w:b/>
          <w:bCs/>
          <w:sz w:val="18"/>
          <w:szCs w:val="18"/>
          <w:lang w:val="en-US"/>
        </w:rPr>
        <w:t>Foot note:</w:t>
      </w:r>
      <w:r w:rsidRPr="003F592A">
        <w:rPr>
          <w:rFonts w:ascii="Times New Roman" w:hAnsi="Times New Roman" w:cs="Times New Roman"/>
          <w:sz w:val="18"/>
          <w:szCs w:val="18"/>
          <w:lang w:val="en-US"/>
        </w:rPr>
        <w:t xml:space="preserve"> A factor is retained when the real-data percentage of variance exceeds the 95th percentile of the random data. Only the first factor (*) met this criterion; one dimension was therefore advised.</w:t>
      </w:r>
    </w:p>
    <w:p w14:paraId="2FDDF37C" w14:textId="77777777" w:rsidR="00D016D4" w:rsidRPr="008E7E5C" w:rsidRDefault="00D016D4" w:rsidP="00D016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7E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S3.3. </w:t>
      </w:r>
      <w:proofErr w:type="spellStart"/>
      <w:r w:rsidRPr="008E7E5C">
        <w:rPr>
          <w:rFonts w:ascii="Times New Roman" w:hAnsi="Times New Roman" w:cs="Times New Roman"/>
          <w:b/>
          <w:bCs/>
          <w:sz w:val="24"/>
          <w:szCs w:val="24"/>
          <w:lang w:val="en-US"/>
        </w:rPr>
        <w:t>Standardised</w:t>
      </w:r>
      <w:proofErr w:type="spellEnd"/>
      <w:r w:rsidRPr="008E7E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factor loadings, bootstrap confidence intervals and communalities (one-factor solution).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900"/>
        <w:gridCol w:w="2860"/>
        <w:gridCol w:w="2400"/>
      </w:tblGrid>
      <w:tr w:rsidR="00D016D4" w:rsidRPr="008E7E5C" w14:paraId="34B8D51A" w14:textId="77777777" w:rsidTr="00AE1EC1">
        <w:trPr>
          <w:tblHeader/>
        </w:trPr>
        <w:tc>
          <w:tcPr>
            <w:tcW w:w="2200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0D2B3DC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1900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E4AFAA1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Loading</w:t>
            </w:r>
            <w:proofErr w:type="spellEnd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(F1)</w:t>
            </w:r>
          </w:p>
        </w:tc>
        <w:tc>
          <w:tcPr>
            <w:tcW w:w="2860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D7DC821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BCa</w:t>
            </w:r>
            <w:proofErr w:type="spellEnd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95% CI</w:t>
            </w:r>
          </w:p>
        </w:tc>
        <w:tc>
          <w:tcPr>
            <w:tcW w:w="2400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D738B6E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Communality</w:t>
            </w:r>
            <w:proofErr w:type="spellEnd"/>
          </w:p>
        </w:tc>
      </w:tr>
      <w:tr w:rsidR="00D016D4" w:rsidRPr="008E7E5C" w14:paraId="3AAE8E6B" w14:textId="77777777" w:rsidTr="00AE1EC1">
        <w:tc>
          <w:tcPr>
            <w:tcW w:w="2200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D40DA1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1CD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fr-FR"/>
              </w:rPr>
              <w:t>Insomnia</w:t>
            </w:r>
          </w:p>
        </w:tc>
        <w:tc>
          <w:tcPr>
            <w:tcW w:w="1900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1BA265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0.915</w:t>
            </w:r>
          </w:p>
        </w:tc>
        <w:tc>
          <w:tcPr>
            <w:tcW w:w="2860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31CC6A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0.821–0.955</w:t>
            </w:r>
          </w:p>
        </w:tc>
        <w:tc>
          <w:tcPr>
            <w:tcW w:w="2400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7BE289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0.837</w:t>
            </w:r>
          </w:p>
        </w:tc>
      </w:tr>
      <w:tr w:rsidR="00D016D4" w:rsidRPr="008E7E5C" w14:paraId="6FF68DF1" w14:textId="77777777" w:rsidTr="00AE1EC1">
        <w:tc>
          <w:tcPr>
            <w:tcW w:w="22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9A60E2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1CD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fr-FR"/>
              </w:rPr>
              <w:t>Nightmares</w:t>
            </w:r>
          </w:p>
        </w:tc>
        <w:tc>
          <w:tcPr>
            <w:tcW w:w="19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8398EB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0.796</w:t>
            </w:r>
          </w:p>
        </w:tc>
        <w:tc>
          <w:tcPr>
            <w:tcW w:w="28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8E288B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0.740–0.899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B626AD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0.633</w:t>
            </w:r>
          </w:p>
        </w:tc>
      </w:tr>
      <w:tr w:rsidR="00D016D4" w:rsidRPr="008E7E5C" w14:paraId="6581565C" w14:textId="77777777" w:rsidTr="00AE1EC1">
        <w:tc>
          <w:tcPr>
            <w:tcW w:w="22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B0413F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1CD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fr-FR"/>
              </w:rPr>
              <w:t>Dizziness</w:t>
            </w:r>
          </w:p>
        </w:tc>
        <w:tc>
          <w:tcPr>
            <w:tcW w:w="19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C400E6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0.518</w:t>
            </w:r>
          </w:p>
        </w:tc>
        <w:tc>
          <w:tcPr>
            <w:tcW w:w="28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6370CA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0.390–0.608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EACB2D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0.268</w:t>
            </w:r>
          </w:p>
        </w:tc>
      </w:tr>
      <w:tr w:rsidR="00D016D4" w:rsidRPr="008E7E5C" w14:paraId="285C0C79" w14:textId="77777777" w:rsidTr="00AE1EC1">
        <w:tc>
          <w:tcPr>
            <w:tcW w:w="22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DAFF89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1CD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fr-FR"/>
              </w:rPr>
              <w:t>Nervousness</w:t>
            </w:r>
          </w:p>
        </w:tc>
        <w:tc>
          <w:tcPr>
            <w:tcW w:w="19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89E4C4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0.836</w:t>
            </w:r>
          </w:p>
        </w:tc>
        <w:tc>
          <w:tcPr>
            <w:tcW w:w="28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19FD4E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0.735–0.895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178BD4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0.699</w:t>
            </w:r>
          </w:p>
        </w:tc>
      </w:tr>
      <w:tr w:rsidR="00D016D4" w:rsidRPr="008E7E5C" w14:paraId="1804345A" w14:textId="77777777" w:rsidTr="00AE1EC1">
        <w:tc>
          <w:tcPr>
            <w:tcW w:w="2200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574A3B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1CD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 w:eastAsia="fr-FR"/>
              </w:rPr>
              <w:t>Lack of concentration</w:t>
            </w:r>
          </w:p>
        </w:tc>
        <w:tc>
          <w:tcPr>
            <w:tcW w:w="1900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C7B631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0.850</w:t>
            </w:r>
          </w:p>
        </w:tc>
        <w:tc>
          <w:tcPr>
            <w:tcW w:w="2860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A539E8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0.801–0.932</w:t>
            </w:r>
          </w:p>
        </w:tc>
        <w:tc>
          <w:tcPr>
            <w:tcW w:w="2400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AB7DC1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0.722</w:t>
            </w:r>
          </w:p>
        </w:tc>
      </w:tr>
    </w:tbl>
    <w:p w14:paraId="74590F00" w14:textId="77777777" w:rsidR="00D016D4" w:rsidRPr="003F592A" w:rsidRDefault="00D016D4" w:rsidP="00D016D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F592A">
        <w:rPr>
          <w:rFonts w:ascii="Times New Roman" w:hAnsi="Times New Roman" w:cs="Times New Roman"/>
          <w:b/>
          <w:bCs/>
          <w:sz w:val="18"/>
          <w:szCs w:val="18"/>
          <w:lang w:val="en-US"/>
        </w:rPr>
        <w:t>Foot note:</w:t>
      </w:r>
      <w:r w:rsidRPr="003F592A">
        <w:rPr>
          <w:rFonts w:ascii="Times New Roman" w:hAnsi="Times New Roman" w:cs="Times New Roman"/>
          <w:sz w:val="18"/>
          <w:szCs w:val="18"/>
          <w:lang w:val="en-US"/>
        </w:rPr>
        <w:t xml:space="preserve"> F1, first (and only) common factor. </w:t>
      </w:r>
      <w:proofErr w:type="spellStart"/>
      <w:r w:rsidRPr="003F592A">
        <w:rPr>
          <w:rFonts w:ascii="Times New Roman" w:hAnsi="Times New Roman" w:cs="Times New Roman"/>
          <w:sz w:val="18"/>
          <w:szCs w:val="18"/>
          <w:lang w:val="en-US"/>
        </w:rPr>
        <w:t>BCa</w:t>
      </w:r>
      <w:proofErr w:type="spellEnd"/>
      <w:r w:rsidRPr="003F592A">
        <w:rPr>
          <w:rFonts w:ascii="Times New Roman" w:hAnsi="Times New Roman" w:cs="Times New Roman"/>
          <w:sz w:val="18"/>
          <w:szCs w:val="18"/>
          <w:lang w:val="en-US"/>
        </w:rPr>
        <w:t>, bias-corrected and accelerated bootstrap. Communality = squared loading. All items had a Measure of Sampling Adequacy above 0.50 (range 0.80–0.93); no item was removed. Item numbers correspond to the five psychological distress items described in the main text.</w:t>
      </w:r>
    </w:p>
    <w:p w14:paraId="17A15695" w14:textId="77777777" w:rsidR="00D016D4" w:rsidRPr="008E7E5C" w:rsidRDefault="00D016D4" w:rsidP="00D016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7E5C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S3.4. Internal consistency and factor-score quality.</w:t>
      </w:r>
    </w:p>
    <w:tbl>
      <w:tblPr>
        <w:tblW w:w="440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8"/>
        <w:gridCol w:w="1011"/>
      </w:tblGrid>
      <w:tr w:rsidR="00D016D4" w:rsidRPr="008E7E5C" w14:paraId="5497D80C" w14:textId="77777777" w:rsidTr="00AE1EC1">
        <w:trPr>
          <w:tblHeader/>
          <w:jc w:val="center"/>
        </w:trPr>
        <w:tc>
          <w:tcPr>
            <w:tcW w:w="3398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383550B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Reliability</w:t>
            </w:r>
            <w:proofErr w:type="spellEnd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/ factor-score index</w:t>
            </w:r>
          </w:p>
        </w:tc>
        <w:tc>
          <w:tcPr>
            <w:tcW w:w="1011" w:type="dxa"/>
            <w:tcBorders>
              <w:top w:val="single" w:sz="12" w:space="0" w:color="000000"/>
              <w:bottom w:val="single" w:sz="8" w:space="0" w:color="00000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0624258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E7E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Estimate</w:t>
            </w:r>
            <w:proofErr w:type="spellEnd"/>
          </w:p>
        </w:tc>
      </w:tr>
      <w:tr w:rsidR="00D016D4" w:rsidRPr="008E7E5C" w14:paraId="13CCF766" w14:textId="77777777" w:rsidTr="00AE1EC1">
        <w:trPr>
          <w:jc w:val="center"/>
        </w:trPr>
        <w:tc>
          <w:tcPr>
            <w:tcW w:w="3398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483966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 xml:space="preserve">McDonald's ordinal </w:t>
            </w:r>
            <w:proofErr w:type="spellStart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omega</w:t>
            </w:r>
            <w:proofErr w:type="spellEnd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 xml:space="preserve"> (ω)</w:t>
            </w:r>
          </w:p>
        </w:tc>
        <w:tc>
          <w:tcPr>
            <w:tcW w:w="1011" w:type="dxa"/>
            <w:tcBorders>
              <w:top w:val="single" w:sz="8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CEDBA4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0.897</w:t>
            </w:r>
          </w:p>
        </w:tc>
      </w:tr>
      <w:tr w:rsidR="00D016D4" w:rsidRPr="008E7E5C" w14:paraId="1199C41C" w14:textId="77777777" w:rsidTr="00AE1EC1">
        <w:trPr>
          <w:jc w:val="center"/>
        </w:trPr>
        <w:tc>
          <w:tcPr>
            <w:tcW w:w="339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3BCF35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Cronbach's</w:t>
            </w:r>
            <w:proofErr w:type="spellEnd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 xml:space="preserve"> alpha (</w:t>
            </w:r>
            <w:proofErr w:type="spellStart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standardized</w:t>
            </w:r>
            <w:proofErr w:type="spellEnd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11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890536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0.883</w:t>
            </w:r>
          </w:p>
        </w:tc>
      </w:tr>
      <w:tr w:rsidR="00D016D4" w:rsidRPr="008E7E5C" w14:paraId="59175458" w14:textId="77777777" w:rsidTr="00AE1EC1">
        <w:trPr>
          <w:jc w:val="center"/>
        </w:trPr>
        <w:tc>
          <w:tcPr>
            <w:tcW w:w="339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051154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Greatest</w:t>
            </w:r>
            <w:proofErr w:type="spellEnd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  <w:proofErr w:type="spellEnd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bound</w:t>
            </w:r>
            <w:proofErr w:type="spellEnd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 xml:space="preserve"> (GLB)</w:t>
            </w:r>
          </w:p>
        </w:tc>
        <w:tc>
          <w:tcPr>
            <w:tcW w:w="1011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76B556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0.930</w:t>
            </w:r>
          </w:p>
        </w:tc>
      </w:tr>
      <w:tr w:rsidR="00D016D4" w:rsidRPr="008E7E5C" w14:paraId="28679912" w14:textId="77777777" w:rsidTr="00AE1EC1">
        <w:trPr>
          <w:jc w:val="center"/>
        </w:trPr>
        <w:tc>
          <w:tcPr>
            <w:tcW w:w="339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0BA555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 xml:space="preserve">EAP factor-score </w:t>
            </w:r>
            <w:proofErr w:type="spellStart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reliability</w:t>
            </w:r>
            <w:proofErr w:type="spellEnd"/>
          </w:p>
        </w:tc>
        <w:tc>
          <w:tcPr>
            <w:tcW w:w="1011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D2A744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0.933</w:t>
            </w:r>
          </w:p>
        </w:tc>
      </w:tr>
      <w:tr w:rsidR="00D016D4" w:rsidRPr="008E7E5C" w14:paraId="66525243" w14:textId="77777777" w:rsidTr="00AE1EC1">
        <w:trPr>
          <w:jc w:val="center"/>
        </w:trPr>
        <w:tc>
          <w:tcPr>
            <w:tcW w:w="3398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681850" w14:textId="77777777" w:rsidR="00D016D4" w:rsidRPr="008E7E5C" w:rsidRDefault="00D016D4" w:rsidP="00AE1EC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Factor </w:t>
            </w:r>
            <w:proofErr w:type="spellStart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determinacy</w:t>
            </w:r>
            <w:proofErr w:type="spellEnd"/>
            <w:r w:rsidRPr="008E7E5C">
              <w:rPr>
                <w:rFonts w:ascii="Times New Roman" w:hAnsi="Times New Roman" w:cs="Times New Roman"/>
                <w:sz w:val="22"/>
                <w:szCs w:val="22"/>
              </w:rPr>
              <w:t xml:space="preserve"> index</w:t>
            </w:r>
          </w:p>
        </w:tc>
        <w:tc>
          <w:tcPr>
            <w:tcW w:w="1011" w:type="dxa"/>
            <w:tcBorders>
              <w:bottom w:val="single" w:sz="12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798790" w14:textId="77777777" w:rsidR="00D016D4" w:rsidRPr="008E7E5C" w:rsidRDefault="00D016D4" w:rsidP="00AE1EC1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7E5C">
              <w:rPr>
                <w:rFonts w:ascii="Times New Roman" w:hAnsi="Times New Roman" w:cs="Times New Roman"/>
                <w:sz w:val="22"/>
                <w:szCs w:val="22"/>
              </w:rPr>
              <w:t>0.966</w:t>
            </w:r>
          </w:p>
        </w:tc>
      </w:tr>
    </w:tbl>
    <w:p w14:paraId="7F2AC1F5" w14:textId="77777777" w:rsidR="00D016D4" w:rsidRPr="003F592A" w:rsidRDefault="00D016D4" w:rsidP="00D016D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F592A">
        <w:rPr>
          <w:rFonts w:ascii="Times New Roman" w:hAnsi="Times New Roman" w:cs="Times New Roman"/>
          <w:b/>
          <w:bCs/>
          <w:sz w:val="16"/>
          <w:szCs w:val="16"/>
          <w:lang w:val="en-US"/>
        </w:rPr>
        <w:t>Foot note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: </w:t>
      </w:r>
      <w:r w:rsidRPr="003F592A">
        <w:rPr>
          <w:rFonts w:ascii="Times New Roman" w:hAnsi="Times New Roman" w:cs="Times New Roman"/>
          <w:sz w:val="18"/>
          <w:szCs w:val="18"/>
          <w:lang w:val="en-US"/>
        </w:rPr>
        <w:t xml:space="preserve">McDonald's ordinal omega and the GLB are computed from the </w:t>
      </w:r>
      <w:proofErr w:type="spellStart"/>
      <w:r w:rsidRPr="003F592A">
        <w:rPr>
          <w:rFonts w:ascii="Times New Roman" w:hAnsi="Times New Roman" w:cs="Times New Roman"/>
          <w:sz w:val="18"/>
          <w:szCs w:val="18"/>
          <w:lang w:val="en-US"/>
        </w:rPr>
        <w:t>polychoric</w:t>
      </w:r>
      <w:proofErr w:type="spellEnd"/>
      <w:r w:rsidRPr="003F592A">
        <w:rPr>
          <w:rFonts w:ascii="Times New Roman" w:hAnsi="Times New Roman" w:cs="Times New Roman"/>
          <w:sz w:val="18"/>
          <w:szCs w:val="18"/>
          <w:lang w:val="en-US"/>
        </w:rPr>
        <w:t xml:space="preserve"> solution. As these indices may be positively biased in samples below approximately 1,000, the Cronbach's alpha is reported alongside. </w:t>
      </w:r>
      <w:proofErr w:type="gramStart"/>
      <w:r w:rsidRPr="003F592A">
        <w:rPr>
          <w:rFonts w:ascii="Times New Roman" w:hAnsi="Times New Roman" w:cs="Times New Roman"/>
          <w:sz w:val="18"/>
          <w:szCs w:val="18"/>
          <w:lang w:val="en-US"/>
        </w:rPr>
        <w:t>EAP,</w:t>
      </w:r>
      <w:proofErr w:type="gramEnd"/>
      <w:r w:rsidRPr="003F592A">
        <w:rPr>
          <w:rFonts w:ascii="Times New Roman" w:hAnsi="Times New Roman" w:cs="Times New Roman"/>
          <w:sz w:val="18"/>
          <w:szCs w:val="18"/>
          <w:lang w:val="en-US"/>
        </w:rPr>
        <w:t xml:space="preserve"> expected a </w:t>
      </w:r>
      <w:proofErr w:type="gramStart"/>
      <w:r w:rsidRPr="003F592A">
        <w:rPr>
          <w:rFonts w:ascii="Times New Roman" w:hAnsi="Times New Roman" w:cs="Times New Roman"/>
          <w:sz w:val="18"/>
          <w:szCs w:val="18"/>
          <w:lang w:val="en-US"/>
        </w:rPr>
        <w:t>posteriori factor scores</w:t>
      </w:r>
      <w:proofErr w:type="gramEnd"/>
      <w:r w:rsidRPr="003F592A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265FCA3E" w14:textId="77777777" w:rsidR="00D016D4" w:rsidRPr="003F592A" w:rsidRDefault="00D016D4" w:rsidP="00D016D4">
      <w:pPr>
        <w:rPr>
          <w:sz w:val="22"/>
          <w:szCs w:val="22"/>
          <w:lang w:val="en-US"/>
        </w:rPr>
      </w:pPr>
    </w:p>
    <w:p w14:paraId="43DE7847" w14:textId="77777777" w:rsidR="00D016D4" w:rsidRDefault="00D016D4" w:rsidP="00D016D4">
      <w:pPr>
        <w:rPr>
          <w:lang w:val="en-US"/>
        </w:rPr>
      </w:pPr>
    </w:p>
    <w:p w14:paraId="48B907C5" w14:textId="77777777" w:rsidR="00D016D4" w:rsidRPr="008E7E5C" w:rsidRDefault="00D016D4" w:rsidP="00D016D4">
      <w:pPr>
        <w:pStyle w:val="Titre2"/>
        <w:spacing w:before="0" w:after="0" w:line="360" w:lineRule="auto"/>
        <w:rPr>
          <w:rFonts w:ascii="Times New Roman" w:hAnsi="Times New Roman" w:cs="Times New Roman"/>
          <w:color w:val="auto"/>
          <w:lang w:val="en-US"/>
        </w:rPr>
      </w:pPr>
      <w:r w:rsidRPr="008E7E5C">
        <w:rPr>
          <w:rFonts w:ascii="Times New Roman" w:hAnsi="Times New Roman" w:cs="Times New Roman"/>
          <w:color w:val="auto"/>
          <w:lang w:val="en-US"/>
        </w:rPr>
        <w:t>References</w:t>
      </w:r>
    </w:p>
    <w:p w14:paraId="7D6BF172" w14:textId="77777777" w:rsidR="00D016D4" w:rsidRPr="00C116A2" w:rsidRDefault="00D016D4" w:rsidP="00C116A2">
      <w:pPr>
        <w:spacing w:line="360" w:lineRule="auto"/>
        <w:ind w:left="340" w:hanging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1. Ferrando PJ, Lorenzo-Seva U. Program FACTOR at 10: origins, development and future directions. </w:t>
      </w:r>
      <w:proofErr w:type="spellStart"/>
      <w:r w:rsidRPr="00C116A2">
        <w:rPr>
          <w:rFonts w:ascii="Times New Roman" w:hAnsi="Times New Roman" w:cs="Times New Roman"/>
          <w:sz w:val="24"/>
          <w:szCs w:val="24"/>
          <w:lang w:val="en-US"/>
        </w:rPr>
        <w:t>Psicothema</w:t>
      </w:r>
      <w:proofErr w:type="spellEnd"/>
      <w:r w:rsidRPr="00C116A2">
        <w:rPr>
          <w:rFonts w:ascii="Times New Roman" w:hAnsi="Times New Roman" w:cs="Times New Roman"/>
          <w:sz w:val="24"/>
          <w:szCs w:val="24"/>
          <w:lang w:val="en-US"/>
        </w:rPr>
        <w:t>. 2017;29(2):236–241.</w:t>
      </w:r>
    </w:p>
    <w:p w14:paraId="311A9D4C" w14:textId="77777777" w:rsidR="00D016D4" w:rsidRPr="00C116A2" w:rsidRDefault="00D016D4" w:rsidP="00C116A2">
      <w:pPr>
        <w:spacing w:line="360" w:lineRule="auto"/>
        <w:ind w:left="340" w:hanging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2. Olsson U. Maximum likelihood estimation of the </w:t>
      </w:r>
      <w:proofErr w:type="spellStart"/>
      <w:r w:rsidRPr="00C116A2">
        <w:rPr>
          <w:rFonts w:ascii="Times New Roman" w:hAnsi="Times New Roman" w:cs="Times New Roman"/>
          <w:sz w:val="24"/>
          <w:szCs w:val="24"/>
          <w:lang w:val="en-US"/>
        </w:rPr>
        <w:t>polychoric</w:t>
      </w:r>
      <w:proofErr w:type="spellEnd"/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 correlation coefficient. Psychometrika. </w:t>
      </w:r>
      <w:proofErr w:type="gramStart"/>
      <w:r w:rsidRPr="00C116A2">
        <w:rPr>
          <w:rFonts w:ascii="Times New Roman" w:hAnsi="Times New Roman" w:cs="Times New Roman"/>
          <w:sz w:val="24"/>
          <w:szCs w:val="24"/>
          <w:lang w:val="en-US"/>
        </w:rPr>
        <w:t>1979;44:443</w:t>
      </w:r>
      <w:proofErr w:type="gramEnd"/>
      <w:r w:rsidRPr="00C116A2">
        <w:rPr>
          <w:rFonts w:ascii="Times New Roman" w:hAnsi="Times New Roman" w:cs="Times New Roman"/>
          <w:sz w:val="24"/>
          <w:szCs w:val="24"/>
          <w:lang w:val="en-US"/>
        </w:rPr>
        <w:t>–460.</w:t>
      </w:r>
    </w:p>
    <w:p w14:paraId="65114240" w14:textId="77777777" w:rsidR="00D016D4" w:rsidRPr="00C116A2" w:rsidRDefault="00D016D4" w:rsidP="00C116A2">
      <w:pPr>
        <w:spacing w:line="360" w:lineRule="auto"/>
        <w:ind w:left="340" w:hanging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3. Timmerman ME, Lorenzo-Seva U. Dimensionality assessment of ordered polytomous items with parallel analysis. Psychol Methods. </w:t>
      </w:r>
      <w:proofErr w:type="gramStart"/>
      <w:r w:rsidRPr="00C116A2">
        <w:rPr>
          <w:rFonts w:ascii="Times New Roman" w:hAnsi="Times New Roman" w:cs="Times New Roman"/>
          <w:sz w:val="24"/>
          <w:szCs w:val="24"/>
          <w:lang w:val="en-US"/>
        </w:rPr>
        <w:t>2011;16:209</w:t>
      </w:r>
      <w:proofErr w:type="gramEnd"/>
      <w:r w:rsidRPr="00C116A2">
        <w:rPr>
          <w:rFonts w:ascii="Times New Roman" w:hAnsi="Times New Roman" w:cs="Times New Roman"/>
          <w:sz w:val="24"/>
          <w:szCs w:val="24"/>
          <w:lang w:val="en-US"/>
        </w:rPr>
        <w:t>–220.</w:t>
      </w:r>
    </w:p>
    <w:p w14:paraId="622782B1" w14:textId="77777777" w:rsidR="00D016D4" w:rsidRPr="00C116A2" w:rsidRDefault="00D016D4" w:rsidP="00C116A2">
      <w:pPr>
        <w:spacing w:line="360" w:lineRule="auto"/>
        <w:ind w:left="340" w:hanging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4. Ferrando PJ, Hernández-Dorado A, Lorenzo-Seva U. A simple two-step procedure for fitting fully unrestricted exploratory factor analytic solutions with correlated residuals. Struct </w:t>
      </w:r>
      <w:proofErr w:type="spellStart"/>
      <w:r w:rsidRPr="00C116A2">
        <w:rPr>
          <w:rFonts w:ascii="Times New Roman" w:hAnsi="Times New Roman" w:cs="Times New Roman"/>
          <w:sz w:val="24"/>
          <w:szCs w:val="24"/>
          <w:lang w:val="en-US"/>
        </w:rPr>
        <w:t>Equ</w:t>
      </w:r>
      <w:proofErr w:type="spellEnd"/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 Modeling. 2024;31(3):420–428.</w:t>
      </w:r>
    </w:p>
    <w:p w14:paraId="20CD9A4B" w14:textId="77777777" w:rsidR="00D016D4" w:rsidRPr="00C116A2" w:rsidRDefault="00D016D4" w:rsidP="00C116A2">
      <w:pPr>
        <w:spacing w:line="360" w:lineRule="auto"/>
        <w:ind w:left="340" w:hanging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5. Lambert ZV, Wildt AR, Durand RM. Approximating confidence intervals for factor loadings. Multivariate </w:t>
      </w:r>
      <w:proofErr w:type="spellStart"/>
      <w:r w:rsidRPr="00C116A2">
        <w:rPr>
          <w:rFonts w:ascii="Times New Roman" w:hAnsi="Times New Roman" w:cs="Times New Roman"/>
          <w:sz w:val="24"/>
          <w:szCs w:val="24"/>
          <w:lang w:val="en-US"/>
        </w:rPr>
        <w:t>Behav</w:t>
      </w:r>
      <w:proofErr w:type="spellEnd"/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 Res. 1991;26(3):421–434.</w:t>
      </w:r>
    </w:p>
    <w:p w14:paraId="0AA4E87F" w14:textId="77777777" w:rsidR="00D016D4" w:rsidRPr="00C116A2" w:rsidRDefault="00D016D4" w:rsidP="00C116A2">
      <w:pPr>
        <w:spacing w:line="360" w:lineRule="auto"/>
        <w:ind w:left="340" w:hanging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6. Lorenzo-Seva U, Ferrando PJ. A simulation-based scaled test statistic for assessing model–data fit in least-squares unrestricted factor-analysis solutions. Methodology. </w:t>
      </w:r>
      <w:proofErr w:type="gramStart"/>
      <w:r w:rsidRPr="00C116A2">
        <w:rPr>
          <w:rFonts w:ascii="Times New Roman" w:hAnsi="Times New Roman" w:cs="Times New Roman"/>
          <w:sz w:val="24"/>
          <w:szCs w:val="24"/>
          <w:lang w:val="en-US"/>
        </w:rPr>
        <w:t>2023;19:96</w:t>
      </w:r>
      <w:proofErr w:type="gramEnd"/>
      <w:r w:rsidRPr="00C116A2">
        <w:rPr>
          <w:rFonts w:ascii="Times New Roman" w:hAnsi="Times New Roman" w:cs="Times New Roman"/>
          <w:sz w:val="24"/>
          <w:szCs w:val="24"/>
          <w:lang w:val="en-US"/>
        </w:rPr>
        <w:t>–115.</w:t>
      </w:r>
    </w:p>
    <w:p w14:paraId="7377FAEB" w14:textId="77777777" w:rsidR="00D016D4" w:rsidRPr="00C116A2" w:rsidRDefault="00D016D4" w:rsidP="00C116A2">
      <w:pPr>
        <w:spacing w:line="360" w:lineRule="auto"/>
        <w:ind w:left="340" w:hanging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16A2">
        <w:rPr>
          <w:rFonts w:ascii="Times New Roman" w:hAnsi="Times New Roman" w:cs="Times New Roman"/>
          <w:sz w:val="24"/>
          <w:szCs w:val="24"/>
          <w:lang w:val="en-US"/>
        </w:rPr>
        <w:t>7. McDonald RP. Test theory: a unified treatment. Mahwah (NJ): Lawrence Erlbaum; 1999.</w:t>
      </w:r>
    </w:p>
    <w:p w14:paraId="5CE1FEB5" w14:textId="77777777" w:rsidR="00D016D4" w:rsidRPr="00C116A2" w:rsidRDefault="00D016D4" w:rsidP="00C116A2">
      <w:pPr>
        <w:spacing w:line="360" w:lineRule="auto"/>
        <w:ind w:left="340" w:hanging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8. Woodhouse B, Jackson PH. Lower bounds to the reliability of the total score on a test composed of nonhomogeneous items: II. A search procedure to locate the greatest lower bound. Psychometrika. </w:t>
      </w:r>
      <w:proofErr w:type="gramStart"/>
      <w:r w:rsidRPr="00C116A2">
        <w:rPr>
          <w:rFonts w:ascii="Times New Roman" w:hAnsi="Times New Roman" w:cs="Times New Roman"/>
          <w:sz w:val="24"/>
          <w:szCs w:val="24"/>
          <w:lang w:val="en-US"/>
        </w:rPr>
        <w:t>1977;42:579</w:t>
      </w:r>
      <w:proofErr w:type="gramEnd"/>
      <w:r w:rsidRPr="00C116A2">
        <w:rPr>
          <w:rFonts w:ascii="Times New Roman" w:hAnsi="Times New Roman" w:cs="Times New Roman"/>
          <w:sz w:val="24"/>
          <w:szCs w:val="24"/>
          <w:lang w:val="en-US"/>
        </w:rPr>
        <w:t>–591.</w:t>
      </w:r>
    </w:p>
    <w:p w14:paraId="64F550F9" w14:textId="77777777" w:rsidR="00D016D4" w:rsidRPr="00C116A2" w:rsidRDefault="00D016D4" w:rsidP="00C116A2">
      <w:pPr>
        <w:spacing w:line="36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C116A2">
        <w:rPr>
          <w:rFonts w:ascii="Times New Roman" w:hAnsi="Times New Roman" w:cs="Times New Roman"/>
          <w:sz w:val="24"/>
          <w:szCs w:val="24"/>
          <w:lang w:val="en-US"/>
        </w:rPr>
        <w:t xml:space="preserve">9. Ferrando PJ, Lorenzo-Seva U. Assessing the quality and appropriateness of factor solutions and factor score estimates in exploratory item factor analysis. </w:t>
      </w:r>
      <w:r w:rsidRPr="00C116A2">
        <w:rPr>
          <w:rFonts w:ascii="Times New Roman" w:hAnsi="Times New Roman" w:cs="Times New Roman"/>
          <w:sz w:val="24"/>
          <w:szCs w:val="24"/>
        </w:rPr>
        <w:t xml:space="preserve">Educ Psychol Meas. </w:t>
      </w:r>
      <w:proofErr w:type="gramStart"/>
      <w:r w:rsidRPr="00C116A2">
        <w:rPr>
          <w:rFonts w:ascii="Times New Roman" w:hAnsi="Times New Roman" w:cs="Times New Roman"/>
          <w:sz w:val="24"/>
          <w:szCs w:val="24"/>
        </w:rPr>
        <w:t>2018;78:</w:t>
      </w:r>
      <w:proofErr w:type="gramEnd"/>
      <w:r w:rsidRPr="00C116A2">
        <w:rPr>
          <w:rFonts w:ascii="Times New Roman" w:hAnsi="Times New Roman" w:cs="Times New Roman"/>
          <w:sz w:val="24"/>
          <w:szCs w:val="24"/>
        </w:rPr>
        <w:t>762–780.</w:t>
      </w:r>
    </w:p>
    <w:p w14:paraId="2B3FA9C6" w14:textId="77777777" w:rsidR="00770943" w:rsidRPr="00C116A2" w:rsidRDefault="00770943" w:rsidP="00C116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0943" w:rsidRPr="00C116A2" w:rsidSect="00D016D4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D4"/>
    <w:rsid w:val="0005696B"/>
    <w:rsid w:val="000B1F6A"/>
    <w:rsid w:val="00133AA6"/>
    <w:rsid w:val="00212664"/>
    <w:rsid w:val="002B5FF7"/>
    <w:rsid w:val="00321433"/>
    <w:rsid w:val="003E05DE"/>
    <w:rsid w:val="004D01D9"/>
    <w:rsid w:val="004F26E1"/>
    <w:rsid w:val="005B75A1"/>
    <w:rsid w:val="00724D09"/>
    <w:rsid w:val="00770943"/>
    <w:rsid w:val="008A47DA"/>
    <w:rsid w:val="008B52F3"/>
    <w:rsid w:val="008B6833"/>
    <w:rsid w:val="008B6AB7"/>
    <w:rsid w:val="009141D5"/>
    <w:rsid w:val="00AF0DA2"/>
    <w:rsid w:val="00C116A2"/>
    <w:rsid w:val="00D016D4"/>
    <w:rsid w:val="00DE4633"/>
    <w:rsid w:val="00E53754"/>
    <w:rsid w:val="00ED4FB8"/>
    <w:rsid w:val="00E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9D14"/>
  <w15:chartTrackingRefBased/>
  <w15:docId w15:val="{C29A23BF-149F-42EC-A68E-FCB86940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6D4"/>
    <w:pPr>
      <w:spacing w:after="0" w:line="240" w:lineRule="auto"/>
    </w:pPr>
    <w:rPr>
      <w:rFonts w:ascii="Arial" w:eastAsia="Arial" w:hAnsi="Arial" w:cs="Arial"/>
      <w:kern w:val="0"/>
      <w:sz w:val="21"/>
      <w:szCs w:val="21"/>
      <w:lang w:eastAsia="fr-CM"/>
      <w14:ligatures w14:val="none"/>
    </w:rPr>
  </w:style>
  <w:style w:type="paragraph" w:styleId="Titre1">
    <w:name w:val="heading 1"/>
    <w:link w:val="Titre1Car"/>
    <w:autoRedefine/>
    <w:uiPriority w:val="9"/>
    <w:qFormat/>
    <w:rsid w:val="000B1F6A"/>
    <w:pPr>
      <w:spacing w:before="360" w:after="180" w:line="240" w:lineRule="auto"/>
      <w:jc w:val="both"/>
      <w:outlineLvl w:val="0"/>
    </w:pPr>
    <w:rPr>
      <w:rFonts w:ascii="Calibri" w:eastAsia="Calibri" w:hAnsi="Calibri" w:cs="Calibri"/>
      <w:b/>
      <w:bCs/>
      <w:color w:val="1F3864"/>
      <w:kern w:val="0"/>
      <w:sz w:val="36"/>
      <w:szCs w:val="28"/>
      <w:lang w:eastAsia="fr-CM"/>
      <w14:ligatures w14:val="none"/>
    </w:rPr>
  </w:style>
  <w:style w:type="paragraph" w:styleId="Titre2">
    <w:name w:val="heading 2"/>
    <w:link w:val="Titre2Car"/>
    <w:autoRedefine/>
    <w:uiPriority w:val="9"/>
    <w:unhideWhenUsed/>
    <w:qFormat/>
    <w:rsid w:val="000B1F6A"/>
    <w:pPr>
      <w:spacing w:before="240" w:after="120" w:line="240" w:lineRule="auto"/>
      <w:jc w:val="both"/>
      <w:outlineLvl w:val="1"/>
    </w:pPr>
    <w:rPr>
      <w:rFonts w:ascii="Calibri" w:eastAsia="Calibri" w:hAnsi="Calibri" w:cs="Calibri"/>
      <w:b/>
      <w:bCs/>
      <w:color w:val="2E74B5"/>
      <w:kern w:val="0"/>
      <w:sz w:val="32"/>
      <w:szCs w:val="24"/>
      <w:lang w:eastAsia="fr-CM"/>
      <w14:ligatures w14:val="none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5B75A1"/>
    <w:pPr>
      <w:keepNext/>
      <w:keepLines/>
      <w:spacing w:before="40" w:line="259" w:lineRule="auto"/>
      <w:jc w:val="both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kern w:val="2"/>
      <w:sz w:val="32"/>
      <w:szCs w:val="24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semiHidden/>
    <w:unhideWhenUsed/>
    <w:qFormat/>
    <w:rsid w:val="005B75A1"/>
    <w:pPr>
      <w:keepNext/>
      <w:keepLines/>
      <w:spacing w:before="40" w:line="259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autoRedefine/>
    <w:uiPriority w:val="9"/>
    <w:semiHidden/>
    <w:unhideWhenUsed/>
    <w:qFormat/>
    <w:rsid w:val="005B75A1"/>
    <w:pPr>
      <w:keepNext/>
      <w:keepLines/>
      <w:spacing w:before="40" w:line="259" w:lineRule="auto"/>
      <w:jc w:val="both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kern w:val="2"/>
      <w:sz w:val="24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16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16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16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16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321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both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0"/>
      <w:szCs w:val="22"/>
      <w:lang w:val="en-GB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1433"/>
    <w:rPr>
      <w:i/>
      <w:iCs/>
      <w:color w:val="2F5496" w:themeColor="accent1" w:themeShade="BF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0B1F6A"/>
    <w:rPr>
      <w:rFonts w:ascii="Calibri" w:eastAsia="Calibri" w:hAnsi="Calibri" w:cs="Calibri"/>
      <w:b/>
      <w:bCs/>
      <w:color w:val="1F3864"/>
      <w:kern w:val="0"/>
      <w:sz w:val="36"/>
      <w:szCs w:val="28"/>
      <w:lang w:eastAsia="fr-CM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0B1F6A"/>
    <w:rPr>
      <w:rFonts w:ascii="Calibri" w:eastAsia="Calibri" w:hAnsi="Calibri" w:cs="Calibri"/>
      <w:b/>
      <w:bCs/>
      <w:color w:val="2E74B5"/>
      <w:kern w:val="0"/>
      <w:sz w:val="32"/>
      <w:szCs w:val="24"/>
      <w:lang w:eastAsia="fr-CM"/>
      <w14:ligatures w14:val="none"/>
    </w:rPr>
  </w:style>
  <w:style w:type="paragraph" w:styleId="Titre">
    <w:name w:val="Title"/>
    <w:basedOn w:val="Titre3"/>
    <w:next w:val="Normal"/>
    <w:link w:val="TitreCar"/>
    <w:uiPriority w:val="10"/>
    <w:qFormat/>
    <w:rsid w:val="0005696B"/>
    <w:pPr>
      <w:spacing w:line="240" w:lineRule="auto"/>
      <w:contextualSpacing/>
    </w:pPr>
    <w:rPr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696B"/>
    <w:rPr>
      <w:rFonts w:asciiTheme="majorHAnsi" w:eastAsiaTheme="majorEastAsia" w:hAnsiTheme="majorHAnsi" w:cstheme="majorBidi"/>
      <w:color w:val="2F5496" w:themeColor="accent1" w:themeShade="BF"/>
      <w:spacing w:val="-10"/>
      <w:kern w:val="28"/>
      <w:sz w:val="40"/>
      <w:szCs w:val="56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5B75A1"/>
    <w:rPr>
      <w:rFonts w:asciiTheme="majorHAnsi" w:eastAsiaTheme="majorEastAsia" w:hAnsiTheme="majorHAnsi" w:cstheme="majorBidi"/>
      <w:b/>
      <w:color w:val="1F3763" w:themeColor="accent1" w:themeShade="7F"/>
      <w:sz w:val="32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B75A1"/>
    <w:rPr>
      <w:rFonts w:asciiTheme="majorHAnsi" w:eastAsiaTheme="majorEastAsia" w:hAnsiTheme="majorHAnsi" w:cstheme="majorBidi"/>
      <w:b/>
      <w:iCs/>
      <w:color w:val="2F5496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5B75A1"/>
    <w:rPr>
      <w:rFonts w:asciiTheme="majorHAnsi" w:eastAsiaTheme="majorEastAsia" w:hAnsiTheme="majorHAnsi" w:cstheme="majorBidi"/>
      <w:b/>
      <w:color w:val="2F5496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D016D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D016D4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D016D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D016D4"/>
    <w:rPr>
      <w:rFonts w:eastAsiaTheme="majorEastAsia" w:cstheme="majorBidi"/>
      <w:color w:val="272727" w:themeColor="text1" w:themeTint="D8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16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016D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D016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016D4"/>
    <w:rPr>
      <w:i/>
      <w:iCs/>
      <w:color w:val="404040" w:themeColor="text1" w:themeTint="BF"/>
      <w:lang w:val="en-GB"/>
    </w:rPr>
  </w:style>
  <w:style w:type="paragraph" w:styleId="Paragraphedeliste">
    <w:name w:val="List Paragraph"/>
    <w:basedOn w:val="Normal"/>
    <w:uiPriority w:val="34"/>
    <w:qFormat/>
    <w:rsid w:val="00D016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016D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16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</dc:creator>
  <cp:keywords/>
  <dc:description/>
  <cp:lastModifiedBy>jean pierre</cp:lastModifiedBy>
  <cp:revision>2</cp:revision>
  <dcterms:created xsi:type="dcterms:W3CDTF">2026-06-22T11:37:00Z</dcterms:created>
  <dcterms:modified xsi:type="dcterms:W3CDTF">2026-06-27T14:39:00Z</dcterms:modified>
</cp:coreProperties>
</file>