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Figure Legends for RFS SCI Manuscript</w:t>
      </w:r>
    </w:p>
    <w:p>
      <w:pPr>
        <w:pStyle w:val="Heading1"/>
      </w:pPr>
      <w:r>
        <w:t>Main Figures</w:t>
      </w:r>
    </w:p>
    <w:p>
      <w:pPr>
        <w:spacing w:after="160"/>
        <w:ind w:firstLine="0"/>
        <w:jc w:val="both"/>
      </w:pPr>
      <w:r>
        <w:rPr>
          <w:rFonts w:ascii="Times New Roman" w:hAnsi="Times New Roman"/>
          <w:b/>
          <w:sz w:val="22"/>
        </w:rPr>
        <w:t>Figure 1. Study overview and model-development workflow.</w:t>
      </w:r>
      <w:r>
        <w:rPr>
          <w:rFonts w:ascii="Times New Roman" w:hAnsi="Times New Roman"/>
          <w:sz w:val="22"/>
        </w:rPr>
        <w:t xml:space="preserve"> The diagram summarizes patient selection, cohort allocation, endpoint definition, PET/CT radiomics extraction, RFS-Radscore construction, clinicopathologic predictor integration, Cox model development, pooled external validation, and risk-stratification output. ESCC, esophageal squamous cell carcinoma; nICT, neoadjuvant immunochemotherapy; PET/CT, positron emission tomography/computed tomography; RFS, recurrence-free survival.</w:t>
      </w:r>
    </w:p>
    <w:p>
      <w:pPr>
        <w:spacing w:after="160"/>
        <w:ind w:firstLine="0"/>
        <w:jc w:val="both"/>
      </w:pPr>
      <w:r>
        <w:rPr>
          <w:rFonts w:ascii="Times New Roman" w:hAnsi="Times New Roman"/>
          <w:b/>
          <w:sz w:val="22"/>
        </w:rPr>
        <w:t>Figure 2. Kaplan-Meier curves for RFS risk stratification.</w:t>
      </w:r>
      <w:r>
        <w:rPr>
          <w:rFonts w:ascii="Times New Roman" w:hAnsi="Times New Roman"/>
          <w:sz w:val="22"/>
        </w:rPr>
        <w:t xml:space="preserve"> Patients were stratified into low- and high-risk groups according to the primary combined Cox model. Curves are shown for the development cohort (A) and pooled external validation cohort (B). Hazard ratios were estimated using Cox proportional hazards models, and P values were calculated using log-rank tests. CI, confidence interval; HR, hazard ratio; RFS, recurrence-free survival.</w:t>
      </w:r>
    </w:p>
    <w:p>
      <w:pPr>
        <w:spacing w:after="160"/>
        <w:ind w:firstLine="0"/>
        <w:jc w:val="both"/>
      </w:pPr>
      <w:r>
        <w:rPr>
          <w:rFonts w:ascii="Times New Roman" w:hAnsi="Times New Roman"/>
          <w:b/>
          <w:sz w:val="22"/>
        </w:rPr>
        <w:t>Figure 3. Calibration curves for 1-year and 2-year RFS prediction.</w:t>
      </w:r>
      <w:r>
        <w:rPr>
          <w:rFonts w:ascii="Times New Roman" w:hAnsi="Times New Roman"/>
          <w:sz w:val="22"/>
        </w:rPr>
        <w:t xml:space="preserve"> Grouped calibration plots compare model-predicted RFS probabilities with Kaplan-Meier observed RFS probabilities in the development cohort and pooled external validation cohort. Vertical bars indicate 95% confidence intervals. The diagonal reference line represents perfect agreement between predicted and observed probabilities. CI, confidence interval; RFS, recurrence-free survival.</w:t>
      </w:r>
    </w:p>
    <w:p>
      <w:pPr>
        <w:spacing w:after="160"/>
        <w:ind w:firstLine="0"/>
        <w:jc w:val="both"/>
      </w:pPr>
      <w:r>
        <w:rPr>
          <w:rFonts w:ascii="Times New Roman" w:hAnsi="Times New Roman"/>
          <w:b/>
          <w:sz w:val="22"/>
        </w:rPr>
        <w:t>Figure 4. Time-dependent ROC analysis for RFS prediction.</w:t>
      </w:r>
      <w:r>
        <w:rPr>
          <w:rFonts w:ascii="Times New Roman" w:hAnsi="Times New Roman"/>
          <w:sz w:val="22"/>
        </w:rPr>
        <w:t xml:space="preserve"> Time-dependent receiver operating characteristic curves are displayed for the clinicopathologic model, radiomics model, and combined model in the development cohort at 1 year (A) and 2 years (B), and in the pooled external validation cohort at 1 year (C) and 2 years (D). AUC, area under the curve; ROC, receiver operating characteristic; RFS, recurrence-free survival.</w:t>
      </w:r>
    </w:p>
    <w:p>
      <w:pPr>
        <w:spacing w:after="160"/>
        <w:ind w:firstLine="0"/>
        <w:jc w:val="both"/>
      </w:pPr>
      <w:r>
        <w:rPr>
          <w:rFonts w:ascii="Times New Roman" w:hAnsi="Times New Roman"/>
          <w:b/>
          <w:sz w:val="22"/>
        </w:rPr>
        <w:t>Figure 5. Forest plot of the primary combined Cox model.</w:t>
      </w:r>
      <w:r>
        <w:rPr>
          <w:rFonts w:ascii="Times New Roman" w:hAnsi="Times New Roman"/>
          <w:sz w:val="22"/>
        </w:rPr>
        <w:t xml:space="preserve"> Hazard ratios and 95% confidence intervals are shown for the primary combined Cox model, including RFS-Radscore, PD-L1 expression, neural invasion, and vascular tumor thrombus. The model excluded postoperative adjuvant therapy to reduce treatment-selection ambiguity. CI, confidence interval; HR, hazard ratio; PD-L1, programmed death-ligand 1; RFS, recurrence-free survival.</w:t>
      </w:r>
    </w:p>
    <w:p>
      <w:pPr>
        <w:pStyle w:val="Heading1"/>
      </w:pPr>
      <w:r>
        <w:t>Supplementary Figure Legends</w:t>
      </w:r>
    </w:p>
    <w:p>
      <w:pPr>
        <w:spacing w:after="160"/>
        <w:ind w:firstLine="0"/>
        <w:jc w:val="both"/>
      </w:pPr>
      <w:r>
        <w:rPr>
          <w:rFonts w:ascii="Times New Roman" w:hAnsi="Times New Roman"/>
          <w:b/>
          <w:sz w:val="22"/>
        </w:rPr>
        <w:t>Supplementary Figure S1. LASSO-Cox coefficient paths for radiomic feature selection.</w:t>
      </w:r>
      <w:r>
        <w:rPr>
          <w:rFonts w:ascii="Times New Roman" w:hAnsi="Times New Roman"/>
          <w:sz w:val="22"/>
        </w:rPr>
        <w:t xml:space="preserve"> Coefficient trajectories of candidate PET/CT radiomic features are shown across the regularization path. Vertical lines indicate lambda.min and lambda.1se. LASSO, least absolute shrinkage and selection operator; PET/CT, positron emission tomography/computed tomography.</w:t>
      </w:r>
    </w:p>
    <w:p>
      <w:pPr>
        <w:spacing w:after="160"/>
        <w:ind w:firstLine="0"/>
        <w:jc w:val="both"/>
      </w:pPr>
      <w:r>
        <w:rPr>
          <w:rFonts w:ascii="Times New Roman" w:hAnsi="Times New Roman"/>
          <w:b/>
          <w:sz w:val="22"/>
        </w:rPr>
        <w:t>Supplementary Figure S2. LASSO-Cox cross-validation for radiomic feature selection.</w:t>
      </w:r>
      <w:r>
        <w:rPr>
          <w:rFonts w:ascii="Times New Roman" w:hAnsi="Times New Roman"/>
          <w:sz w:val="22"/>
        </w:rPr>
        <w:t xml:space="preserve"> Ten-fold cross-validated C-index is plotted against the tuning parameter. Lambda.1se was used to favor a parsimonious RFS-Radscore. C-index, concordance index; LASSO, least absolute shrinkage and selection operator; RFS, recurrence-free survival.</w:t>
      </w:r>
    </w:p>
    <w:p>
      <w:pPr>
        <w:spacing w:after="160"/>
        <w:ind w:firstLine="0"/>
        <w:jc w:val="both"/>
      </w:pPr>
      <w:r>
        <w:rPr>
          <w:rFonts w:ascii="Times New Roman" w:hAnsi="Times New Roman"/>
          <w:b/>
          <w:sz w:val="22"/>
        </w:rPr>
        <w:t>Supplementary Figure S3. LASSO-Cox cross-validation for clinicopathologic feature assessment.</w:t>
      </w:r>
      <w:r>
        <w:rPr>
          <w:rFonts w:ascii="Times New Roman" w:hAnsi="Times New Roman"/>
          <w:sz w:val="22"/>
        </w:rPr>
        <w:t xml:space="preserve"> Ten-fold cross-validated C-index is plotted against the tuning parameter among candidate clinicopathologic variables. This figure documents penalized variable assessment and should not be interpreted as the final clinical-use model alone. C-index, concordance index; LASSO, least absolute shrinkage and selection operator.</w:t>
      </w:r>
    </w:p>
    <w:p>
      <w:pPr>
        <w:spacing w:after="160"/>
        <w:ind w:firstLine="0"/>
        <w:jc w:val="both"/>
      </w:pPr>
      <w:r>
        <w:rPr>
          <w:rFonts w:ascii="Times New Roman" w:hAnsi="Times New Roman"/>
          <w:b/>
          <w:sz w:val="22"/>
        </w:rPr>
        <w:t>Supplementary Figure S4. Nomogram for the primary combined RFS model.</w:t>
      </w:r>
      <w:r>
        <w:rPr>
          <w:rFonts w:ascii="Times New Roman" w:hAnsi="Times New Roman"/>
          <w:sz w:val="22"/>
        </w:rPr>
        <w:t xml:space="preserve"> The nomogram estimates 1-year and 2-year RFS probabilities using RFS-Radscore, PD-L1 expression, neural invasion, and vascular tumor thrombus. Postoperative adjuvant therapy was intentionally excluded to avoid treatment-selection and causal interpretation bias. Higher total points indicate higher recurrence risk. PD-L1, programmed death-ligand 1; RFS, recurrence-free survival.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Times New Roman" w:hAnsi="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Times New Roman" w:hAnsi="Times New Roman"/>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