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BC2443">
      <w:r>
        <w:rPr>
          <w:rFonts w:ascii="Times New Roman" w:hAnsi="Times New Roman"/>
          <w:b/>
          <w:color w:val="000000"/>
          <w:sz w:val="20"/>
        </w:rPr>
        <w:t>Supplementary Table S6. Time-point RFS rates by risk group in the primary combined model.</w:t>
      </w:r>
    </w:p>
    <w:tbl>
      <w:tblPr>
        <w:tblStyle w:val="32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04"/>
        <w:gridCol w:w="1704"/>
        <w:gridCol w:w="1704"/>
        <w:gridCol w:w="1704"/>
        <w:gridCol w:w="1704"/>
      </w:tblGrid>
      <w:tr w14:paraId="3849B2E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0" w:type="dxa"/>
            <w:tcBorders>
              <w:bottom w:val="single" w:color="auto" w:sz="4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3AE5B93">
            <w:pPr>
              <w:spacing w:after="0" w:line="240" w:lineRule="auto"/>
              <w:jc w:val="left"/>
            </w:pPr>
            <w:bookmarkStart w:id="0" w:name="_GoBack" w:colFirst="0" w:colLast="5"/>
            <w:r>
              <w:rPr>
                <w:rFonts w:ascii="Times New Roman" w:hAnsi="Times New Roman"/>
                <w:b/>
                <w:sz w:val="16"/>
              </w:rPr>
              <w:t>Cohort</w:t>
            </w:r>
          </w:p>
        </w:tc>
        <w:tc>
          <w:tcPr>
            <w:tcW w:w="1584" w:type="dxa"/>
            <w:tcBorders>
              <w:bottom w:val="single" w:color="auto" w:sz="4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D19508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Risk group</w:t>
            </w:r>
          </w:p>
        </w:tc>
        <w:tc>
          <w:tcPr>
            <w:tcW w:w="1440" w:type="dxa"/>
            <w:tcBorders>
              <w:bottom w:val="single" w:color="auto" w:sz="4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391F6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Time point</w:t>
            </w:r>
          </w:p>
        </w:tc>
        <w:tc>
          <w:tcPr>
            <w:tcW w:w="1296" w:type="dxa"/>
            <w:tcBorders>
              <w:bottom w:val="single" w:color="auto" w:sz="4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5839B9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RFS rate</w:t>
            </w:r>
          </w:p>
        </w:tc>
        <w:tc>
          <w:tcPr>
            <w:tcW w:w="1368" w:type="dxa"/>
            <w:tcBorders>
              <w:bottom w:val="single" w:color="auto" w:sz="4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133C50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No. at risk</w:t>
            </w:r>
          </w:p>
        </w:tc>
        <w:tc>
          <w:tcPr>
            <w:tcW w:w="1584" w:type="dxa"/>
            <w:tcBorders>
              <w:bottom w:val="single" w:color="auto" w:sz="4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8CCBCB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Events by time</w:t>
            </w:r>
          </w:p>
        </w:tc>
      </w:tr>
      <w:bookmarkEnd w:id="0"/>
      <w:tr w14:paraId="1A71589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0" w:type="dxa"/>
            <w:tcBorders>
              <w:top w:val="single" w:color="auto" w:sz="4" w:space="0"/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1F07484">
            <w:pPr>
              <w:spacing w:after="0" w:line="240" w:lineRule="auto"/>
              <w:jc w:val="left"/>
            </w:pPr>
            <w:r>
              <w:rPr>
                <w:rFonts w:ascii="Times New Roman" w:hAnsi="Times New Roman"/>
                <w:b w:val="0"/>
                <w:sz w:val="16"/>
              </w:rPr>
              <w:t>development</w:t>
            </w:r>
          </w:p>
        </w:tc>
        <w:tc>
          <w:tcPr>
            <w:tcW w:w="1584" w:type="dxa"/>
            <w:tcBorders>
              <w:top w:val="single" w:color="auto" w:sz="4" w:space="0"/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306A39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low</w:t>
            </w:r>
          </w:p>
        </w:tc>
        <w:tc>
          <w:tcPr>
            <w:tcW w:w="1440" w:type="dxa"/>
            <w:tcBorders>
              <w:top w:val="single" w:color="auto" w:sz="4" w:space="0"/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6850CC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6 months</w:t>
            </w:r>
          </w:p>
        </w:tc>
        <w:tc>
          <w:tcPr>
            <w:tcW w:w="1296" w:type="dxa"/>
            <w:tcBorders>
              <w:top w:val="single" w:color="auto" w:sz="4" w:space="0"/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847362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96.0%</w:t>
            </w:r>
          </w:p>
        </w:tc>
        <w:tc>
          <w:tcPr>
            <w:tcW w:w="1368" w:type="dxa"/>
            <w:tcBorders>
              <w:top w:val="single" w:color="auto" w:sz="4" w:space="0"/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CBFB3C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96</w:t>
            </w:r>
          </w:p>
        </w:tc>
        <w:tc>
          <w:tcPr>
            <w:tcW w:w="1584" w:type="dxa"/>
            <w:tcBorders>
              <w:top w:val="single" w:color="auto" w:sz="4" w:space="0"/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53A5A9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4</w:t>
            </w:r>
          </w:p>
        </w:tc>
      </w:tr>
      <w:tr w14:paraId="6584C3A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0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3AFF838">
            <w:pPr>
              <w:spacing w:after="0" w:line="240" w:lineRule="auto"/>
              <w:jc w:val="left"/>
            </w:pPr>
            <w:r>
              <w:rPr>
                <w:rFonts w:ascii="Times New Roman" w:hAnsi="Times New Roman"/>
                <w:b w:val="0"/>
                <w:sz w:val="16"/>
              </w:rPr>
              <w:t>development</w:t>
            </w:r>
          </w:p>
        </w:tc>
        <w:tc>
          <w:tcPr>
            <w:tcW w:w="1584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21C68D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low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037943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12 months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7150C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89.0%</w:t>
            </w:r>
          </w:p>
        </w:tc>
        <w:tc>
          <w:tcPr>
            <w:tcW w:w="1368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F55049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89</w:t>
            </w:r>
          </w:p>
        </w:tc>
        <w:tc>
          <w:tcPr>
            <w:tcW w:w="1584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2FE055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11</w:t>
            </w:r>
          </w:p>
        </w:tc>
      </w:tr>
      <w:tr w14:paraId="6986CCE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0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9680CF3">
            <w:pPr>
              <w:spacing w:after="0" w:line="240" w:lineRule="auto"/>
              <w:jc w:val="left"/>
            </w:pPr>
            <w:r>
              <w:rPr>
                <w:rFonts w:ascii="Times New Roman" w:hAnsi="Times New Roman"/>
                <w:b w:val="0"/>
                <w:sz w:val="16"/>
              </w:rPr>
              <w:t>development</w:t>
            </w:r>
          </w:p>
        </w:tc>
        <w:tc>
          <w:tcPr>
            <w:tcW w:w="1584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A9041D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low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B4170D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18 months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0C07E8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85.0%</w:t>
            </w:r>
          </w:p>
        </w:tc>
        <w:tc>
          <w:tcPr>
            <w:tcW w:w="1368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049E04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85</w:t>
            </w:r>
          </w:p>
        </w:tc>
        <w:tc>
          <w:tcPr>
            <w:tcW w:w="1584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1D83D7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15</w:t>
            </w:r>
          </w:p>
        </w:tc>
      </w:tr>
      <w:tr w14:paraId="12BC918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0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9027505">
            <w:pPr>
              <w:spacing w:after="0" w:line="240" w:lineRule="auto"/>
              <w:jc w:val="left"/>
            </w:pPr>
            <w:r>
              <w:rPr>
                <w:rFonts w:ascii="Times New Roman" w:hAnsi="Times New Roman"/>
                <w:b w:val="0"/>
                <w:sz w:val="16"/>
              </w:rPr>
              <w:t>development</w:t>
            </w:r>
          </w:p>
        </w:tc>
        <w:tc>
          <w:tcPr>
            <w:tcW w:w="1584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6DA5B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low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6FCD29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24 months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0A5DCB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78.0%</w:t>
            </w:r>
          </w:p>
        </w:tc>
        <w:tc>
          <w:tcPr>
            <w:tcW w:w="1368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E2E474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78</w:t>
            </w:r>
          </w:p>
        </w:tc>
        <w:tc>
          <w:tcPr>
            <w:tcW w:w="1584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16C29D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22</w:t>
            </w:r>
          </w:p>
        </w:tc>
      </w:tr>
      <w:tr w14:paraId="788C34D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0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E35DE2C">
            <w:pPr>
              <w:spacing w:after="0" w:line="240" w:lineRule="auto"/>
              <w:jc w:val="left"/>
            </w:pPr>
            <w:r>
              <w:rPr>
                <w:rFonts w:ascii="Times New Roman" w:hAnsi="Times New Roman"/>
                <w:b w:val="0"/>
                <w:sz w:val="16"/>
              </w:rPr>
              <w:t>development</w:t>
            </w:r>
          </w:p>
        </w:tc>
        <w:tc>
          <w:tcPr>
            <w:tcW w:w="1584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AAC3CA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high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009711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6 months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4D4B25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87.1%</w:t>
            </w:r>
          </w:p>
        </w:tc>
        <w:tc>
          <w:tcPr>
            <w:tcW w:w="1368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63798B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89</w:t>
            </w:r>
          </w:p>
        </w:tc>
        <w:tc>
          <w:tcPr>
            <w:tcW w:w="1584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F2AC62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13</w:t>
            </w:r>
          </w:p>
        </w:tc>
      </w:tr>
      <w:tr w14:paraId="441AC59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0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08509FC">
            <w:pPr>
              <w:spacing w:after="0" w:line="240" w:lineRule="auto"/>
              <w:jc w:val="left"/>
            </w:pPr>
            <w:r>
              <w:rPr>
                <w:rFonts w:ascii="Times New Roman" w:hAnsi="Times New Roman"/>
                <w:b w:val="0"/>
                <w:sz w:val="16"/>
              </w:rPr>
              <w:t>development</w:t>
            </w:r>
          </w:p>
        </w:tc>
        <w:tc>
          <w:tcPr>
            <w:tcW w:w="1584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E9C760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high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3D36C7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12 months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020938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64.4%</w:t>
            </w:r>
          </w:p>
        </w:tc>
        <w:tc>
          <w:tcPr>
            <w:tcW w:w="1368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055D51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66</w:t>
            </w:r>
          </w:p>
        </w:tc>
        <w:tc>
          <w:tcPr>
            <w:tcW w:w="1584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AF6224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36</w:t>
            </w:r>
          </w:p>
        </w:tc>
      </w:tr>
      <w:tr w14:paraId="73246F2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0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B011AE4">
            <w:pPr>
              <w:spacing w:after="0" w:line="240" w:lineRule="auto"/>
              <w:jc w:val="left"/>
            </w:pPr>
            <w:r>
              <w:rPr>
                <w:rFonts w:ascii="Times New Roman" w:hAnsi="Times New Roman"/>
                <w:b w:val="0"/>
                <w:sz w:val="16"/>
              </w:rPr>
              <w:t>development</w:t>
            </w:r>
          </w:p>
        </w:tc>
        <w:tc>
          <w:tcPr>
            <w:tcW w:w="1584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7AE2A0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high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A3EAD7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18 months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6CEED7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52.5%</w:t>
            </w:r>
          </w:p>
        </w:tc>
        <w:tc>
          <w:tcPr>
            <w:tcW w:w="1368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BC9342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53</w:t>
            </w:r>
          </w:p>
        </w:tc>
        <w:tc>
          <w:tcPr>
            <w:tcW w:w="1584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11E976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48</w:t>
            </w:r>
          </w:p>
        </w:tc>
      </w:tr>
      <w:tr w14:paraId="20A710F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0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35B3AB5">
            <w:pPr>
              <w:spacing w:after="0" w:line="240" w:lineRule="auto"/>
              <w:jc w:val="left"/>
            </w:pPr>
            <w:r>
              <w:rPr>
                <w:rFonts w:ascii="Times New Roman" w:hAnsi="Times New Roman"/>
                <w:b w:val="0"/>
                <w:sz w:val="16"/>
              </w:rPr>
              <w:t>development</w:t>
            </w:r>
          </w:p>
        </w:tc>
        <w:tc>
          <w:tcPr>
            <w:tcW w:w="1584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6C6D66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high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1661BC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24 months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090F0E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37.6%</w:t>
            </w:r>
          </w:p>
        </w:tc>
        <w:tc>
          <w:tcPr>
            <w:tcW w:w="1368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3B71FF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38</w:t>
            </w:r>
          </w:p>
        </w:tc>
        <w:tc>
          <w:tcPr>
            <w:tcW w:w="1584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D0562D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63</w:t>
            </w:r>
          </w:p>
        </w:tc>
      </w:tr>
      <w:tr w14:paraId="4B4D2D2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0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FA7436C">
            <w:pPr>
              <w:spacing w:after="0" w:line="240" w:lineRule="auto"/>
              <w:jc w:val="left"/>
            </w:pPr>
            <w:r>
              <w:rPr>
                <w:rFonts w:ascii="Times New Roman" w:hAnsi="Times New Roman"/>
                <w:b w:val="0"/>
                <w:sz w:val="16"/>
              </w:rPr>
              <w:t>pooled external</w:t>
            </w:r>
          </w:p>
        </w:tc>
        <w:tc>
          <w:tcPr>
            <w:tcW w:w="1584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F2D4D8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low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891E51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6 months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F4F10D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100.0%</w:t>
            </w:r>
          </w:p>
        </w:tc>
        <w:tc>
          <w:tcPr>
            <w:tcW w:w="1368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35132E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14</w:t>
            </w:r>
          </w:p>
        </w:tc>
        <w:tc>
          <w:tcPr>
            <w:tcW w:w="1584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4ADE04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0</w:t>
            </w:r>
          </w:p>
        </w:tc>
      </w:tr>
      <w:tr w14:paraId="3E8F6BA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0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1C23F7B">
            <w:pPr>
              <w:spacing w:after="0" w:line="240" w:lineRule="auto"/>
              <w:jc w:val="left"/>
            </w:pPr>
            <w:r>
              <w:rPr>
                <w:rFonts w:ascii="Times New Roman" w:hAnsi="Times New Roman"/>
                <w:b w:val="0"/>
                <w:sz w:val="16"/>
              </w:rPr>
              <w:t>pooled external</w:t>
            </w:r>
          </w:p>
        </w:tc>
        <w:tc>
          <w:tcPr>
            <w:tcW w:w="1584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4B05C6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low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22753A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12 months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DE080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100.0%</w:t>
            </w:r>
          </w:p>
        </w:tc>
        <w:tc>
          <w:tcPr>
            <w:tcW w:w="1368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712851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14</w:t>
            </w:r>
          </w:p>
        </w:tc>
        <w:tc>
          <w:tcPr>
            <w:tcW w:w="1584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1691F6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0</w:t>
            </w:r>
          </w:p>
        </w:tc>
      </w:tr>
      <w:tr w14:paraId="3603BEE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0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606229B">
            <w:pPr>
              <w:spacing w:after="0" w:line="240" w:lineRule="auto"/>
              <w:jc w:val="left"/>
            </w:pPr>
            <w:r>
              <w:rPr>
                <w:rFonts w:ascii="Times New Roman" w:hAnsi="Times New Roman"/>
                <w:b w:val="0"/>
                <w:sz w:val="16"/>
              </w:rPr>
              <w:t>pooled external</w:t>
            </w:r>
          </w:p>
        </w:tc>
        <w:tc>
          <w:tcPr>
            <w:tcW w:w="1584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45F3A0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low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5AE383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18 months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1D459E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92.9%</w:t>
            </w:r>
          </w:p>
        </w:tc>
        <w:tc>
          <w:tcPr>
            <w:tcW w:w="1368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966C42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13</w:t>
            </w:r>
          </w:p>
        </w:tc>
        <w:tc>
          <w:tcPr>
            <w:tcW w:w="1584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D322D0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1</w:t>
            </w:r>
          </w:p>
        </w:tc>
      </w:tr>
      <w:tr w14:paraId="7633441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0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C66AC50">
            <w:pPr>
              <w:spacing w:after="0" w:line="240" w:lineRule="auto"/>
              <w:jc w:val="left"/>
            </w:pPr>
            <w:r>
              <w:rPr>
                <w:rFonts w:ascii="Times New Roman" w:hAnsi="Times New Roman"/>
                <w:b w:val="0"/>
                <w:sz w:val="16"/>
              </w:rPr>
              <w:t>pooled external</w:t>
            </w:r>
          </w:p>
        </w:tc>
        <w:tc>
          <w:tcPr>
            <w:tcW w:w="1584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384238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low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4BAC80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24 months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699EE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92.9%</w:t>
            </w:r>
          </w:p>
        </w:tc>
        <w:tc>
          <w:tcPr>
            <w:tcW w:w="1368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FE72AF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13</w:t>
            </w:r>
          </w:p>
        </w:tc>
        <w:tc>
          <w:tcPr>
            <w:tcW w:w="1584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E329AA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1</w:t>
            </w:r>
          </w:p>
        </w:tc>
      </w:tr>
      <w:tr w14:paraId="1A6BABD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0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102258C">
            <w:pPr>
              <w:spacing w:after="0" w:line="240" w:lineRule="auto"/>
              <w:jc w:val="left"/>
            </w:pPr>
            <w:r>
              <w:rPr>
                <w:rFonts w:ascii="Times New Roman" w:hAnsi="Times New Roman"/>
                <w:b w:val="0"/>
                <w:sz w:val="16"/>
              </w:rPr>
              <w:t>pooled external</w:t>
            </w:r>
          </w:p>
        </w:tc>
        <w:tc>
          <w:tcPr>
            <w:tcW w:w="1584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5AE5DF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high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F7FF80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6 months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4CA406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97.6%</w:t>
            </w:r>
          </w:p>
        </w:tc>
        <w:tc>
          <w:tcPr>
            <w:tcW w:w="1368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CF511D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40</w:t>
            </w:r>
          </w:p>
        </w:tc>
        <w:tc>
          <w:tcPr>
            <w:tcW w:w="1584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21E162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1</w:t>
            </w:r>
          </w:p>
        </w:tc>
      </w:tr>
      <w:tr w14:paraId="06EA8EE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0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FEC1067">
            <w:pPr>
              <w:spacing w:after="0" w:line="240" w:lineRule="auto"/>
              <w:jc w:val="left"/>
            </w:pPr>
            <w:r>
              <w:rPr>
                <w:rFonts w:ascii="Times New Roman" w:hAnsi="Times New Roman"/>
                <w:b w:val="0"/>
                <w:sz w:val="16"/>
              </w:rPr>
              <w:t>pooled external</w:t>
            </w:r>
          </w:p>
        </w:tc>
        <w:tc>
          <w:tcPr>
            <w:tcW w:w="1584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4A52A4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high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2B3499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12 months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CFBC05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85.4%</w:t>
            </w:r>
          </w:p>
        </w:tc>
        <w:tc>
          <w:tcPr>
            <w:tcW w:w="1368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73ABBA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35</w:t>
            </w:r>
          </w:p>
        </w:tc>
        <w:tc>
          <w:tcPr>
            <w:tcW w:w="1584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C3997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6</w:t>
            </w:r>
          </w:p>
        </w:tc>
      </w:tr>
      <w:tr w14:paraId="309FC6C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0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000A992">
            <w:pPr>
              <w:spacing w:after="0" w:line="240" w:lineRule="auto"/>
              <w:jc w:val="left"/>
            </w:pPr>
            <w:r>
              <w:rPr>
                <w:rFonts w:ascii="Times New Roman" w:hAnsi="Times New Roman"/>
                <w:b w:val="0"/>
                <w:sz w:val="16"/>
              </w:rPr>
              <w:t>pooled external</w:t>
            </w:r>
          </w:p>
        </w:tc>
        <w:tc>
          <w:tcPr>
            <w:tcW w:w="1584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D7E516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high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E48476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18 months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49A192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65.9%</w:t>
            </w:r>
          </w:p>
        </w:tc>
        <w:tc>
          <w:tcPr>
            <w:tcW w:w="1368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24270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27</w:t>
            </w:r>
          </w:p>
        </w:tc>
        <w:tc>
          <w:tcPr>
            <w:tcW w:w="1584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09B565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14</w:t>
            </w:r>
          </w:p>
        </w:tc>
      </w:tr>
      <w:tr w14:paraId="16A9E94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0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05FBE5C">
            <w:pPr>
              <w:spacing w:after="0" w:line="240" w:lineRule="auto"/>
              <w:jc w:val="left"/>
            </w:pPr>
            <w:r>
              <w:rPr>
                <w:rFonts w:ascii="Times New Roman" w:hAnsi="Times New Roman"/>
                <w:b w:val="0"/>
                <w:sz w:val="16"/>
              </w:rPr>
              <w:t>pooled external</w:t>
            </w:r>
          </w:p>
        </w:tc>
        <w:tc>
          <w:tcPr>
            <w:tcW w:w="1584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6B0C0A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high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D380F1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24 months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224664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43.9%</w:t>
            </w:r>
          </w:p>
        </w:tc>
        <w:tc>
          <w:tcPr>
            <w:tcW w:w="1368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4DDCA6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18</w:t>
            </w:r>
          </w:p>
        </w:tc>
        <w:tc>
          <w:tcPr>
            <w:tcW w:w="1584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AD1384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23</w:t>
            </w:r>
          </w:p>
        </w:tc>
      </w:tr>
    </w:tbl>
    <w:p w14:paraId="133E71B9"/>
    <w:sectPr>
      <w:pgSz w:w="12240" w:h="15840"/>
      <w:pgMar w:top="1080" w:right="1008" w:bottom="1080" w:left="1008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9424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qFormat="1"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qFormat="1"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Theme="minorEastAsia" w:cstheme="minorBidi"/>
      <w:sz w:val="18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147</Words>
  <Characters>647</Characters>
  <Lines>0</Lines>
  <Paragraphs>0</Paragraphs>
  <TotalTime>0</TotalTime>
  <ScaleCrop>false</ScaleCrop>
  <LinksUpToDate>false</LinksUpToDate>
  <CharactersWithSpaces>691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黄加铭</cp:lastModifiedBy>
  <dcterms:modified xsi:type="dcterms:W3CDTF">2026-06-28T02:18:35Z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eyJoZGlkIjoiZjllNDQ3YjMyNjA0ZTNmOTg4ZTFmNjg3NGE5NGQyODQiLCJ1c2VySWQiOiIxMDQwNzIwOTQ0In0=</vt:lpwstr>
  </property>
  <property fmtid="{D5CDD505-2E9C-101B-9397-08002B2CF9AE}" pid="3" name="KSOProductBuildVer">
    <vt:lpwstr>2052-12.1.0.26895</vt:lpwstr>
  </property>
  <property fmtid="{D5CDD505-2E9C-101B-9397-08002B2CF9AE}" pid="4" name="ICV">
    <vt:lpwstr>3C7F94D0D7B44B059FEA42DAA95D5893_12</vt:lpwstr>
  </property>
</Properties>
</file>