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AC28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3442970"/>
            <wp:effectExtent l="0" t="0" r="22225" b="11430"/>
            <wp:docPr id="1" name="图片 1" descr="Fig_SimpleSlopes_Comb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_SimpleSlopes_Combined"/>
                    <pic:cNvPicPr>
                      <a:picLocks noChangeAspect="1"/>
                    </pic:cNvPicPr>
                  </pic:nvPicPr>
                  <pic:blipFill>
                    <a:blip r:embed="rId4"/>
                    <a:srcRect l="3543" t="7741" r="3591" b="686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9223BA3">
      <w:pPr>
        <w:spacing w:line="360" w:lineRule="auto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Figure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. Moderation analysis: simple slopes of rural life proportion on cognitive outcomes at three levels of education.</w:t>
      </w:r>
    </w:p>
    <w:p w14:paraId="080784AB"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Each panel displays predicted values from the moderation model at −1 SD (7.9 years, red solid line), mean (11.0 years, blue dashed line), and +1 SD (14.1 years, green dotted line) of years of education. Outcomes shown are (a) naming total score, (b) total completion time, (c) first-minute correct count, (d) first-minute naming accuracy rate, (e) MMSE score, and (f) Design Fluency score. The interaction p-value for each model is annotated in the upper left of each panel. No significant education × rural life proportion interaction was observed for any outcome (all p &gt; 0.10).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BA276F"/>
    <w:rsid w:val="1FE7ABEC"/>
    <w:rsid w:val="34799982"/>
    <w:rsid w:val="47F7DF19"/>
    <w:rsid w:val="6FFC9845"/>
    <w:rsid w:val="E9777E1A"/>
    <w:rsid w:val="FBBA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2026-04-11T16:18:00Z</dcterms:created>
  <dc:creator>周国钰</dc:creator>
  <cp:lastModifiedBy>周国钰</cp:lastModifiedBy>
  <dcterms:modified xsi:type="dcterms:W3CDTF">2026-06-20T19:38:05Z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E15348E3E7DE88048AE42A6ABFCBC389_43</vt:lpwstr>
  </property>
</Properties>
</file>