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ACB6A">
      <w:pPr>
        <w:spacing w:after="100"/>
        <w:jc w:val="left"/>
        <w:rPr>
          <w:rFonts w:ascii="Times New Roman Bold" w:hAnsi="Times New Roman Bold" w:cs="Times New Roman Bold"/>
          <w:b/>
          <w:sz w:val="21"/>
          <w:szCs w:val="21"/>
        </w:rPr>
      </w:pPr>
      <w:r>
        <w:rPr>
          <w:rFonts w:ascii="Arial Bold" w:hAnsi="Arial Bold" w:eastAsia="Arial" w:cs="Arial Bold"/>
          <w:b/>
          <w:bCs w:val="0"/>
          <w:color w:val="000000"/>
          <w:sz w:val="21"/>
          <w:szCs w:val="21"/>
        </w:rPr>
        <w:t xml:space="preserve">Supplementary Table S2. </w:t>
      </w:r>
      <w:r>
        <w:rPr>
          <w:rFonts w:ascii="Arial" w:hAnsi="Arial" w:eastAsia="Arial" w:cs="Arial"/>
          <w:b w:val="0"/>
          <w:color w:val="000000"/>
          <w:sz w:val="21"/>
          <w:szCs w:val="21"/>
        </w:rPr>
        <w:t>Moderation analysis: interaction between rural life proportion and years of education on cognitive outcomes</w:t>
      </w:r>
    </w:p>
    <w:tbl>
      <w:tblPr>
        <w:tblStyle w:val="10"/>
        <w:tblW w:w="13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87"/>
        <w:gridCol w:w="1328"/>
        <w:gridCol w:w="1859"/>
        <w:gridCol w:w="1328"/>
        <w:gridCol w:w="1859"/>
        <w:gridCol w:w="1859"/>
        <w:gridCol w:w="1859"/>
      </w:tblGrid>
      <w:tr w14:paraId="61782B47">
        <w:trPr>
          <w:tblHeader/>
        </w:trPr>
        <w:tc>
          <w:tcPr>
            <w:tcW w:w="3187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D3AFBF3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bookmarkStart w:id="0" w:name="_GoBack"/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Outcome</w:t>
            </w:r>
          </w:p>
        </w:tc>
        <w:tc>
          <w:tcPr>
            <w:tcW w:w="1328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D351F14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ΔR²</w:t>
            </w:r>
          </w:p>
        </w:tc>
        <w:tc>
          <w:tcPr>
            <w:tcW w:w="1859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C72EAE6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B (interaction)</w:t>
            </w:r>
          </w:p>
        </w:tc>
        <w:tc>
          <w:tcPr>
            <w:tcW w:w="1328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5A3F72AA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p</w:t>
            </w:r>
          </w:p>
        </w:tc>
        <w:tc>
          <w:tcPr>
            <w:tcW w:w="1859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CD0AAA2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Simple slope −1 SD (7.9 yrs)</w:t>
            </w:r>
          </w:p>
        </w:tc>
        <w:tc>
          <w:tcPr>
            <w:tcW w:w="1859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08011456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Simple slope Mean (11.0 yrs)</w:t>
            </w:r>
          </w:p>
        </w:tc>
        <w:tc>
          <w:tcPr>
            <w:tcW w:w="1859" w:type="dxa"/>
            <w:tcBorders>
              <w:top w:val="single" w:color="000000" w:sz="10" w:space="0"/>
              <w:left w:val="nil"/>
              <w:bottom w:val="single" w:color="000000" w:sz="4" w:space="0"/>
              <w:right w:val="nil"/>
            </w:tcBorders>
            <w:shd w:val="clear" w:color="auto" w:fill="F2F2F2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F955CFC">
            <w:pPr>
              <w:jc w:val="center"/>
              <w:rPr>
                <w:rFonts w:hint="default" w:ascii="Arial Bold" w:hAnsi="Arial Bold" w:eastAsia="宋体" w:cs="Arial Bold"/>
                <w:b/>
                <w:bCs/>
              </w:rPr>
            </w:pPr>
            <w:r>
              <w:rPr>
                <w:rFonts w:hint="default" w:ascii="Arial Bold" w:hAnsi="Arial Bold" w:eastAsia="宋体" w:cs="Arial Bold"/>
                <w:b/>
                <w:bCs/>
                <w:sz w:val="19"/>
                <w:szCs w:val="19"/>
              </w:rPr>
              <w:t>Simple slope +1 SD (14.1 yrs)</w:t>
            </w:r>
          </w:p>
        </w:tc>
      </w:tr>
      <w:bookmarkEnd w:id="0"/>
      <w:tr w14:paraId="45D48BD4"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58EB31F4">
            <w:r>
              <w:rPr>
                <w:sz w:val="19"/>
                <w:szCs w:val="19"/>
              </w:rPr>
              <w:t>RNT-C Total score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56843A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0.00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829985D">
            <w:pPr>
              <w:jc w:val="center"/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616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B3C0D4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0.4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357621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5.876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5313EFF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3.975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5568F39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2.074</w:t>
            </w:r>
          </w:p>
        </w:tc>
      </w:tr>
      <w:tr w14:paraId="2E447E8F"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05E92263">
            <w:r>
              <w:rPr>
                <w:sz w:val="19"/>
                <w:szCs w:val="19"/>
              </w:rPr>
              <w:t>RNT-C Total time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0B08FD57">
            <w:pPr>
              <w:jc w:val="center"/>
            </w:pPr>
            <w:r>
              <w:rPr>
                <w:sz w:val="19"/>
                <w:szCs w:val="19"/>
              </w:rPr>
              <w:t>0.00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394547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2</w:t>
            </w:r>
            <w:r>
              <w:rPr>
                <w:sz w:val="19"/>
                <w:szCs w:val="19"/>
              </w:rPr>
              <w:t>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034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1FF57F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573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1E4324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56.073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1B5A50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49.793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4CA7D24">
            <w:pPr>
              <w:jc w:val="center"/>
            </w:pPr>
            <w:r>
              <w:rPr>
                <w:sz w:val="19"/>
                <w:szCs w:val="19"/>
              </w:rPr>
              <w:t>4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3.514</w:t>
            </w:r>
          </w:p>
        </w:tc>
      </w:tr>
      <w:tr w14:paraId="130C47C3"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1CD1803">
            <w:r>
              <w:rPr>
                <w:sz w:val="19"/>
                <w:szCs w:val="19"/>
              </w:rPr>
              <w:t>First-min RNT-C correct count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A071DEE">
            <w:pPr>
              <w:jc w:val="center"/>
            </w:pPr>
            <w:r>
              <w:rPr>
                <w:sz w:val="19"/>
                <w:szCs w:val="19"/>
              </w:rPr>
              <w:t>0.00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AA1E6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1</w:t>
            </w:r>
            <w:r>
              <w:rPr>
                <w:sz w:val="19"/>
                <w:szCs w:val="19"/>
              </w:rPr>
              <w:t>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091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A57D90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0.3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15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03DE52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−18.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505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89A4C0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−1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5.137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33F921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−1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1.768</w:t>
            </w:r>
          </w:p>
        </w:tc>
      </w:tr>
      <w:tr w14:paraId="30EDDCBB"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4EEEC08">
            <w:r>
              <w:rPr>
                <w:sz w:val="19"/>
                <w:szCs w:val="19"/>
              </w:rPr>
              <w:t>First-min RNT-C accuracy rate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DD7BCB4">
            <w:pPr>
              <w:jc w:val="center"/>
            </w:pPr>
            <w:r>
              <w:rPr>
                <w:sz w:val="19"/>
                <w:szCs w:val="19"/>
              </w:rPr>
              <w:t>0.000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63900C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0.002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EA0147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863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564D096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0.072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7DF5863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0.066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2439C2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0.061</w:t>
            </w:r>
          </w:p>
        </w:tc>
      </w:tr>
      <w:tr w14:paraId="761A21E2">
        <w:tc>
          <w:tcPr>
            <w:tcW w:w="31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E869D7D">
            <w:r>
              <w:rPr>
                <w:sz w:val="19"/>
                <w:szCs w:val="19"/>
              </w:rPr>
              <w:t>MMSE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F8DB119">
            <w:pPr>
              <w:jc w:val="center"/>
            </w:pPr>
            <w:r>
              <w:rPr>
                <w:sz w:val="19"/>
                <w:szCs w:val="19"/>
              </w:rPr>
              <w:t>0.02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101051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0.2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67BCD96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107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112D98D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sz w:val="19"/>
                <w:szCs w:val="19"/>
              </w:rPr>
              <w:t>−0.90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1EE994A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−0.2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51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4260A3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401</w:t>
            </w:r>
          </w:p>
        </w:tc>
      </w:tr>
      <w:tr w14:paraId="035116DA">
        <w:tc>
          <w:tcPr>
            <w:tcW w:w="3187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C628D1C">
            <w:r>
              <w:rPr>
                <w:sz w:val="19"/>
                <w:szCs w:val="19"/>
              </w:rPr>
              <w:t>Design fluency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017D0058">
            <w:pPr>
              <w:jc w:val="center"/>
            </w:pPr>
            <w:r>
              <w:rPr>
                <w:sz w:val="19"/>
                <w:szCs w:val="19"/>
              </w:rPr>
              <w:t>0.00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0847FA7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−0.2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96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3E5ED409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472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E9DBEB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0.3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09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204E702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−0.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605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000000" w:sz="10" w:space="0"/>
              <w:right w:val="nil"/>
            </w:tcBorders>
            <w:shd w:val="clear" w:color="auto" w:fill="FAFAFA"/>
            <w:tcMar>
              <w:top w:w="72" w:type="dxa"/>
              <w:left w:w="110" w:type="dxa"/>
              <w:bottom w:w="72" w:type="dxa"/>
              <w:right w:w="110" w:type="dxa"/>
            </w:tcMar>
            <w:vAlign w:val="center"/>
          </w:tcPr>
          <w:p w14:paraId="4F5F60B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sz w:val="19"/>
                <w:szCs w:val="19"/>
              </w:rPr>
              <w:t>−1.</w:t>
            </w:r>
            <w:r>
              <w:rPr>
                <w:rFonts w:hint="eastAsia" w:eastAsia="宋体"/>
                <w:sz w:val="19"/>
                <w:szCs w:val="19"/>
                <w:lang w:val="en-US" w:eastAsia="zh-CN"/>
              </w:rPr>
              <w:t>519</w:t>
            </w:r>
          </w:p>
        </w:tc>
      </w:tr>
    </w:tbl>
    <w:p w14:paraId="395C7FAE">
      <w:pPr>
        <w:spacing w:before="80" w:after="80"/>
        <w:jc w:val="lef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 xml:space="preserve">Note. Interaction term = rural life proportion × years of education (both mean-centred prior to computing the product term). All models adjusted for sex, occupational category, household income, and MMSE (MMSE model excludes MMSE as a covariate). ΔR² = incremental variance in the outcome explained by adding the interaction term. Simple slopes represent the association between rural life proportion and each outcome at −1 SD, mean, and +1 SD of years of education. </w:t>
      </w:r>
      <w:r>
        <w:rPr>
          <w:i/>
          <w:iCs/>
          <w:color w:val="333333"/>
          <w:sz w:val="18"/>
          <w:szCs w:val="18"/>
        </w:rPr>
        <w:t>p</w:t>
      </w:r>
      <w:r>
        <w:rPr>
          <w:color w:val="333333"/>
          <w:sz w:val="18"/>
          <w:szCs w:val="18"/>
        </w:rPr>
        <w:t> &lt; 0.05 considered statistically significant. None of the interaction terms reached statistical significance.</w:t>
      </w:r>
    </w:p>
    <w:sectPr>
      <w:pgSz w:w="15840" w:h="12240"/>
      <w:pgMar w:top="1080" w:right="1080" w:bottom="1080" w:left="108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7C"/>
    <w:rsid w:val="00640D5B"/>
    <w:rsid w:val="00B81FB8"/>
    <w:rsid w:val="00BB0F7C"/>
    <w:rsid w:val="5EF6180A"/>
    <w:rsid w:val="7DFFB2AD"/>
    <w:rsid w:val="C6EF6DB2"/>
    <w:rsid w:val="D6DB7110"/>
    <w:rsid w:val="F91ABA9E"/>
    <w:rsid w:val="FDDEC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2"/>
      <w:szCs w:val="22"/>
      <w:lang w:val="zh-CN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="Times New Roman" w:hAnsi="Times New Roman" w:eastAsia="Times New Roman" w:cs="Times New Roman"/>
      <w:color w:val="2E74B5"/>
      <w:sz w:val="32"/>
      <w:szCs w:val="32"/>
      <w:lang w:val="zh-CN" w:eastAsia="zh-CN" w:bidi="ar-SA"/>
    </w:rPr>
  </w:style>
  <w:style w:type="paragraph" w:styleId="3">
    <w:name w:val="heading 2"/>
    <w:next w:val="1"/>
    <w:qFormat/>
    <w:uiPriority w:val="0"/>
    <w:pPr>
      <w:outlineLvl w:val="1"/>
    </w:pPr>
    <w:rPr>
      <w:rFonts w:ascii="Times New Roman" w:hAnsi="Times New Roman" w:eastAsia="Times New Roman" w:cs="Times New Roman"/>
      <w:color w:val="2E74B5"/>
      <w:sz w:val="26"/>
      <w:szCs w:val="26"/>
      <w:lang w:val="zh-CN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="Times New Roman" w:hAnsi="Times New Roman" w:eastAsia="Times New Roman" w:cs="Times New Roman"/>
      <w:color w:val="1F4D78"/>
      <w:sz w:val="24"/>
      <w:szCs w:val="24"/>
      <w:lang w:val="zh-CN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="Times New Roman" w:hAnsi="Times New Roman" w:eastAsia="Times New Roman" w:cs="Times New Roman"/>
      <w:i/>
      <w:iCs/>
      <w:color w:val="2E74B5"/>
      <w:sz w:val="22"/>
      <w:szCs w:val="22"/>
      <w:lang w:val="zh-CN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="Times New Roman" w:hAnsi="Times New Roman" w:eastAsia="Times New Roman" w:cs="Times New Roman"/>
      <w:color w:val="2E74B5"/>
      <w:sz w:val="22"/>
      <w:szCs w:val="22"/>
      <w:lang w:val="zh-CN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="Times New Roman" w:hAnsi="Times New Roman" w:eastAsia="Times New Roman" w:cs="Times New Roman"/>
      <w:color w:val="1F4D78"/>
      <w:sz w:val="22"/>
      <w:szCs w:val="22"/>
      <w:lang w:val="zh-CN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rPr>
      <w:rFonts w:ascii="Times New Roman" w:hAnsi="Times New Roman" w:eastAsia="Times New Roman" w:cs="Times New Roman"/>
      <w:lang w:val="zh-CN" w:eastAsia="zh-CN" w:bidi="ar-SA"/>
    </w:rPr>
  </w:style>
  <w:style w:type="paragraph" w:styleId="9">
    <w:name w:val="Title"/>
    <w:qFormat/>
    <w:uiPriority w:val="0"/>
    <w:rPr>
      <w:rFonts w:ascii="Times New Roman" w:hAnsi="Times New Roman" w:eastAsia="Times New Roman" w:cs="Times New Roman"/>
      <w:sz w:val="56"/>
      <w:szCs w:val="56"/>
      <w:lang w:val="zh-CN" w:eastAsia="zh-CN" w:bidi="ar-SA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Times New Roman" w:cs="Times New Roman"/>
      <w:sz w:val="22"/>
      <w:szCs w:val="22"/>
      <w:lang w:val="zh-CN" w:eastAsia="zh-CN" w:bidi="ar-SA"/>
    </w:rPr>
  </w:style>
  <w:style w:type="character" w:customStyle="1" w:styleId="15">
    <w:name w:val="Footnote Text Char"/>
    <w:link w:val="8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1011</Characters>
  <Lines>8</Lines>
  <Paragraphs>2</Paragraphs>
  <TotalTime>9</TotalTime>
  <ScaleCrop>false</ScaleCrop>
  <LinksUpToDate>false</LinksUpToDate>
  <CharactersWithSpaces>1186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2026-06-12T22:51:00Z</dcterms:created>
  <dc:creator>Un-named</dc:creator>
  <cp:lastModifiedBy>周国钰</cp:lastModifiedBy>
  <dcterms:modified xsi:type="dcterms:W3CDTF">2026-06-28T12:34:15Z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D01429A60703869CCEE42A6A4BC51FE0_43</vt:lpwstr>
  </property>
</Properties>
</file>