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CONSORT 2025 Checklist</w:t>
      </w:r>
    </w:p>
    <w:p>
      <w:pPr>
        <w:spacing w:after="4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Manuscript: “Precision of Femoral Reconstruction in Short-Stem versus Conventional-Stem Total Hip Arthroplasty: A Randomised Clinical Trial Comparing Two Implant Philosophies.”</w:t>
      </w:r>
    </w:p>
    <w:p>
      <w:pPr>
        <w:spacing w:after="120"/>
      </w:pPr>
      <w:r>
        <w:rPr>
          <w:rFonts w:ascii="Arial" w:cs="Arial" w:eastAsia="Arial" w:hAnsi="Arial"/>
          <w:sz w:val="15"/>
          <w:szCs w:val="15"/>
        </w:rPr>
        <w:t xml:space="preserve">Locations refer to the continuous line numbers of the manuscript (version 2026-07-01). The trial reported here is a two-arm, parallel-group, 1:1 randomised controlled trial. Reference: Hopewell S, et al. CONSORT 2025 statement. BMJ/JAMA/Lancet/Nat Med/PLoS Med 2025.</w:t>
      </w:r>
    </w:p>
    <w:tbl>
      <w:tblPr>
        <w:tblW w:type="dxa" w:w="98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00"/>
        <w:gridCol w:w="6360"/>
        <w:gridCol w:w="1300"/>
      </w:tblGrid>
      <w:tr>
        <w:trPr>
          <w:tblHeader/>
        </w:trP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Section/Topic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Item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Checklist item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Reported (line no.)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Title &amp; abstract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Identification as a randomised trial in the title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Title (line 1)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Structured summary of trial design, methods, results, and conclusions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Abstract (line 16)*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Open science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Name of trial registry, identifying number (with URL) and date of registration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67–69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3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Where the trial protocol and statistical analysis plan can be accessed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Data Availability (added)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4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Where and how the individual de-identified participant data, statistical code and other materials can be accessed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Data Availability (line 342)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5a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Sources of funding and other support, and role of funders in the design, conduct, analysis and reporting of the trial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Funding (lines 256–258)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5b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Financial and other conflicts of interest of the manuscript authors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Competing interests (added)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Introduction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6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Scientific background and rationale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Introduction (lines 41–57)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7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Specific objectives related to benefits and harms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Introduction (lines 58–62)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Methods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8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Details of patient or public involvement in the design, conduct and reporting of the trial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No PPI (not applicable)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9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Description of trial design, including type of trial, allocation ratio, and framework (e.g., superiority, exploratory)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66, 76–79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10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Important changes to the trial after it commenced, with reasons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None (n/a)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11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Settings and locations where the trial was conducted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66, 72, 89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12a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Eligibility criteria for participants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72–76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12b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If applicable, eligibility criteria for sites and for individuals delivering the interventions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72 (single surgeon)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13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Intervention and comparator with sufficient detail to allow replication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86–96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14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Prespecified primary and secondary outcomes, including measurement variable, analysis metric, aggregation and time point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Outcomes (lines 99–104)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15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How harms were defined and assessed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104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16a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How sample size was determined, including all assumptions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Sample size (lines 145–152)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16b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Explanation of any interim analyses and stopping guidelines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None (n/a)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17a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Who generated the random allocation sequence and the method used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78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17b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Type of randomisation; details of any restriction (e.g., stratification, blocking)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78 (simple, unrestricted)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18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Mechanism used to implement the allocation sequence, and steps to conceal it until assignment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82–83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19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Whether personnel who enrolled and assigned participants had access to the allocation sequence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82–83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20a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Who was blinded after assignment (participants, providers, outcome assessors, data analysts)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83–84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20b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If blinded, how blinding was achieved and similarity of interventions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84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21a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Statistical methods used to compare groups for primary and secondary outcomes, including harms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Statistical analysis (lines 117–141)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21b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Definition of who is included in each analysis, and in which group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79–81, 117–141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21c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How missing data were handled in the analysis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Statistical analysis (added)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21d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Methods for any additional analyses, distinguishing prespecified from post hoc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133–141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Results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22a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For each group, numbers randomly assigned, receiving intended intervention, and analysed for the primary outcome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155–162; Figure 1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22b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For each group, losses and exclusions after randomisation, with reasons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156–161; Figure 1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23a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Dates defining periods of recruitment and follow-up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72, 155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23b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If relevant, why the trial ended or was stopped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n/a (completed as planned)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24a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Intervention and comparator as actually administered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86–96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24b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Concomitant care received during the trial for each group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89–90 (added; JP to confirm)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25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 table showing baseline demographic and clinical characteristics for each group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Table 1 (line 162)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26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For each outcome: number analysed, number with available data, result per group, effect size and precision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163–176; Tables 3–4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27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All harms or unintended events in each group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 180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28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Any other analyses performed, distinguishing prespecified from post hoc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Lines 168–176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Discussion</w:t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29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Interpretation consistent with results, balancing benefits and harms, considering other evidence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Discussion (lines 184–245)</w:t>
            </w:r>
          </w:p>
        </w:tc>
      </w:tr>
      <w:tr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30</w:t>
            </w:r>
          </w:p>
        </w:tc>
        <w:tc>
          <w:tcPr>
            <w:tcW w:type="dxa" w:w="6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Trial limitations: sources of bias, imprecision, generalisability, and multiplicity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line="23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Limitations (lines 237–245)</w:t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Notes</w:t>
      </w:r>
    </w:p>
    <w:p>
      <w:pPr>
        <w:spacing w:after="30"/>
      </w:pPr>
      <w:r>
        <w:rPr>
          <w:rFonts w:ascii="Arial" w:cs="Arial" w:eastAsia="Arial" w:hAnsi="Arial"/>
          <w:sz w:val="15"/>
          <w:szCs w:val="15"/>
        </w:rPr>
        <w:t xml:space="preserve">Items 2, 3, 5a, 5b, 21c and 24b were added to the manuscript as tracked changes (2026-07-10 revised version). Item 8 (patient/public involvement): no PPI, marked not applicable. Line numbers should be reconfirmed after the tracked changes are accepted.</w:t>
      </w:r>
    </w:p>
    <w:p>
      <w:pPr>
        <w:spacing w:after="30"/>
      </w:pPr>
      <w:r>
        <w:rPr>
          <w:rFonts w:ascii="Arial" w:cs="Arial" w:eastAsia="Arial" w:hAnsi="Arial"/>
          <w:sz w:val="15"/>
          <w:szCs w:val="15"/>
        </w:rPr>
        <w:t xml:space="preserve">*  Scientific Reports uses a single-paragraph (unstructured) abstract; all CONSORT abstract elements are covered within it.</w:t>
      </w:r>
    </w:p>
    <w:p>
      <w:pPr>
        <w:spacing w:after="20"/>
      </w:pPr>
      <w:r>
        <w:rPr>
          <w:rFonts w:ascii="Arial" w:cs="Arial" w:eastAsia="Arial" w:hAnsi="Arial"/>
          <w:sz w:val="15"/>
          <w:szCs w:val="15"/>
        </w:rPr>
        <w:t xml:space="preserve">Item 5a (funder role) is drafted with two alternative wordings (Option A / Option B) — the authors should select one and delete the other.</w:t>
      </w:r>
    </w:p>
    <w:p>
      <w:pPr>
        <w:spacing w:after="20"/>
      </w:pPr>
      <w:r>
        <w:rPr>
          <w:rFonts w:ascii="Arial" w:cs="Arial" w:eastAsia="Arial" w:hAnsi="Arial"/>
          <w:sz w:val="15"/>
          <w:szCs w:val="15"/>
        </w:rPr>
        <w:t xml:space="preserve">Item 5b (competing interests) now states S. Meller’s speaker honoraria from Artiqo GmbH; all other authors declare none. Item 24b (concomitant care) carries a margin comment for JP to confirm/expand the peri-operative protocol.</w:t>
      </w:r>
    </w:p>
    <w:sectPr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2026-07-10T16:13:26.305Z</dcterms:created>
  <dcterms:modified xsi:type="dcterms:W3CDTF">2026-07-10T16:13:26.305Z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