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64AA" w14:textId="0F1D877F" w:rsidR="00DA0AB4" w:rsidRDefault="00DA0AB4" w:rsidP="00DA0AB4">
      <w:pPr>
        <w:pStyle w:val="Ttulo"/>
      </w:pPr>
      <w:r w:rsidRPr="002D04E3">
        <w:t xml:space="preserve">Title: </w:t>
      </w:r>
      <w:r w:rsidR="00B92B25" w:rsidRPr="002D04E3">
        <w:t>Global warming increases lightning activity</w:t>
      </w:r>
      <w:r w:rsidR="00B92B25">
        <w:t xml:space="preserve"> over Brazil</w:t>
      </w:r>
      <w:r w:rsidR="00B92B25" w:rsidRPr="002D04E3">
        <w:t xml:space="preserve"> regardless of cloud ice content trends in a GCM</w:t>
      </w:r>
    </w:p>
    <w:p w14:paraId="1F210E84" w14:textId="77777777" w:rsidR="00B92B25" w:rsidRPr="00B92B25" w:rsidRDefault="00B92B25" w:rsidP="00B92B25"/>
    <w:p w14:paraId="5AC0285C" w14:textId="113F99E3" w:rsidR="00DA0AB4" w:rsidRPr="00A6075E" w:rsidRDefault="00DA0AB4" w:rsidP="00DA0AB4">
      <w:pPr>
        <w:pStyle w:val="Ttulo"/>
      </w:pPr>
      <w:r w:rsidRPr="00A6075E">
        <w:t>Supplementary Material</w:t>
      </w:r>
    </w:p>
    <w:p w14:paraId="2C60BD15" w14:textId="77777777" w:rsidR="00DA0AB4" w:rsidRDefault="00DA0AB4"/>
    <w:p w14:paraId="6DFDEF8F" w14:textId="6AA46013" w:rsidR="00DA0AB4" w:rsidRPr="003C4132" w:rsidRDefault="003C4132">
      <w:pPr>
        <w:rPr>
          <w:b/>
          <w:bCs/>
          <w:sz w:val="24"/>
        </w:rPr>
      </w:pPr>
      <w:r w:rsidRPr="003C4132">
        <w:rPr>
          <w:b/>
          <w:bCs/>
          <w:sz w:val="24"/>
        </w:rPr>
        <w:t>Summary</w:t>
      </w:r>
    </w:p>
    <w:p w14:paraId="58103DEB" w14:textId="301BD4FC" w:rsidR="00EE48C2" w:rsidRDefault="00EE48C2" w:rsidP="006E7DD1">
      <w:pPr>
        <w:pStyle w:val="PargrafodaLista"/>
        <w:numPr>
          <w:ilvl w:val="0"/>
          <w:numId w:val="2"/>
        </w:numPr>
      </w:pPr>
      <w:r>
        <w:t>Supplementary Introduction</w:t>
      </w:r>
    </w:p>
    <w:p w14:paraId="1AC27091" w14:textId="0F26A18C" w:rsidR="00DA0AB4" w:rsidRDefault="006E7DD1" w:rsidP="006E7DD1">
      <w:pPr>
        <w:pStyle w:val="PargrafodaLista"/>
        <w:numPr>
          <w:ilvl w:val="0"/>
          <w:numId w:val="2"/>
        </w:numPr>
      </w:pPr>
      <w:r>
        <w:t>Supplementary Methods</w:t>
      </w:r>
    </w:p>
    <w:p w14:paraId="7B990FAD" w14:textId="76A169A2" w:rsidR="006E7DD1" w:rsidRDefault="006E7DD1" w:rsidP="006E7DD1">
      <w:pPr>
        <w:pStyle w:val="PargrafodaLista"/>
        <w:numPr>
          <w:ilvl w:val="0"/>
          <w:numId w:val="2"/>
        </w:numPr>
      </w:pPr>
      <w:r>
        <w:t>Supplementary Results</w:t>
      </w:r>
    </w:p>
    <w:p w14:paraId="320CC1F9" w14:textId="6702FDDC" w:rsidR="00BA2C26" w:rsidRDefault="00BA2C26" w:rsidP="006E7DD1">
      <w:pPr>
        <w:pStyle w:val="PargrafodaLista"/>
        <w:numPr>
          <w:ilvl w:val="0"/>
          <w:numId w:val="2"/>
        </w:numPr>
      </w:pPr>
      <w:r>
        <w:t>Supplementary References</w:t>
      </w:r>
    </w:p>
    <w:p w14:paraId="16D81F38" w14:textId="77777777" w:rsidR="00DA0AB4" w:rsidRDefault="00DA0AB4"/>
    <w:p w14:paraId="4BCB9FA1" w14:textId="77777777" w:rsidR="00DA0AB4" w:rsidRDefault="00DA0AB4"/>
    <w:p w14:paraId="2277614A" w14:textId="77777777" w:rsidR="00DA0AB4" w:rsidRDefault="00DA0AB4"/>
    <w:p w14:paraId="5A7C578F" w14:textId="77777777" w:rsidR="00DA0AB4" w:rsidRDefault="00DA0AB4"/>
    <w:p w14:paraId="64DE3DFC" w14:textId="77777777" w:rsidR="00DA0AB4" w:rsidRDefault="00DA0AB4"/>
    <w:p w14:paraId="0A62D1D8" w14:textId="77777777" w:rsidR="00DA0AB4" w:rsidRDefault="00DA0AB4"/>
    <w:p w14:paraId="0A2FB856" w14:textId="77777777" w:rsidR="00DA0AB4" w:rsidRDefault="00DA0AB4"/>
    <w:p w14:paraId="15033893" w14:textId="77777777" w:rsidR="00DA0AB4" w:rsidRDefault="00DA0AB4"/>
    <w:p w14:paraId="161016CA" w14:textId="77777777" w:rsidR="00DA0AB4" w:rsidRDefault="00DA0AB4"/>
    <w:p w14:paraId="3DC614EA" w14:textId="77777777" w:rsidR="00DA0AB4" w:rsidRDefault="00DA0AB4"/>
    <w:p w14:paraId="41399A8D" w14:textId="77777777" w:rsidR="00DA0AB4" w:rsidRDefault="00DA0AB4"/>
    <w:p w14:paraId="03929B26" w14:textId="77777777" w:rsidR="00DA0AB4" w:rsidRDefault="00DA0AB4"/>
    <w:p w14:paraId="334ED2AE" w14:textId="77777777" w:rsidR="00DA0AB4" w:rsidRDefault="00DA0AB4"/>
    <w:p w14:paraId="16AB5E70" w14:textId="77777777" w:rsidR="00DA0AB4" w:rsidRDefault="00DA0AB4"/>
    <w:p w14:paraId="5B9B0667" w14:textId="77777777" w:rsidR="00DA0AB4" w:rsidRDefault="00DA0AB4"/>
    <w:p w14:paraId="19EE787F" w14:textId="77777777" w:rsidR="00DA0AB4" w:rsidRDefault="00DA0AB4"/>
    <w:p w14:paraId="3819C8B0" w14:textId="77777777" w:rsidR="00DA0AB4" w:rsidRDefault="00DA0AB4"/>
    <w:p w14:paraId="3A15664E" w14:textId="77777777" w:rsidR="00DA0AB4" w:rsidRDefault="00DA0AB4"/>
    <w:p w14:paraId="2C2D841E" w14:textId="77777777" w:rsidR="00DA0AB4" w:rsidRDefault="00DA0AB4"/>
    <w:p w14:paraId="3A43A2F1" w14:textId="77777777" w:rsidR="00DA0AB4" w:rsidRDefault="00DA0AB4"/>
    <w:p w14:paraId="7E6280C4" w14:textId="77777777" w:rsidR="0074009E" w:rsidRDefault="0074009E"/>
    <w:p w14:paraId="302DA0A2" w14:textId="77777777" w:rsidR="0074009E" w:rsidRDefault="0074009E"/>
    <w:p w14:paraId="2C08A7A1" w14:textId="77777777" w:rsidR="0074009E" w:rsidRDefault="0074009E"/>
    <w:p w14:paraId="188B08DA" w14:textId="77777777" w:rsidR="0074009E" w:rsidRDefault="0074009E"/>
    <w:p w14:paraId="10F5A8BC" w14:textId="77777777" w:rsidR="0074009E" w:rsidRDefault="0074009E"/>
    <w:p w14:paraId="45B1C7C9" w14:textId="77777777" w:rsidR="0074009E" w:rsidRDefault="0074009E"/>
    <w:p w14:paraId="0DB22AAE" w14:textId="77777777" w:rsidR="00DA0AB4" w:rsidRDefault="00DA0AB4"/>
    <w:p w14:paraId="56AD37A6" w14:textId="00DEF4EC" w:rsidR="00CA6AD5" w:rsidRDefault="00CA6AD5" w:rsidP="00CA6AD5">
      <w:pPr>
        <w:pStyle w:val="PargrafodaLista"/>
        <w:numPr>
          <w:ilvl w:val="0"/>
          <w:numId w:val="1"/>
        </w:numPr>
        <w:ind w:left="284" w:hanging="284"/>
        <w:rPr>
          <w:b/>
          <w:bCs/>
          <w:sz w:val="24"/>
        </w:rPr>
      </w:pPr>
      <w:r w:rsidRPr="001F3BC6">
        <w:rPr>
          <w:b/>
          <w:bCs/>
          <w:sz w:val="24"/>
        </w:rPr>
        <w:lastRenderedPageBreak/>
        <w:t xml:space="preserve">Supplementary </w:t>
      </w:r>
      <w:r>
        <w:rPr>
          <w:b/>
          <w:bCs/>
          <w:sz w:val="24"/>
        </w:rPr>
        <w:t>Introduction</w:t>
      </w:r>
    </w:p>
    <w:p w14:paraId="60342B70" w14:textId="4D588EEF" w:rsidR="008242CF" w:rsidRDefault="00D30481" w:rsidP="000C2BEF">
      <w:pPr>
        <w:spacing w:line="360" w:lineRule="auto"/>
      </w:pPr>
      <w:r w:rsidRPr="00D30481">
        <w:t xml:space="preserve">Lightning is an atmospheric phenomenon driven by an electric field generated by charge separation in </w:t>
      </w:r>
      <w:r w:rsidRPr="00D30481">
        <w:rPr>
          <w:i/>
          <w:iCs/>
        </w:rPr>
        <w:t>cumulonimbus</w:t>
      </w:r>
      <w:r w:rsidRPr="00D30481">
        <w:t xml:space="preserve"> clouds. The noninductive theory of cloud electrification is based on elastic collisions between ice crystals and graupel in the mixed-phase regions of clouds</w:t>
      </w:r>
      <w:r w:rsidR="0013445A" w:rsidRPr="0013445A">
        <w:t xml:space="preserve"> </w:t>
      </w:r>
      <w:r w:rsidR="00C66A54" w:rsidRPr="00C66A54">
        <w:rPr>
          <w:rFonts w:cs="Times New Roman"/>
          <w:color w:val="000000"/>
        </w:rPr>
        <w:t>(Takahashi 1978; Takahashi et al. 1999)</w:t>
      </w:r>
      <w:r w:rsidR="0013445A" w:rsidRPr="0013445A">
        <w:t>. Graupel grows through riming, a process where supercooled water droplets freeze upon impact with an ice particle. This environment depends on updrafts to suspend hydrometeors and on moisture transport to supply liquid water. During riming, the release of latent heat warms the graupel surface. In subsequent collisions, this temperature difference, or the presence of a liquid water film at high cloud water contents, drives ion transfer between the particles</w:t>
      </w:r>
      <w:r w:rsidR="00B94BA8">
        <w:t xml:space="preserve"> </w:t>
      </w:r>
      <w:r w:rsidR="00C66A54" w:rsidRPr="00C66A54">
        <w:rPr>
          <w:rFonts w:cs="Times New Roman"/>
          <w:color w:val="000000"/>
        </w:rPr>
        <w:t>(Baker et al. 1987; Baker and Dash 1994)</w:t>
      </w:r>
      <w:r w:rsidR="0013445A" w:rsidRPr="0013445A">
        <w:t xml:space="preserve">. Consequently, rebounding ice crystals change the net charge of the rimed particles. While the non-inductive mechanism is considered the primary driver of the charge separation, inductive charging processes can act concurrently </w:t>
      </w:r>
      <w:r w:rsidR="00D969DE">
        <w:t>to</w:t>
      </w:r>
      <w:r w:rsidR="00B436BF">
        <w:t xml:space="preserve"> further</w:t>
      </w:r>
      <w:r w:rsidR="0013445A" w:rsidRPr="0013445A">
        <w:t xml:space="preserve"> intensify this electrification </w:t>
      </w:r>
      <w:r w:rsidR="00C66A54" w:rsidRPr="00C66A54">
        <w:rPr>
          <w:rFonts w:cs="Times New Roman"/>
          <w:color w:val="000000"/>
        </w:rPr>
        <w:t>(Shi et al. 2016)</w:t>
      </w:r>
      <w:r w:rsidR="0013445A" w:rsidRPr="0013445A">
        <w:t>.</w:t>
      </w:r>
    </w:p>
    <w:p w14:paraId="6261C225" w14:textId="4D079A14" w:rsidR="00B365F7" w:rsidRPr="00B365F7" w:rsidRDefault="001F3BC6" w:rsidP="00B365F7">
      <w:pPr>
        <w:pStyle w:val="PargrafodaLista"/>
        <w:numPr>
          <w:ilvl w:val="0"/>
          <w:numId w:val="1"/>
        </w:numPr>
        <w:ind w:left="284" w:hanging="284"/>
        <w:rPr>
          <w:b/>
          <w:bCs/>
          <w:sz w:val="24"/>
        </w:rPr>
      </w:pPr>
      <w:r w:rsidRPr="001F3BC6">
        <w:rPr>
          <w:b/>
          <w:bCs/>
          <w:sz w:val="24"/>
        </w:rPr>
        <w:t>Supplementary Methods</w:t>
      </w:r>
    </w:p>
    <w:p w14:paraId="6B6DD542" w14:textId="77777777" w:rsidR="00B365F7" w:rsidRPr="00B365F7" w:rsidRDefault="00B365F7" w:rsidP="00634408">
      <w:pPr>
        <w:spacing w:line="360" w:lineRule="auto"/>
      </w:pPr>
      <w:r w:rsidRPr="00B365F7">
        <w:t xml:space="preserve">All datasets were harmonized to a common monthly temporal resolution and mapped onto a 1° × 1° terrestrial grid over Brazil (EPSG:4326, WGS84). The grid was defined as a regular geographic mesh and intersected with the 10 m resolution Natural Earth land mask for Brazil, using </w:t>
      </w:r>
      <w:proofErr w:type="gramStart"/>
      <w:r w:rsidRPr="00B365F7">
        <w:t>level-0</w:t>
      </w:r>
      <w:proofErr w:type="gramEnd"/>
      <w:r w:rsidRPr="00B365F7">
        <w:t xml:space="preserve"> administrative boundaries. Only the land fraction of each grid cell was retained. Grid-cell areas were calculated from geometries clipped by the land mask using an Albers equal-area projection, and entirely oceanic cells were excluded.</w:t>
      </w:r>
    </w:p>
    <w:p w14:paraId="6F9B30B9" w14:textId="77777777" w:rsidR="00B365F7" w:rsidRPr="00B365F7" w:rsidRDefault="00B365F7" w:rsidP="00634408">
      <w:pPr>
        <w:spacing w:line="360" w:lineRule="auto"/>
      </w:pPr>
      <w:r w:rsidRPr="00B365F7">
        <w:t xml:space="preserve">For the lightning data, WWLLN records underwent quality control by removing entries with missing or invalid geographic coordinates and were then filtered to the Brazilian domain. Each lightning stroke was assigned to a land-clipped grid cell using a spatial </w:t>
      </w:r>
      <w:proofErr w:type="gramStart"/>
      <w:r w:rsidRPr="00B365F7">
        <w:t>join</w:t>
      </w:r>
      <w:proofErr w:type="gramEnd"/>
      <w:r w:rsidRPr="00B365F7">
        <w:t>, ensuring that only lightning occurring within the land fraction of each cell was retained. Monthly lightning counts were aggregated by grid cell, and a complete cell-month matrix was constructed to preserve temporal continuity, including months with zero lightning. Lightning density was calculated as the monthly number of lightning strokes divided by the land area of each grid cell, yielding values in strokes km⁻² month⁻¹. The resulting density estimates were corrected using monthly averaged RDE maps.</w:t>
      </w:r>
    </w:p>
    <w:p w14:paraId="2FA90AD7" w14:textId="4C0D5994" w:rsidR="00B365F7" w:rsidRPr="00B365F7" w:rsidRDefault="00B365F7" w:rsidP="00634408">
      <w:pPr>
        <w:spacing w:line="360" w:lineRule="auto"/>
      </w:pPr>
      <w:r w:rsidRPr="00B365F7">
        <w:t>The analysis period covers 2013</w:t>
      </w:r>
      <w:r w:rsidR="00A000EF">
        <w:t>-</w:t>
      </w:r>
      <w:r w:rsidRPr="00B365F7">
        <w:t xml:space="preserve">2025. This interval was selected to avoid the rapid increase in WWLLN Relative Detection Efficiency observed between 2004 and 2012, after which detection efficiency stabilized close to 100% </w:t>
      </w:r>
      <w:r w:rsidR="00C66A54" w:rsidRPr="00C66A54">
        <w:rPr>
          <w:rFonts w:cs="Times New Roman"/>
          <w:color w:val="000000"/>
        </w:rPr>
        <w:t>(Hutchins et al. 2012)</w:t>
      </w:r>
      <w:r w:rsidRPr="00B365F7">
        <w:t>. The training period was defined as 2013</w:t>
      </w:r>
      <w:r w:rsidR="002B715D">
        <w:t>-</w:t>
      </w:r>
      <w:r w:rsidRPr="00B365F7">
        <w:t>2022, and the validation period as 2023–2025.</w:t>
      </w:r>
    </w:p>
    <w:p w14:paraId="0311A7A9" w14:textId="77777777" w:rsidR="00B365F7" w:rsidRPr="00B365F7" w:rsidRDefault="00B365F7" w:rsidP="00634408">
      <w:pPr>
        <w:spacing w:line="360" w:lineRule="auto"/>
      </w:pPr>
      <w:r w:rsidRPr="00B365F7">
        <w:t>Monthly ERA5 pressure-level and single-level variables were aggregated onto the target grid using precomputed area-weighted mapping. In this procedure, the contribution of each source grid cell was proportional to its geometric overlap with the land fraction of each target cell. This approach accounts for latitudinal variations in grid-cell area and improves the representation of coastal regions. For EC-Earth3-Veg, predictor fields were extracted using the same grid structure and the same set of variables, ensuring consistency between the reanalysis-based relationships and future projections.</w:t>
      </w:r>
    </w:p>
    <w:p w14:paraId="02C1F556" w14:textId="729AC76F" w:rsidR="003422C0" w:rsidRPr="007C6FED" w:rsidRDefault="000C2BEF" w:rsidP="000C2BEF">
      <w:pPr>
        <w:spacing w:line="360" w:lineRule="auto"/>
        <w:rPr>
          <w:szCs w:val="20"/>
        </w:rPr>
      </w:pPr>
      <w:r w:rsidRPr="007C6FED">
        <w:rPr>
          <w:szCs w:val="20"/>
        </w:rPr>
        <w:lastRenderedPageBreak/>
        <w:t>The derived variables were computed from the ERA5 pressure-level and single-level fields.</w:t>
      </w:r>
      <w:r w:rsidR="004F7E93" w:rsidRPr="007C6FED">
        <w:rPr>
          <w:szCs w:val="20"/>
        </w:rPr>
        <w:t xml:space="preserve"> See Supplementary Table 1 </w:t>
      </w:r>
      <w:r w:rsidR="005C5374" w:rsidRPr="007C6FED">
        <w:rPr>
          <w:szCs w:val="20"/>
        </w:rPr>
        <w:t>for</w:t>
      </w:r>
      <w:r w:rsidR="00CB4D0A" w:rsidRPr="007C6FED">
        <w:rPr>
          <w:szCs w:val="20"/>
        </w:rPr>
        <w:t xml:space="preserve"> the </w:t>
      </w:r>
      <w:r w:rsidR="005C5374" w:rsidRPr="007C6FED">
        <w:rPr>
          <w:szCs w:val="20"/>
        </w:rPr>
        <w:t xml:space="preserve">variable’s </w:t>
      </w:r>
      <w:r w:rsidR="00CB4D0A" w:rsidRPr="007C6FED">
        <w:rPr>
          <w:szCs w:val="20"/>
        </w:rPr>
        <w:t>identification used he</w:t>
      </w:r>
      <w:r w:rsidR="005C5374" w:rsidRPr="007C6FED">
        <w:rPr>
          <w:szCs w:val="20"/>
        </w:rPr>
        <w:t>re.</w:t>
      </w:r>
      <w:r w:rsidRPr="007C6FED">
        <w:rPr>
          <w:szCs w:val="20"/>
        </w:rPr>
        <w:t xml:space="preserve"> PB was estimated from moist static energy differences between a near-surface parcel and the saturated environment at 850 </w:t>
      </w:r>
      <w:proofErr w:type="spellStart"/>
      <w:r w:rsidRPr="007C6FED">
        <w:rPr>
          <w:szCs w:val="20"/>
        </w:rPr>
        <w:t>hPa</w:t>
      </w:r>
      <w:proofErr w:type="spellEnd"/>
      <w:r w:rsidRPr="007C6FED">
        <w:rPr>
          <w:szCs w:val="20"/>
        </w:rPr>
        <w:t xml:space="preserve"> </w:t>
      </w:r>
      <w:r w:rsidR="00C66A54" w:rsidRPr="00C66A54">
        <w:rPr>
          <w:rFonts w:cs="Times New Roman"/>
          <w:color w:val="000000"/>
          <w:szCs w:val="20"/>
        </w:rPr>
        <w:t>(Beucler et al. 2024)</w:t>
      </w:r>
      <w:r w:rsidRPr="007C6FED">
        <w:rPr>
          <w:szCs w:val="20"/>
        </w:rPr>
        <w:t xml:space="preserve">. WS was calculated as the vector difference between horizontal winds at 850 and 500 </w:t>
      </w:r>
      <w:proofErr w:type="spellStart"/>
      <w:r w:rsidRPr="007C6FED">
        <w:rPr>
          <w:szCs w:val="20"/>
        </w:rPr>
        <w:t>hPa</w:t>
      </w:r>
      <w:proofErr w:type="spellEnd"/>
      <w:r w:rsidRPr="007C6FED">
        <w:rPr>
          <w:szCs w:val="20"/>
        </w:rPr>
        <w:t xml:space="preserve">. The CSP was defined as the difference between saturated θₑ at 700 </w:t>
      </w:r>
      <w:proofErr w:type="spellStart"/>
      <w:r w:rsidRPr="007C6FED">
        <w:rPr>
          <w:szCs w:val="20"/>
        </w:rPr>
        <w:t>hPa</w:t>
      </w:r>
      <w:proofErr w:type="spellEnd"/>
      <w:r w:rsidRPr="007C6FED">
        <w:rPr>
          <w:szCs w:val="20"/>
        </w:rPr>
        <w:t xml:space="preserve"> and θₑ at 850 </w:t>
      </w:r>
      <w:proofErr w:type="spellStart"/>
      <w:r w:rsidRPr="007C6FED">
        <w:rPr>
          <w:szCs w:val="20"/>
        </w:rPr>
        <w:t>hPa</w:t>
      </w:r>
      <w:proofErr w:type="spellEnd"/>
      <w:r w:rsidRPr="007C6FED">
        <w:rPr>
          <w:szCs w:val="20"/>
        </w:rPr>
        <w:t xml:space="preserve">, representing a measure of conditional stability in the lower to mid-troposphere, where positive values indicate greater inhibition to deep convection and negative values indicate enhanced convective potential </w:t>
      </w:r>
      <w:r w:rsidR="00C66A54" w:rsidRPr="00C66A54">
        <w:rPr>
          <w:rFonts w:cs="Times New Roman"/>
          <w:color w:val="000000"/>
          <w:szCs w:val="20"/>
        </w:rPr>
        <w:t>(Finney et al. 2020)</w:t>
      </w:r>
      <w:r w:rsidRPr="007C6FED">
        <w:rPr>
          <w:szCs w:val="20"/>
        </w:rPr>
        <w:t xml:space="preserve">. CRH was obtained as the ratio between vertically integrated water vapor and its saturation equivalent </w:t>
      </w:r>
      <w:r w:rsidR="00C66A54" w:rsidRPr="00C66A54">
        <w:rPr>
          <w:rFonts w:cs="Times New Roman"/>
          <w:color w:val="000000"/>
          <w:szCs w:val="20"/>
        </w:rPr>
        <w:t>(Kalashnikov et al. 2024)</w:t>
      </w:r>
      <w:r w:rsidRPr="007C6FED">
        <w:rPr>
          <w:szCs w:val="20"/>
        </w:rPr>
        <w:t xml:space="preserve">, while the MHD was defined as one minus the mean relative humidity between 700 and 500 </w:t>
      </w:r>
      <w:proofErr w:type="spellStart"/>
      <w:r w:rsidRPr="007C6FED">
        <w:rPr>
          <w:szCs w:val="20"/>
        </w:rPr>
        <w:t>hPa</w:t>
      </w:r>
      <w:proofErr w:type="spellEnd"/>
      <w:r w:rsidRPr="007C6FED">
        <w:rPr>
          <w:szCs w:val="20"/>
        </w:rPr>
        <w:t>. The MLD was estimated as the vertical distance between the 0 °C and −40 °C isotherms. The CAPE, CINE, and others were directly extracted from ERA5 fields. Additionally, an EEF was defined as the ratio between CAPE and the sum of CAPE and the absolute value of CINE.</w:t>
      </w:r>
    </w:p>
    <w:p w14:paraId="69FE4DE7" w14:textId="7D90241F" w:rsidR="003C4132" w:rsidRPr="00E242E6" w:rsidRDefault="000C2BEF" w:rsidP="000C2BEF">
      <w:pPr>
        <w:spacing w:line="360" w:lineRule="auto"/>
        <w:rPr>
          <w:szCs w:val="20"/>
        </w:rPr>
      </w:pPr>
      <w:r w:rsidRPr="00E242E6">
        <w:rPr>
          <w:szCs w:val="20"/>
        </w:rPr>
        <w:t>For Ec-Earth3-Veg, CAPE and CINE were computed from vertical thermodynamic profiles using a surface parcel defined by near-surface temperature and humidity (2 m fields), with buoyancy integrated on a refined vertical grid (~700 Pa resolution) from the surface to the equilibrium level. CAPE corresponds to the vertical integral of positive buoyancy, while CINE represents the integral of negative buoyancy below the level of free convection.</w:t>
      </w:r>
    </w:p>
    <w:p w14:paraId="0128FFD8" w14:textId="0B35E006" w:rsidR="00CC4E1E" w:rsidRPr="00261612" w:rsidRDefault="00CC4E1E" w:rsidP="00CC4E1E">
      <w:pPr>
        <w:spacing w:line="360" w:lineRule="auto"/>
        <w:rPr>
          <w:rFonts w:cs="Times New Roman"/>
          <w:szCs w:val="20"/>
        </w:rPr>
      </w:pPr>
      <w:r w:rsidRPr="00261612">
        <w:rPr>
          <w:rFonts w:cs="Times New Roman"/>
          <w:szCs w:val="20"/>
        </w:rPr>
        <w:t xml:space="preserve">To </w:t>
      </w:r>
      <w:r w:rsidR="0084725B" w:rsidRPr="00261612">
        <w:rPr>
          <w:rFonts w:cs="Times New Roman"/>
          <w:szCs w:val="20"/>
        </w:rPr>
        <w:t xml:space="preserve">the </w:t>
      </w:r>
      <w:r w:rsidR="0084725B" w:rsidRPr="00261612">
        <w:t>initial selection of ERA5 atmospheric proxies</w:t>
      </w:r>
      <w:r w:rsidRPr="00261612">
        <w:rPr>
          <w:rFonts w:cs="Times New Roman"/>
          <w:szCs w:val="20"/>
        </w:rPr>
        <w:t>, spatial correlation analyses were performed between each candidate variable and lightning density at the grid-cell level. Three spatial metrics were computed: (</w:t>
      </w:r>
      <w:proofErr w:type="spellStart"/>
      <w:r w:rsidRPr="00261612">
        <w:rPr>
          <w:rFonts w:cs="Times New Roman"/>
          <w:szCs w:val="20"/>
        </w:rPr>
        <w:t>i</w:t>
      </w:r>
      <w:proofErr w:type="spellEnd"/>
      <w:r w:rsidRPr="00261612">
        <w:rPr>
          <w:rFonts w:cs="Times New Roman"/>
          <w:szCs w:val="20"/>
        </w:rPr>
        <w:t>) the mean absolute correlation, representing the average strength of association across all valid cells; (ii) the spatial standard deviation of correlations, used to assess the consistency of the relationship across regions; and (iii) the fraction of statistically significant cells (p &lt; 0.05), representing the spatial robustness of the association. These metrics were normalized to a 0-1 range (min-max transformation), with positive orientation for mean correlation and fraction of significant cells, and inverse orientation for spatial variability. A composite spatial score was then defined as a weighted combination of these metrics (</w:t>
      </w:r>
      <w:r w:rsidRPr="00261612">
        <w:rPr>
          <w:rFonts w:cs="Times New Roman"/>
          <w:szCs w:val="20"/>
        </w:rPr>
        <w:fldChar w:fldCharType="begin"/>
      </w:r>
      <w:r w:rsidRPr="00261612">
        <w:rPr>
          <w:rFonts w:cs="Times New Roman"/>
          <w:szCs w:val="20"/>
        </w:rPr>
        <w:instrText xml:space="preserve"> REF _Ref226385866 \h  \* MERGEFORMAT </w:instrText>
      </w:r>
      <w:r w:rsidRPr="00261612">
        <w:rPr>
          <w:rFonts w:cs="Times New Roman"/>
          <w:szCs w:val="20"/>
        </w:rPr>
      </w:r>
      <w:r w:rsidRPr="00261612">
        <w:rPr>
          <w:rFonts w:cs="Times New Roman"/>
          <w:szCs w:val="20"/>
        </w:rPr>
        <w:fldChar w:fldCharType="separate"/>
      </w:r>
      <w:r w:rsidRPr="00261612">
        <w:rPr>
          <w:rFonts w:cs="Times New Roman"/>
          <w:szCs w:val="20"/>
        </w:rPr>
        <w:t>Equation 1</w:t>
      </w:r>
      <w:r w:rsidRPr="00261612">
        <w:rPr>
          <w:rFonts w:cs="Times New Roman"/>
          <w:szCs w:val="20"/>
        </w:rPr>
        <w:fldChar w:fldCharType="end"/>
      </w:r>
      <w:r w:rsidRPr="00261612">
        <w:rPr>
          <w:rFonts w:cs="Times New Roman"/>
          <w:szCs w:val="20"/>
        </w:rPr>
        <w:t>) and computed separately for Pearson and Spearman correlations.</w:t>
      </w:r>
    </w:p>
    <w:p w14:paraId="1CEBA06B" w14:textId="77777777" w:rsidR="00CC4E1E" w:rsidRPr="00CC4E1E" w:rsidRDefault="00AE0F6D" w:rsidP="00CC4E1E">
      <w:pPr>
        <w:pStyle w:val="Legenda"/>
        <w:spacing w:line="360" w:lineRule="auto"/>
        <w:rPr>
          <w:rFonts w:cs="Times New Roman"/>
          <w:szCs w:val="20"/>
        </w:rPr>
      </w:pPr>
      <m:oMath>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P/S</m:t>
            </m:r>
          </m:sub>
        </m:sSub>
        <m:r>
          <w:rPr>
            <w:rFonts w:ascii="Cambria Math" w:hAnsi="Cambria Math" w:cs="Times New Roman"/>
            <w:szCs w:val="20"/>
          </w:rPr>
          <m:t xml:space="preserve"> = 0.5M + 0.3F +O.2H</m:t>
        </m:r>
        <w:bookmarkStart w:id="0" w:name="_Ref226385866"/>
        <m:r>
          <w:rPr>
            <w:rFonts w:ascii="Cambria Math" w:hAnsi="Cambria Math" w:cs="Times New Roman"/>
            <w:szCs w:val="20"/>
          </w:rPr>
          <m:t>,</m:t>
        </m:r>
      </m:oMath>
      <w:r w:rsidR="00CC4E1E" w:rsidRPr="00CC4E1E">
        <w:rPr>
          <w:rFonts w:cs="Times New Roman"/>
          <w:szCs w:val="20"/>
        </w:rPr>
        <w:t xml:space="preserve">                                                                                                   Equation </w:t>
      </w:r>
      <w:r w:rsidR="00CC4E1E" w:rsidRPr="00CC4E1E">
        <w:rPr>
          <w:rFonts w:cs="Times New Roman"/>
          <w:szCs w:val="20"/>
        </w:rPr>
        <w:fldChar w:fldCharType="begin"/>
      </w:r>
      <w:r w:rsidR="00CC4E1E" w:rsidRPr="00CC4E1E">
        <w:rPr>
          <w:rFonts w:cs="Times New Roman"/>
          <w:szCs w:val="20"/>
        </w:rPr>
        <w:instrText xml:space="preserve"> SEQ Equation \* ARABIC </w:instrText>
      </w:r>
      <w:r w:rsidR="00CC4E1E" w:rsidRPr="00CC4E1E">
        <w:rPr>
          <w:rFonts w:cs="Times New Roman"/>
          <w:szCs w:val="20"/>
        </w:rPr>
        <w:fldChar w:fldCharType="separate"/>
      </w:r>
      <w:r w:rsidR="00CC4E1E" w:rsidRPr="00CC4E1E">
        <w:rPr>
          <w:rFonts w:cs="Times New Roman"/>
          <w:szCs w:val="20"/>
        </w:rPr>
        <w:t>1</w:t>
      </w:r>
      <w:r w:rsidR="00CC4E1E" w:rsidRPr="00CC4E1E">
        <w:rPr>
          <w:rFonts w:cs="Times New Roman"/>
          <w:szCs w:val="20"/>
        </w:rPr>
        <w:fldChar w:fldCharType="end"/>
      </w:r>
      <w:bookmarkEnd w:id="0"/>
    </w:p>
    <w:p w14:paraId="1675DD06" w14:textId="77777777" w:rsidR="00CC4E1E" w:rsidRPr="00261612" w:rsidRDefault="00CC4E1E" w:rsidP="00CC4E1E">
      <w:pPr>
        <w:spacing w:line="360" w:lineRule="auto"/>
        <w:rPr>
          <w:rFonts w:cs="Times New Roman"/>
          <w:szCs w:val="20"/>
        </w:rPr>
      </w:pPr>
      <w:r w:rsidRPr="00261612">
        <w:rPr>
          <w:rFonts w:cs="Times New Roman"/>
          <w:szCs w:val="20"/>
        </w:rPr>
        <w:t>where M is the normalized mean correlation of all cells, F is the normalized fraction of significant cells, and H is the normalized spatial mean standard deviation.</w:t>
      </w:r>
    </w:p>
    <w:p w14:paraId="42ACFE57" w14:textId="17BABECD" w:rsidR="00CC4E1E" w:rsidRPr="000679E9" w:rsidRDefault="00CC4E1E" w:rsidP="00CC4E1E">
      <w:pPr>
        <w:spacing w:line="360" w:lineRule="auto"/>
        <w:rPr>
          <w:rFonts w:cs="Times New Roman"/>
          <w:szCs w:val="20"/>
        </w:rPr>
      </w:pPr>
      <w:r w:rsidRPr="000679E9">
        <w:rPr>
          <w:rFonts w:cs="Times New Roman"/>
          <w:szCs w:val="20"/>
        </w:rPr>
        <w:t xml:space="preserve">In addition, the ability of each variable to reproduce the seasonal cycle of lightning was evaluated using monthly </w:t>
      </w:r>
      <w:proofErr w:type="spellStart"/>
      <w:r w:rsidRPr="000679E9">
        <w:rPr>
          <w:rFonts w:cs="Times New Roman"/>
          <w:szCs w:val="20"/>
        </w:rPr>
        <w:t>climatologies</w:t>
      </w:r>
      <w:proofErr w:type="spellEnd"/>
      <w:r w:rsidRPr="000679E9">
        <w:rPr>
          <w:rFonts w:cs="Times New Roman"/>
          <w:szCs w:val="20"/>
        </w:rPr>
        <w:t xml:space="preserve">. For each grid cell, 12-point climatological series were constructed for both the atmospheric variable and lightning density, and Pearson and Spearman correlations were computed between them. The spatial </w:t>
      </w:r>
      <w:proofErr w:type="gramStart"/>
      <w:r w:rsidRPr="000679E9">
        <w:rPr>
          <w:rFonts w:cs="Times New Roman"/>
          <w:szCs w:val="20"/>
        </w:rPr>
        <w:t>mean</w:t>
      </w:r>
      <w:proofErr w:type="gramEnd"/>
      <w:r w:rsidRPr="000679E9">
        <w:rPr>
          <w:rFonts w:cs="Times New Roman"/>
          <w:szCs w:val="20"/>
        </w:rPr>
        <w:t xml:space="preserve"> of the absolute values of these correlations was calculated and normalized, and the resulting average was used as a seasonal skill score. The final ranking of variables was obtained by combining the Pearson-based spatial score (</w:t>
      </w:r>
      <m:oMath>
        <m:sSub>
          <m:sSubPr>
            <m:ctrlPr>
              <w:rPr>
                <w:rFonts w:ascii="Cambria Math" w:hAnsi="Cambria Math" w:cs="Times New Roman"/>
                <w:szCs w:val="20"/>
              </w:rPr>
            </m:ctrlPr>
          </m:sSubPr>
          <m:e>
            <m:r>
              <m:rPr>
                <m:sty m:val="p"/>
              </m:rPr>
              <w:rPr>
                <w:rFonts w:ascii="Cambria Math" w:hAnsi="Cambria Math" w:cs="Times New Roman"/>
                <w:szCs w:val="20"/>
              </w:rPr>
              <m:t>S</m:t>
            </m:r>
          </m:e>
          <m:sub>
            <m:r>
              <m:rPr>
                <m:sty m:val="p"/>
              </m:rPr>
              <w:rPr>
                <w:rFonts w:ascii="Cambria Math" w:hAnsi="Cambria Math" w:cs="Times New Roman"/>
                <w:szCs w:val="20"/>
              </w:rPr>
              <m:t>Pearson</m:t>
            </m:r>
          </m:sub>
        </m:sSub>
        <m:r>
          <m:rPr>
            <m:sty m:val="p"/>
          </m:rPr>
          <w:rPr>
            <w:rFonts w:ascii="Cambria Math" w:hAnsi="Cambria Math" w:cs="Times New Roman"/>
            <w:szCs w:val="20"/>
          </w:rPr>
          <m:t>)</m:t>
        </m:r>
      </m:oMath>
      <w:r w:rsidRPr="000679E9">
        <w:rPr>
          <w:rFonts w:cs="Times New Roman"/>
          <w:szCs w:val="20"/>
        </w:rPr>
        <w:t>, the Spearman-based spatial score (</w:t>
      </w:r>
      <m:oMath>
        <m:sSub>
          <m:sSubPr>
            <m:ctrlPr>
              <w:rPr>
                <w:rFonts w:ascii="Cambria Math" w:hAnsi="Cambria Math" w:cs="Times New Roman"/>
                <w:szCs w:val="20"/>
              </w:rPr>
            </m:ctrlPr>
          </m:sSubPr>
          <m:e>
            <m:r>
              <m:rPr>
                <m:sty m:val="p"/>
              </m:rPr>
              <w:rPr>
                <w:rFonts w:ascii="Cambria Math" w:hAnsi="Cambria Math" w:cs="Times New Roman"/>
                <w:szCs w:val="20"/>
              </w:rPr>
              <m:t>S</m:t>
            </m:r>
          </m:e>
          <m:sub>
            <m:r>
              <m:rPr>
                <m:sty m:val="p"/>
              </m:rPr>
              <w:rPr>
                <w:rFonts w:ascii="Cambria Math" w:hAnsi="Cambria Math" w:cs="Times New Roman"/>
                <w:szCs w:val="20"/>
              </w:rPr>
              <m:t>Spearman</m:t>
            </m:r>
          </m:sub>
        </m:sSub>
      </m:oMath>
      <w:r w:rsidRPr="000679E9">
        <w:rPr>
          <w:rFonts w:eastAsiaTheme="minorEastAsia" w:cs="Times New Roman"/>
          <w:szCs w:val="20"/>
        </w:rPr>
        <w:t>)</w:t>
      </w:r>
      <w:r w:rsidRPr="000679E9">
        <w:rPr>
          <w:rFonts w:cs="Times New Roman"/>
          <w:szCs w:val="20"/>
        </w:rPr>
        <w:t>, and the seasonal skill score (</w:t>
      </w:r>
      <m:oMath>
        <m:sSub>
          <m:sSubPr>
            <m:ctrlPr>
              <w:rPr>
                <w:rFonts w:ascii="Cambria Math" w:hAnsi="Cambria Math" w:cs="Times New Roman"/>
                <w:szCs w:val="20"/>
              </w:rPr>
            </m:ctrlPr>
          </m:sSubPr>
          <m:e>
            <m:r>
              <m:rPr>
                <m:sty m:val="p"/>
              </m:rPr>
              <w:rPr>
                <w:rFonts w:ascii="Cambria Math" w:hAnsi="Cambria Math" w:cs="Times New Roman"/>
                <w:szCs w:val="20"/>
              </w:rPr>
              <m:t>S</m:t>
            </m:r>
          </m:e>
          <m:sub>
            <m:r>
              <m:rPr>
                <m:sty m:val="p"/>
              </m:rPr>
              <w:rPr>
                <w:rFonts w:ascii="Cambria Math" w:hAnsi="Cambria Math" w:cs="Times New Roman"/>
                <w:szCs w:val="20"/>
              </w:rPr>
              <m:t>cycle</m:t>
            </m:r>
          </m:sub>
        </m:sSub>
      </m:oMath>
      <w:r w:rsidRPr="000679E9">
        <w:rPr>
          <w:rFonts w:eastAsiaTheme="minorEastAsia" w:cs="Times New Roman"/>
          <w:szCs w:val="20"/>
        </w:rPr>
        <w:t>)</w:t>
      </w:r>
      <w:r w:rsidRPr="000679E9">
        <w:rPr>
          <w:rFonts w:cs="Times New Roman"/>
          <w:szCs w:val="20"/>
        </w:rPr>
        <w:t xml:space="preserve">, as described in </w:t>
      </w:r>
      <w:r w:rsidRPr="000679E9">
        <w:rPr>
          <w:rFonts w:cs="Times New Roman"/>
          <w:szCs w:val="20"/>
        </w:rPr>
        <w:fldChar w:fldCharType="begin"/>
      </w:r>
      <w:r w:rsidRPr="000679E9">
        <w:rPr>
          <w:rFonts w:cs="Times New Roman"/>
          <w:szCs w:val="20"/>
        </w:rPr>
        <w:instrText xml:space="preserve"> REF _Ref226386895 \h  \* MERGEFORMAT </w:instrText>
      </w:r>
      <w:r w:rsidRPr="000679E9">
        <w:rPr>
          <w:rFonts w:cs="Times New Roman"/>
          <w:szCs w:val="20"/>
        </w:rPr>
      </w:r>
      <w:r w:rsidRPr="000679E9">
        <w:rPr>
          <w:rFonts w:cs="Times New Roman"/>
          <w:szCs w:val="20"/>
        </w:rPr>
        <w:fldChar w:fldCharType="separate"/>
      </w:r>
      <w:r w:rsidRPr="000679E9">
        <w:rPr>
          <w:rFonts w:cs="Times New Roman"/>
          <w:szCs w:val="20"/>
        </w:rPr>
        <w:t>Equation 2</w:t>
      </w:r>
      <w:r w:rsidRPr="000679E9">
        <w:rPr>
          <w:rFonts w:cs="Times New Roman"/>
          <w:szCs w:val="20"/>
        </w:rPr>
        <w:fldChar w:fldCharType="end"/>
      </w:r>
      <w:r w:rsidRPr="000679E9">
        <w:rPr>
          <w:rFonts w:cs="Times New Roman"/>
          <w:szCs w:val="20"/>
        </w:rPr>
        <w:t>.</w:t>
      </w:r>
    </w:p>
    <w:bookmarkStart w:id="1" w:name="_Ref226386895"/>
    <w:p w14:paraId="01A638EC" w14:textId="77777777" w:rsidR="00CC4E1E" w:rsidRPr="00CC4E1E" w:rsidRDefault="00AE0F6D" w:rsidP="00CC4E1E">
      <w:pPr>
        <w:pStyle w:val="Legenda"/>
        <w:spacing w:line="360" w:lineRule="auto"/>
        <w:rPr>
          <w:rFonts w:eastAsiaTheme="minorEastAsia" w:cs="Times New Roman"/>
          <w:szCs w:val="20"/>
        </w:rPr>
      </w:pPr>
      <m:oMath>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final</m:t>
            </m:r>
          </m:sub>
        </m:sSub>
        <m:r>
          <w:rPr>
            <w:rFonts w:ascii="Cambria Math" w:hAnsi="Cambria Math" w:cs="Times New Roman"/>
            <w:szCs w:val="20"/>
          </w:rPr>
          <m:t xml:space="preserve"> = 0.4</m:t>
        </m:r>
        <m:sSub>
          <m:sSubPr>
            <m:ctrlPr>
              <w:rPr>
                <w:rFonts w:ascii="Cambria Math" w:hAnsi="Cambria Math" w:cs="Times New Roman"/>
                <w:i/>
                <w:color w:val="auto"/>
                <w:szCs w:val="20"/>
              </w:rPr>
            </m:ctrlPr>
          </m:sSubPr>
          <m:e>
            <m:r>
              <w:rPr>
                <w:rFonts w:ascii="Cambria Math" w:hAnsi="Cambria Math" w:cs="Times New Roman"/>
                <w:szCs w:val="20"/>
              </w:rPr>
              <m:t>S</m:t>
            </m:r>
          </m:e>
          <m:sub>
            <m:r>
              <w:rPr>
                <w:rFonts w:ascii="Cambria Math" w:hAnsi="Cambria Math" w:cs="Times New Roman"/>
                <w:szCs w:val="20"/>
              </w:rPr>
              <m:t>Pearson</m:t>
            </m:r>
          </m:sub>
        </m:sSub>
        <m:r>
          <w:rPr>
            <w:rFonts w:ascii="Cambria Math" w:hAnsi="Cambria Math" w:cs="Times New Roman"/>
            <w:szCs w:val="20"/>
          </w:rPr>
          <m:t xml:space="preserve"> + 0.3</m:t>
        </m:r>
        <m:sSub>
          <m:sSubPr>
            <m:ctrlPr>
              <w:rPr>
                <w:rFonts w:ascii="Cambria Math" w:hAnsi="Cambria Math" w:cs="Times New Roman"/>
                <w:i/>
                <w:color w:val="auto"/>
                <w:szCs w:val="20"/>
              </w:rPr>
            </m:ctrlPr>
          </m:sSubPr>
          <m:e>
            <m:r>
              <w:rPr>
                <w:rFonts w:ascii="Cambria Math" w:hAnsi="Cambria Math" w:cs="Times New Roman"/>
                <w:szCs w:val="20"/>
              </w:rPr>
              <m:t>S</m:t>
            </m:r>
          </m:e>
          <m:sub>
            <m:r>
              <w:rPr>
                <w:rFonts w:ascii="Cambria Math" w:hAnsi="Cambria Math" w:cs="Times New Roman"/>
                <w:szCs w:val="20"/>
              </w:rPr>
              <m:t>Spearman</m:t>
            </m:r>
          </m:sub>
        </m:sSub>
        <m:r>
          <w:rPr>
            <w:rFonts w:ascii="Cambria Math" w:hAnsi="Cambria Math" w:cs="Times New Roman"/>
            <w:szCs w:val="20"/>
          </w:rPr>
          <m:t xml:space="preserve"> +O.2</m:t>
        </m:r>
        <m:sSub>
          <m:sSubPr>
            <m:ctrlPr>
              <w:rPr>
                <w:rFonts w:ascii="Cambria Math" w:hAnsi="Cambria Math" w:cs="Times New Roman"/>
                <w:i/>
                <w:color w:val="auto"/>
                <w:szCs w:val="20"/>
              </w:rPr>
            </m:ctrlPr>
          </m:sSubPr>
          <m:e>
            <m:r>
              <w:rPr>
                <w:rFonts w:ascii="Cambria Math" w:hAnsi="Cambria Math" w:cs="Times New Roman"/>
                <w:szCs w:val="20"/>
              </w:rPr>
              <m:t>S</m:t>
            </m:r>
          </m:e>
          <m:sub>
            <m:r>
              <w:rPr>
                <w:rFonts w:ascii="Cambria Math" w:hAnsi="Cambria Math" w:cs="Times New Roman"/>
                <w:szCs w:val="20"/>
              </w:rPr>
              <m:t>cycle</m:t>
            </m:r>
          </m:sub>
        </m:sSub>
        <m:r>
          <w:rPr>
            <w:rFonts w:ascii="Cambria Math" w:hAnsi="Cambria Math" w:cs="Times New Roman"/>
            <w:szCs w:val="20"/>
          </w:rPr>
          <m:t>,</m:t>
        </m:r>
      </m:oMath>
      <w:r w:rsidR="00CC4E1E" w:rsidRPr="00CC4E1E">
        <w:rPr>
          <w:rFonts w:eastAsiaTheme="minorEastAsia" w:cs="Times New Roman"/>
          <w:szCs w:val="20"/>
        </w:rPr>
        <w:t xml:space="preserve">                                                                   </w:t>
      </w:r>
      <w:r w:rsidR="00CC4E1E" w:rsidRPr="00CC4E1E">
        <w:rPr>
          <w:rFonts w:cs="Times New Roman"/>
          <w:szCs w:val="20"/>
        </w:rPr>
        <w:t xml:space="preserve">Equation </w:t>
      </w:r>
      <w:r w:rsidR="00CC4E1E" w:rsidRPr="00CC4E1E">
        <w:rPr>
          <w:rFonts w:cs="Times New Roman"/>
          <w:szCs w:val="20"/>
        </w:rPr>
        <w:fldChar w:fldCharType="begin"/>
      </w:r>
      <w:r w:rsidR="00CC4E1E" w:rsidRPr="00CC4E1E">
        <w:rPr>
          <w:rFonts w:cs="Times New Roman"/>
          <w:szCs w:val="20"/>
        </w:rPr>
        <w:instrText xml:space="preserve"> SEQ Equation \* ARABIC </w:instrText>
      </w:r>
      <w:r w:rsidR="00CC4E1E" w:rsidRPr="00CC4E1E">
        <w:rPr>
          <w:rFonts w:cs="Times New Roman"/>
          <w:szCs w:val="20"/>
        </w:rPr>
        <w:fldChar w:fldCharType="separate"/>
      </w:r>
      <w:r w:rsidR="00CC4E1E" w:rsidRPr="00CC4E1E">
        <w:rPr>
          <w:rFonts w:cs="Times New Roman"/>
          <w:szCs w:val="20"/>
        </w:rPr>
        <w:t>2</w:t>
      </w:r>
      <w:r w:rsidR="00CC4E1E" w:rsidRPr="00CC4E1E">
        <w:rPr>
          <w:rFonts w:cs="Times New Roman"/>
          <w:szCs w:val="20"/>
        </w:rPr>
        <w:fldChar w:fldCharType="end"/>
      </w:r>
      <w:bookmarkEnd w:id="1"/>
    </w:p>
    <w:p w14:paraId="3CA8AE25" w14:textId="77777777" w:rsidR="00424C23" w:rsidRPr="00DC7123" w:rsidRDefault="00CC4E1E" w:rsidP="00CC4E1E">
      <w:pPr>
        <w:spacing w:line="360" w:lineRule="auto"/>
        <w:rPr>
          <w:rFonts w:cs="Times New Roman"/>
          <w:szCs w:val="20"/>
        </w:rPr>
      </w:pPr>
      <w:r w:rsidRPr="007E3BF8">
        <w:rPr>
          <w:rFonts w:cs="Times New Roman"/>
          <w:szCs w:val="20"/>
        </w:rPr>
        <w:t xml:space="preserve">This approach assigns equal importance to linear and monotonic relationships while incorporating the ability to capture the climatological seasonal cycle. Variables were then ranked in descending order of the final score, defining the hierarchy of atmospheric proxies for subsequent modeling. </w:t>
      </w:r>
      <w:r w:rsidRPr="00DC7123">
        <w:rPr>
          <w:rFonts w:cs="Times New Roman"/>
          <w:szCs w:val="20"/>
        </w:rPr>
        <w:t>We excluded variables with a final score lower than 0.4.</w:t>
      </w:r>
    </w:p>
    <w:p w14:paraId="67BD3BDE" w14:textId="77777777" w:rsidR="00CC4E1E" w:rsidRPr="001244E0" w:rsidRDefault="00CC4E1E" w:rsidP="00CC4E1E">
      <w:pPr>
        <w:spacing w:line="360" w:lineRule="auto"/>
        <w:rPr>
          <w:rFonts w:cs="Times New Roman"/>
          <w:szCs w:val="20"/>
        </w:rPr>
      </w:pPr>
      <w:r w:rsidRPr="001244E0">
        <w:rPr>
          <w:rFonts w:cs="Times New Roman"/>
          <w:szCs w:val="20"/>
        </w:rPr>
        <w:t>The performance analysis of the MLR models was conducted using combinations of predictors, starting with the highest-ranked variables (see Supplementary Table 1). Model performance was evaluated at the grid-cell level using both the training and validation periods. For each cell, the coefficient of determination (R²) from the training period was summarized through its mean, median, and standard deviation, while predictive performance in the validation period was assessed using the mean and standard deviation of the root mean squared error (RMSE) and the mean bias.</w:t>
      </w:r>
    </w:p>
    <w:p w14:paraId="61AEA337" w14:textId="77777777" w:rsidR="00CC4E1E" w:rsidRPr="001244E0" w:rsidRDefault="00CC4E1E" w:rsidP="00CC4E1E">
      <w:pPr>
        <w:spacing w:line="360" w:lineRule="auto"/>
        <w:rPr>
          <w:rFonts w:cs="Times New Roman"/>
          <w:szCs w:val="20"/>
        </w:rPr>
      </w:pPr>
      <w:r w:rsidRPr="001244E0">
        <w:rPr>
          <w:rFonts w:cs="Times New Roman"/>
          <w:szCs w:val="20"/>
        </w:rPr>
        <w:t>Model statistical significance was evaluated using the F-statistics, summarized by its mean and standard deviation across cells, along with the percentage of cells presenting statistically significant F-tests (p &lt; 0.05). Multicollinearity was assessed using the variance inflation factor (VIF), and the percentage of cells with VIF values lower than 5 was reported.</w:t>
      </w:r>
    </w:p>
    <w:p w14:paraId="03B86095" w14:textId="1A2D1CE5" w:rsidR="00CC4E1E" w:rsidRPr="005421FC" w:rsidRDefault="00CC4E1E" w:rsidP="00CC4E1E">
      <w:pPr>
        <w:spacing w:line="360" w:lineRule="auto"/>
        <w:rPr>
          <w:rFonts w:cs="Times New Roman"/>
          <w:szCs w:val="20"/>
        </w:rPr>
      </w:pPr>
      <w:r w:rsidRPr="005421FC">
        <w:rPr>
          <w:rFonts w:cs="Times New Roman"/>
          <w:szCs w:val="20"/>
        </w:rPr>
        <w:t xml:space="preserve">In addition to cell-level diagnostics, domain-level metrics were computed to assess large-scale model performance. Domain-mean time series were constructed by averaging predictions across all valid grid cells and were generated using a single domain-level MLR. From these domain-level MLR simulations, the R² from the training period, RMSE, bias, and Pearson correlation coefficient (r) and its associated p-value were calculated from the validation period. These domain metrics are commonly reported in the literature (e.g., </w:t>
      </w:r>
      <w:r w:rsidR="00806EC9" w:rsidRPr="00806EC9">
        <w:rPr>
          <w:rFonts w:cs="Times New Roman"/>
          <w:color w:val="000000"/>
          <w:szCs w:val="20"/>
        </w:rPr>
        <w:t>Romps et al. 2014; Finney et al. 2018)</w:t>
      </w:r>
      <w:r w:rsidRPr="005421FC">
        <w:rPr>
          <w:rFonts w:cs="Times New Roman"/>
          <w:szCs w:val="20"/>
        </w:rPr>
        <w:t xml:space="preserve"> and provide a more robust assessment of model performance, since cell-level R² values tend to be lower due to local variability and GCM noise.</w:t>
      </w:r>
    </w:p>
    <w:p w14:paraId="52156970" w14:textId="535DE14F" w:rsidR="00CC4E1E" w:rsidRDefault="00CC4E1E" w:rsidP="00CC4E1E">
      <w:pPr>
        <w:spacing w:line="360" w:lineRule="auto"/>
        <w:rPr>
          <w:rFonts w:cs="Times New Roman"/>
          <w:szCs w:val="20"/>
        </w:rPr>
      </w:pPr>
      <w:r w:rsidRPr="00E23236">
        <w:rPr>
          <w:rFonts w:cs="Times New Roman"/>
          <w:szCs w:val="20"/>
        </w:rPr>
        <w:t>The prior ranking of individual variables guided the model selection strategy. The analysis started with the highest-ranked variable and progressively incorporated additional predictors representing distinct physical processes, provided they also ranked highly. A full combinatorial exploration of all possible predictor sets was therefore not performed. Interaction terms between variables were explicitly tested to account for coupling between processes.</w:t>
      </w:r>
    </w:p>
    <w:p w14:paraId="2A8F1C80" w14:textId="77777777" w:rsidR="00E23236" w:rsidRDefault="00E23236" w:rsidP="00CC4E1E">
      <w:pPr>
        <w:spacing w:line="360" w:lineRule="auto"/>
        <w:rPr>
          <w:rFonts w:cs="Times New Roman"/>
          <w:szCs w:val="20"/>
        </w:rPr>
      </w:pPr>
    </w:p>
    <w:p w14:paraId="4553804E" w14:textId="77777777" w:rsidR="00E23236" w:rsidRDefault="00E23236" w:rsidP="00CC4E1E">
      <w:pPr>
        <w:spacing w:line="360" w:lineRule="auto"/>
        <w:rPr>
          <w:rFonts w:cs="Times New Roman"/>
          <w:szCs w:val="20"/>
        </w:rPr>
      </w:pPr>
    </w:p>
    <w:p w14:paraId="1FBFA3A4" w14:textId="77777777" w:rsidR="00E23236" w:rsidRDefault="00E23236" w:rsidP="00CC4E1E">
      <w:pPr>
        <w:spacing w:line="360" w:lineRule="auto"/>
        <w:rPr>
          <w:rFonts w:cs="Times New Roman"/>
          <w:szCs w:val="20"/>
        </w:rPr>
      </w:pPr>
    </w:p>
    <w:p w14:paraId="6B8CF64C" w14:textId="77777777" w:rsidR="00E23236" w:rsidRDefault="00E23236" w:rsidP="00CC4E1E">
      <w:pPr>
        <w:spacing w:line="360" w:lineRule="auto"/>
        <w:rPr>
          <w:rFonts w:cs="Times New Roman"/>
          <w:szCs w:val="20"/>
        </w:rPr>
      </w:pPr>
    </w:p>
    <w:p w14:paraId="05B52616" w14:textId="77777777" w:rsidR="00E23236" w:rsidRDefault="00E23236" w:rsidP="00CC4E1E">
      <w:pPr>
        <w:spacing w:line="360" w:lineRule="auto"/>
        <w:rPr>
          <w:rFonts w:cs="Times New Roman"/>
          <w:szCs w:val="20"/>
        </w:rPr>
      </w:pPr>
    </w:p>
    <w:p w14:paraId="42AA3B52" w14:textId="77777777" w:rsidR="00E23236" w:rsidRDefault="00E23236" w:rsidP="00CC4E1E">
      <w:pPr>
        <w:spacing w:line="360" w:lineRule="auto"/>
        <w:rPr>
          <w:rFonts w:cs="Times New Roman"/>
          <w:szCs w:val="20"/>
        </w:rPr>
      </w:pPr>
    </w:p>
    <w:p w14:paraId="1E8678F3" w14:textId="77777777" w:rsidR="00E23236" w:rsidRPr="00E23236" w:rsidRDefault="00E23236" w:rsidP="00CC4E1E">
      <w:pPr>
        <w:spacing w:line="360" w:lineRule="auto"/>
        <w:rPr>
          <w:rFonts w:cs="Times New Roman"/>
          <w:szCs w:val="20"/>
        </w:rPr>
      </w:pPr>
    </w:p>
    <w:p w14:paraId="0A6B0184" w14:textId="383D765A" w:rsidR="00FA7F88" w:rsidRPr="00CA4359" w:rsidRDefault="00DE399A" w:rsidP="00FA7F88">
      <w:pPr>
        <w:pStyle w:val="PargrafodaLista"/>
        <w:numPr>
          <w:ilvl w:val="0"/>
          <w:numId w:val="1"/>
        </w:numPr>
        <w:ind w:left="284" w:hanging="284"/>
        <w:rPr>
          <w:b/>
          <w:bCs/>
          <w:sz w:val="24"/>
        </w:rPr>
      </w:pPr>
      <w:r w:rsidRPr="001F3BC6">
        <w:rPr>
          <w:b/>
          <w:bCs/>
          <w:sz w:val="24"/>
        </w:rPr>
        <w:lastRenderedPageBreak/>
        <w:t xml:space="preserve">Supplementary Results </w:t>
      </w:r>
    </w:p>
    <w:p w14:paraId="7D2DD867" w14:textId="5E7F6BC0" w:rsidR="00FA7F88" w:rsidRPr="00FA7F88" w:rsidRDefault="00E04E0F" w:rsidP="00FA7F88">
      <w:r>
        <w:t xml:space="preserve">Supplementary Table 1. </w:t>
      </w:r>
      <w:r w:rsidR="00B01721" w:rsidRPr="002D04E3">
        <w:t>Atmospheric variables used in subsequent analysis and their identification</w:t>
      </w:r>
      <w:r w:rsidR="00B01721">
        <w:t>.</w:t>
      </w:r>
    </w:p>
    <w:tbl>
      <w:tblPr>
        <w:tblStyle w:val="Tabelacomgrade"/>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86"/>
        <w:gridCol w:w="2243"/>
        <w:gridCol w:w="2575"/>
      </w:tblGrid>
      <w:tr w:rsidR="00FA7F88" w:rsidRPr="002D04E3" w14:paraId="339BCBD5" w14:textId="77777777" w:rsidTr="00FB0555">
        <w:trPr>
          <w:jc w:val="center"/>
        </w:trPr>
        <w:tc>
          <w:tcPr>
            <w:tcW w:w="3686" w:type="dxa"/>
            <w:tcBorders>
              <w:top w:val="single" w:sz="4" w:space="0" w:color="auto"/>
              <w:bottom w:val="single" w:sz="4" w:space="0" w:color="auto"/>
            </w:tcBorders>
            <w:vAlign w:val="center"/>
          </w:tcPr>
          <w:p w14:paraId="4625DAAD" w14:textId="77777777" w:rsidR="00FA7F88" w:rsidRPr="002D04E3" w:rsidRDefault="00FA7F88" w:rsidP="00FB0555">
            <w:pPr>
              <w:jc w:val="center"/>
              <w:rPr>
                <w:rFonts w:cs="Times New Roman"/>
                <w:b/>
                <w:bCs/>
                <w:szCs w:val="20"/>
              </w:rPr>
            </w:pPr>
            <w:r w:rsidRPr="002D04E3">
              <w:rPr>
                <w:rFonts w:cs="Times New Roman"/>
                <w:b/>
                <w:bCs/>
                <w:szCs w:val="20"/>
              </w:rPr>
              <w:t>Variable</w:t>
            </w:r>
          </w:p>
        </w:tc>
        <w:tc>
          <w:tcPr>
            <w:tcW w:w="2243" w:type="dxa"/>
            <w:tcBorders>
              <w:top w:val="single" w:sz="4" w:space="0" w:color="auto"/>
              <w:bottom w:val="single" w:sz="4" w:space="0" w:color="auto"/>
            </w:tcBorders>
            <w:vAlign w:val="center"/>
          </w:tcPr>
          <w:p w14:paraId="354301C1" w14:textId="77777777" w:rsidR="00FA7F88" w:rsidRPr="002D04E3" w:rsidRDefault="00FA7F88" w:rsidP="00FB0555">
            <w:pPr>
              <w:jc w:val="center"/>
              <w:rPr>
                <w:rFonts w:cs="Times New Roman"/>
                <w:b/>
                <w:bCs/>
                <w:szCs w:val="20"/>
              </w:rPr>
            </w:pPr>
            <w:r w:rsidRPr="002D04E3">
              <w:rPr>
                <w:rFonts w:cs="Times New Roman"/>
                <w:b/>
                <w:bCs/>
                <w:szCs w:val="20"/>
              </w:rPr>
              <w:t>ID</w:t>
            </w:r>
          </w:p>
        </w:tc>
        <w:tc>
          <w:tcPr>
            <w:tcW w:w="2575" w:type="dxa"/>
            <w:tcBorders>
              <w:top w:val="single" w:sz="4" w:space="0" w:color="auto"/>
              <w:bottom w:val="single" w:sz="4" w:space="0" w:color="auto"/>
            </w:tcBorders>
            <w:vAlign w:val="center"/>
          </w:tcPr>
          <w:p w14:paraId="66A719F5" w14:textId="77777777" w:rsidR="00FA7F88" w:rsidRPr="002D04E3" w:rsidRDefault="00FA7F88" w:rsidP="00FB0555">
            <w:pPr>
              <w:jc w:val="center"/>
              <w:rPr>
                <w:rFonts w:cs="Times New Roman"/>
                <w:b/>
                <w:bCs/>
                <w:szCs w:val="20"/>
              </w:rPr>
            </w:pPr>
            <w:r w:rsidRPr="002D04E3">
              <w:rPr>
                <w:rFonts w:cs="Times New Roman"/>
                <w:b/>
                <w:bCs/>
                <w:szCs w:val="20"/>
              </w:rPr>
              <w:t>Measurement Unit</w:t>
            </w:r>
          </w:p>
        </w:tc>
      </w:tr>
      <w:tr w:rsidR="00FA7F88" w:rsidRPr="002D04E3" w14:paraId="69AB241F" w14:textId="77777777" w:rsidTr="00FB0555">
        <w:trPr>
          <w:jc w:val="center"/>
        </w:trPr>
        <w:tc>
          <w:tcPr>
            <w:tcW w:w="3686" w:type="dxa"/>
            <w:tcBorders>
              <w:top w:val="single" w:sz="4" w:space="0" w:color="auto"/>
            </w:tcBorders>
            <w:vAlign w:val="center"/>
          </w:tcPr>
          <w:p w14:paraId="7AE77F92" w14:textId="77777777" w:rsidR="00FA7F88" w:rsidRPr="002D04E3" w:rsidRDefault="00FA7F88" w:rsidP="00FB0555">
            <w:pPr>
              <w:jc w:val="center"/>
              <w:rPr>
                <w:rFonts w:cs="Times New Roman"/>
                <w:szCs w:val="20"/>
              </w:rPr>
            </w:pPr>
            <w:r w:rsidRPr="002D04E3">
              <w:rPr>
                <w:rFonts w:cs="Times New Roman"/>
                <w:szCs w:val="20"/>
              </w:rPr>
              <w:t>Plume buoyance</w:t>
            </w:r>
          </w:p>
        </w:tc>
        <w:tc>
          <w:tcPr>
            <w:tcW w:w="2243" w:type="dxa"/>
            <w:tcBorders>
              <w:top w:val="single" w:sz="4" w:space="0" w:color="auto"/>
            </w:tcBorders>
            <w:vAlign w:val="center"/>
          </w:tcPr>
          <w:p w14:paraId="1E15F209" w14:textId="77777777" w:rsidR="00FA7F88" w:rsidRPr="002D04E3" w:rsidRDefault="00FA7F88" w:rsidP="00FB0555">
            <w:pPr>
              <w:jc w:val="center"/>
              <w:rPr>
                <w:rFonts w:cs="Times New Roman"/>
                <w:szCs w:val="20"/>
              </w:rPr>
            </w:pPr>
            <w:r w:rsidRPr="002D04E3">
              <w:rPr>
                <w:rFonts w:cs="Times New Roman"/>
                <w:szCs w:val="20"/>
              </w:rPr>
              <w:t>PB</w:t>
            </w:r>
          </w:p>
        </w:tc>
        <w:tc>
          <w:tcPr>
            <w:tcW w:w="2575" w:type="dxa"/>
            <w:tcBorders>
              <w:top w:val="single" w:sz="4" w:space="0" w:color="auto"/>
            </w:tcBorders>
            <w:vAlign w:val="center"/>
          </w:tcPr>
          <w:p w14:paraId="4AF30F9F"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m </m:t>
                </m:r>
                <m:sSup>
                  <m:sSupPr>
                    <m:ctrlPr>
                      <w:rPr>
                        <w:rFonts w:ascii="Cambria Math" w:hAnsi="Cambria Math" w:cs="Times New Roman"/>
                        <w:i/>
                        <w:szCs w:val="20"/>
                      </w:rPr>
                    </m:ctrlPr>
                  </m:sSupPr>
                  <m:e>
                    <m:r>
                      <w:rPr>
                        <w:rFonts w:ascii="Cambria Math" w:hAnsi="Cambria Math" w:cs="Times New Roman"/>
                        <w:szCs w:val="20"/>
                      </w:rPr>
                      <m:t>s</m:t>
                    </m:r>
                  </m:e>
                  <m:sup>
                    <m:r>
                      <w:rPr>
                        <w:rFonts w:ascii="Cambria Math" w:hAnsi="Cambria Math" w:cs="Times New Roman"/>
                        <w:szCs w:val="20"/>
                      </w:rPr>
                      <m:t>-2</m:t>
                    </m:r>
                  </m:sup>
                </m:sSup>
              </m:oMath>
            </m:oMathPara>
          </w:p>
        </w:tc>
      </w:tr>
      <w:tr w:rsidR="00FA7F88" w:rsidRPr="002D04E3" w14:paraId="46EF6CC4" w14:textId="77777777" w:rsidTr="00FB0555">
        <w:trPr>
          <w:jc w:val="center"/>
        </w:trPr>
        <w:tc>
          <w:tcPr>
            <w:tcW w:w="3686" w:type="dxa"/>
            <w:vAlign w:val="center"/>
          </w:tcPr>
          <w:p w14:paraId="65959F89" w14:textId="77777777" w:rsidR="00FA7F88" w:rsidRPr="002D04E3" w:rsidRDefault="00FA7F88" w:rsidP="00FB0555">
            <w:pPr>
              <w:jc w:val="center"/>
              <w:rPr>
                <w:rFonts w:cs="Times New Roman"/>
                <w:szCs w:val="20"/>
              </w:rPr>
            </w:pPr>
            <w:r w:rsidRPr="002D04E3">
              <w:rPr>
                <w:rFonts w:cs="Times New Roman"/>
                <w:szCs w:val="20"/>
              </w:rPr>
              <w:t>Convective precipitation rate</w:t>
            </w:r>
          </w:p>
        </w:tc>
        <w:tc>
          <w:tcPr>
            <w:tcW w:w="2243" w:type="dxa"/>
            <w:vAlign w:val="center"/>
          </w:tcPr>
          <w:p w14:paraId="381648A6" w14:textId="77777777" w:rsidR="00FA7F88" w:rsidRPr="002D04E3" w:rsidRDefault="00FA7F88" w:rsidP="00FB0555">
            <w:pPr>
              <w:jc w:val="center"/>
              <w:rPr>
                <w:rFonts w:cs="Times New Roman"/>
                <w:szCs w:val="20"/>
              </w:rPr>
            </w:pPr>
            <w:r w:rsidRPr="002D04E3">
              <w:rPr>
                <w:rFonts w:cs="Times New Roman"/>
                <w:szCs w:val="20"/>
              </w:rPr>
              <w:t>CPR</w:t>
            </w:r>
          </w:p>
        </w:tc>
        <w:tc>
          <w:tcPr>
            <w:tcW w:w="2575" w:type="dxa"/>
            <w:vAlign w:val="center"/>
          </w:tcPr>
          <w:p w14:paraId="49EDE823"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kg </m:t>
                </m:r>
                <m:sSup>
                  <m:sSupPr>
                    <m:ctrlPr>
                      <w:rPr>
                        <w:rFonts w:ascii="Cambria Math" w:hAnsi="Cambria Math" w:cs="Times New Roman"/>
                        <w:i/>
                        <w:szCs w:val="20"/>
                      </w:rPr>
                    </m:ctrlPr>
                  </m:sSupPr>
                  <m:e>
                    <m:r>
                      <w:rPr>
                        <w:rFonts w:ascii="Cambria Math" w:hAnsi="Cambria Math" w:cs="Times New Roman"/>
                        <w:szCs w:val="20"/>
                      </w:rPr>
                      <m:t>m</m:t>
                    </m:r>
                  </m:e>
                  <m:sup>
                    <m:r>
                      <w:rPr>
                        <w:rFonts w:ascii="Cambria Math" w:hAnsi="Cambria Math" w:cs="Times New Roman"/>
                        <w:szCs w:val="20"/>
                      </w:rPr>
                      <m:t>-2</m:t>
                    </m:r>
                  </m:sup>
                </m:sSup>
                <m:r>
                  <w:rPr>
                    <w:rFonts w:ascii="Cambria Math" w:hAnsi="Cambria Math" w:cs="Times New Roman"/>
                    <w:szCs w:val="20"/>
                  </w:rPr>
                  <m:t xml:space="preserve"> </m:t>
                </m:r>
                <m:sSup>
                  <m:sSupPr>
                    <m:ctrlPr>
                      <w:rPr>
                        <w:rFonts w:ascii="Cambria Math" w:hAnsi="Cambria Math" w:cs="Times New Roman"/>
                        <w:i/>
                        <w:szCs w:val="20"/>
                      </w:rPr>
                    </m:ctrlPr>
                  </m:sSupPr>
                  <m:e>
                    <m:r>
                      <w:rPr>
                        <w:rFonts w:ascii="Cambria Math" w:hAnsi="Cambria Math" w:cs="Times New Roman"/>
                        <w:szCs w:val="20"/>
                      </w:rPr>
                      <m:t>s</m:t>
                    </m:r>
                  </m:e>
                  <m:sup>
                    <m:r>
                      <w:rPr>
                        <w:rFonts w:ascii="Cambria Math" w:hAnsi="Cambria Math" w:cs="Times New Roman"/>
                        <w:szCs w:val="20"/>
                      </w:rPr>
                      <m:t>-1</m:t>
                    </m:r>
                  </m:sup>
                </m:sSup>
              </m:oMath>
            </m:oMathPara>
          </w:p>
        </w:tc>
      </w:tr>
      <w:tr w:rsidR="00FA7F88" w:rsidRPr="002D04E3" w14:paraId="3AC465C6" w14:textId="77777777" w:rsidTr="00FB0555">
        <w:trPr>
          <w:jc w:val="center"/>
        </w:trPr>
        <w:tc>
          <w:tcPr>
            <w:tcW w:w="3686" w:type="dxa"/>
            <w:vAlign w:val="center"/>
          </w:tcPr>
          <w:p w14:paraId="6A2C842D" w14:textId="77777777" w:rsidR="00FA7F88" w:rsidRPr="002D04E3" w:rsidRDefault="00FA7F88" w:rsidP="00FB0555">
            <w:pPr>
              <w:jc w:val="center"/>
              <w:rPr>
                <w:rFonts w:cs="Times New Roman"/>
                <w:szCs w:val="20"/>
              </w:rPr>
            </w:pPr>
            <w:r w:rsidRPr="002D04E3">
              <w:rPr>
                <w:rFonts w:cs="Times New Roman"/>
                <w:szCs w:val="20"/>
              </w:rPr>
              <w:t xml:space="preserve">Potential temperature equivalent (θₑ) at 850 </w:t>
            </w:r>
            <w:proofErr w:type="spellStart"/>
            <w:r w:rsidRPr="002D04E3">
              <w:rPr>
                <w:rFonts w:cs="Times New Roman"/>
                <w:szCs w:val="20"/>
              </w:rPr>
              <w:t>hPa</w:t>
            </w:r>
            <w:proofErr w:type="spellEnd"/>
          </w:p>
        </w:tc>
        <w:tc>
          <w:tcPr>
            <w:tcW w:w="2243" w:type="dxa"/>
            <w:vAlign w:val="center"/>
          </w:tcPr>
          <w:p w14:paraId="48D79E8B" w14:textId="77777777" w:rsidR="00FA7F88" w:rsidRPr="002D04E3" w:rsidRDefault="00FA7F88" w:rsidP="00FB0555">
            <w:pPr>
              <w:jc w:val="center"/>
              <w:rPr>
                <w:rFonts w:cs="Times New Roman"/>
                <w:szCs w:val="20"/>
              </w:rPr>
            </w:pPr>
            <w:proofErr w:type="spellStart"/>
            <w:r w:rsidRPr="002D04E3">
              <w:rPr>
                <w:rFonts w:cs="Times New Roman"/>
                <w:szCs w:val="20"/>
              </w:rPr>
              <w:t>ThetaE</w:t>
            </w:r>
            <w:proofErr w:type="spellEnd"/>
          </w:p>
        </w:tc>
        <w:tc>
          <w:tcPr>
            <w:tcW w:w="2575" w:type="dxa"/>
            <w:vAlign w:val="center"/>
          </w:tcPr>
          <w:p w14:paraId="12EA1F6D" w14:textId="77777777" w:rsidR="00FA7F88" w:rsidRPr="002D04E3" w:rsidRDefault="00FA7F88" w:rsidP="00FB0555">
            <w:pPr>
              <w:jc w:val="center"/>
              <w:rPr>
                <w:rFonts w:cs="Times New Roman"/>
                <w:szCs w:val="20"/>
              </w:rPr>
            </w:pPr>
            <w:r w:rsidRPr="002D04E3">
              <w:rPr>
                <w:rFonts w:cs="Times New Roman"/>
                <w:szCs w:val="20"/>
              </w:rPr>
              <w:t>K</w:t>
            </w:r>
          </w:p>
        </w:tc>
      </w:tr>
      <w:tr w:rsidR="00FA7F88" w:rsidRPr="002D04E3" w14:paraId="4A929EC6" w14:textId="77777777" w:rsidTr="00FB0555">
        <w:trPr>
          <w:jc w:val="center"/>
        </w:trPr>
        <w:tc>
          <w:tcPr>
            <w:tcW w:w="3686" w:type="dxa"/>
            <w:vAlign w:val="center"/>
          </w:tcPr>
          <w:p w14:paraId="1B813A38" w14:textId="77777777" w:rsidR="00FA7F88" w:rsidRPr="002D04E3" w:rsidRDefault="00FA7F88" w:rsidP="00FB0555">
            <w:pPr>
              <w:jc w:val="center"/>
              <w:rPr>
                <w:rFonts w:cs="Times New Roman"/>
                <w:szCs w:val="20"/>
              </w:rPr>
            </w:pPr>
            <w:r w:rsidRPr="002D04E3">
              <w:rPr>
                <w:rFonts w:cs="Times New Roman"/>
                <w:szCs w:val="20"/>
              </w:rPr>
              <w:t xml:space="preserve">Vertical velocity (ω) at 500 </w:t>
            </w:r>
            <w:proofErr w:type="spellStart"/>
            <w:r w:rsidRPr="002D04E3">
              <w:rPr>
                <w:rFonts w:cs="Times New Roman"/>
                <w:szCs w:val="20"/>
              </w:rPr>
              <w:t>hPa</w:t>
            </w:r>
            <w:proofErr w:type="spellEnd"/>
          </w:p>
        </w:tc>
        <w:tc>
          <w:tcPr>
            <w:tcW w:w="2243" w:type="dxa"/>
            <w:vAlign w:val="center"/>
          </w:tcPr>
          <w:p w14:paraId="47A32F4A" w14:textId="77777777" w:rsidR="00FA7F88" w:rsidRPr="002D04E3" w:rsidRDefault="00FA7F88" w:rsidP="00FB0555">
            <w:pPr>
              <w:jc w:val="center"/>
              <w:rPr>
                <w:rFonts w:cs="Times New Roman"/>
                <w:szCs w:val="20"/>
              </w:rPr>
            </w:pPr>
            <w:r w:rsidRPr="002D04E3">
              <w:rPr>
                <w:rFonts w:cs="Times New Roman"/>
                <w:szCs w:val="20"/>
              </w:rPr>
              <w:t>Omega500</w:t>
            </w:r>
          </w:p>
        </w:tc>
        <w:tc>
          <w:tcPr>
            <w:tcW w:w="2575" w:type="dxa"/>
            <w:vAlign w:val="center"/>
          </w:tcPr>
          <w:p w14:paraId="5A5A0585"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Pa </m:t>
                </m:r>
                <m:sSup>
                  <m:sSupPr>
                    <m:ctrlPr>
                      <w:rPr>
                        <w:rFonts w:ascii="Cambria Math" w:hAnsi="Cambria Math" w:cs="Times New Roman"/>
                        <w:i/>
                        <w:szCs w:val="20"/>
                      </w:rPr>
                    </m:ctrlPr>
                  </m:sSupPr>
                  <m:e>
                    <m:r>
                      <w:rPr>
                        <w:rFonts w:ascii="Cambria Math" w:hAnsi="Cambria Math" w:cs="Times New Roman"/>
                        <w:szCs w:val="20"/>
                      </w:rPr>
                      <m:t>s</m:t>
                    </m:r>
                  </m:e>
                  <m:sup>
                    <m:r>
                      <w:rPr>
                        <w:rFonts w:ascii="Cambria Math" w:hAnsi="Cambria Math" w:cs="Times New Roman"/>
                        <w:szCs w:val="20"/>
                      </w:rPr>
                      <m:t>-1</m:t>
                    </m:r>
                  </m:sup>
                </m:sSup>
              </m:oMath>
            </m:oMathPara>
          </w:p>
        </w:tc>
      </w:tr>
      <w:tr w:rsidR="00FA7F88" w:rsidRPr="002D04E3" w14:paraId="06B598E5" w14:textId="77777777" w:rsidTr="00FB0555">
        <w:trPr>
          <w:jc w:val="center"/>
        </w:trPr>
        <w:tc>
          <w:tcPr>
            <w:tcW w:w="3686" w:type="dxa"/>
            <w:vAlign w:val="center"/>
          </w:tcPr>
          <w:p w14:paraId="75E1FB80" w14:textId="77777777" w:rsidR="00FA7F88" w:rsidRPr="002D04E3" w:rsidRDefault="00FA7F88" w:rsidP="00FB0555">
            <w:pPr>
              <w:jc w:val="center"/>
              <w:rPr>
                <w:rFonts w:cs="Times New Roman"/>
                <w:szCs w:val="20"/>
              </w:rPr>
            </w:pPr>
            <w:r w:rsidRPr="002D04E3">
              <w:rPr>
                <w:rFonts w:cs="Times New Roman"/>
                <w:szCs w:val="20"/>
              </w:rPr>
              <w:t xml:space="preserve">Mid-level humidity deficit </w:t>
            </w:r>
          </w:p>
          <w:p w14:paraId="797A5B14" w14:textId="77777777" w:rsidR="00FA7F88" w:rsidRPr="002D04E3" w:rsidRDefault="00FA7F88" w:rsidP="00FB0555">
            <w:pPr>
              <w:jc w:val="center"/>
              <w:rPr>
                <w:rFonts w:cs="Times New Roman"/>
                <w:szCs w:val="20"/>
              </w:rPr>
            </w:pPr>
            <w:r w:rsidRPr="002D04E3">
              <w:rPr>
                <w:rFonts w:cs="Times New Roman"/>
                <w:szCs w:val="20"/>
              </w:rPr>
              <w:t xml:space="preserve">(700-500 </w:t>
            </w:r>
            <w:proofErr w:type="spellStart"/>
            <w:r w:rsidRPr="002D04E3">
              <w:rPr>
                <w:rFonts w:cs="Times New Roman"/>
                <w:szCs w:val="20"/>
              </w:rPr>
              <w:t>hPa</w:t>
            </w:r>
            <w:proofErr w:type="spellEnd"/>
            <w:r w:rsidRPr="002D04E3">
              <w:rPr>
                <w:rFonts w:cs="Times New Roman"/>
                <w:szCs w:val="20"/>
              </w:rPr>
              <w:t>)</w:t>
            </w:r>
          </w:p>
        </w:tc>
        <w:tc>
          <w:tcPr>
            <w:tcW w:w="2243" w:type="dxa"/>
            <w:vAlign w:val="center"/>
          </w:tcPr>
          <w:p w14:paraId="6604F896" w14:textId="77777777" w:rsidR="00FA7F88" w:rsidRPr="002D04E3" w:rsidRDefault="00FA7F88" w:rsidP="00FB0555">
            <w:pPr>
              <w:jc w:val="center"/>
              <w:rPr>
                <w:rFonts w:cs="Times New Roman"/>
                <w:szCs w:val="20"/>
              </w:rPr>
            </w:pPr>
            <w:r w:rsidRPr="002D04E3">
              <w:rPr>
                <w:rFonts w:cs="Times New Roman"/>
                <w:szCs w:val="20"/>
              </w:rPr>
              <w:t>MHD</w:t>
            </w:r>
          </w:p>
        </w:tc>
        <w:tc>
          <w:tcPr>
            <w:tcW w:w="2575" w:type="dxa"/>
            <w:vAlign w:val="center"/>
          </w:tcPr>
          <w:p w14:paraId="67C1891A" w14:textId="77777777" w:rsidR="00FA7F88" w:rsidRPr="002D04E3" w:rsidRDefault="00FA7F88" w:rsidP="00FB0555">
            <w:pPr>
              <w:jc w:val="center"/>
              <w:rPr>
                <w:rFonts w:cs="Times New Roman"/>
                <w:szCs w:val="20"/>
              </w:rPr>
            </w:pPr>
            <w:r w:rsidRPr="002D04E3">
              <w:rPr>
                <w:rFonts w:cs="Times New Roman"/>
                <w:szCs w:val="20"/>
              </w:rPr>
              <w:t>Dimensionless (0-1)</w:t>
            </w:r>
          </w:p>
        </w:tc>
      </w:tr>
      <w:tr w:rsidR="00FA7F88" w:rsidRPr="002D04E3" w14:paraId="472607C5" w14:textId="77777777" w:rsidTr="00FB0555">
        <w:trPr>
          <w:jc w:val="center"/>
        </w:trPr>
        <w:tc>
          <w:tcPr>
            <w:tcW w:w="3686" w:type="dxa"/>
            <w:vAlign w:val="center"/>
          </w:tcPr>
          <w:p w14:paraId="7FB732A0" w14:textId="77777777" w:rsidR="00FA7F88" w:rsidRPr="002D04E3" w:rsidRDefault="00FA7F88" w:rsidP="00FB0555">
            <w:pPr>
              <w:jc w:val="center"/>
              <w:rPr>
                <w:rFonts w:cs="Times New Roman"/>
                <w:szCs w:val="20"/>
              </w:rPr>
            </w:pPr>
            <w:r w:rsidRPr="002D04E3">
              <w:rPr>
                <w:rFonts w:cs="Times New Roman"/>
                <w:szCs w:val="20"/>
              </w:rPr>
              <w:t>Total column ice</w:t>
            </w:r>
          </w:p>
        </w:tc>
        <w:tc>
          <w:tcPr>
            <w:tcW w:w="2243" w:type="dxa"/>
            <w:vAlign w:val="center"/>
          </w:tcPr>
          <w:p w14:paraId="321E0F20" w14:textId="77777777" w:rsidR="00FA7F88" w:rsidRPr="002D04E3" w:rsidRDefault="00FA7F88" w:rsidP="00FB0555">
            <w:pPr>
              <w:jc w:val="center"/>
              <w:rPr>
                <w:rFonts w:cs="Times New Roman"/>
                <w:szCs w:val="20"/>
              </w:rPr>
            </w:pPr>
            <w:r w:rsidRPr="002D04E3">
              <w:rPr>
                <w:rFonts w:cs="Times New Roman"/>
                <w:szCs w:val="20"/>
              </w:rPr>
              <w:t>ICE</w:t>
            </w:r>
          </w:p>
        </w:tc>
        <w:tc>
          <w:tcPr>
            <w:tcW w:w="2575" w:type="dxa"/>
            <w:vAlign w:val="center"/>
          </w:tcPr>
          <w:p w14:paraId="463700C9"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kg </m:t>
                </m:r>
                <m:sSup>
                  <m:sSupPr>
                    <m:ctrlPr>
                      <w:rPr>
                        <w:rFonts w:ascii="Cambria Math" w:hAnsi="Cambria Math" w:cs="Times New Roman"/>
                        <w:i/>
                        <w:szCs w:val="20"/>
                      </w:rPr>
                    </m:ctrlPr>
                  </m:sSupPr>
                  <m:e>
                    <m:r>
                      <w:rPr>
                        <w:rFonts w:ascii="Cambria Math" w:hAnsi="Cambria Math" w:cs="Times New Roman"/>
                        <w:szCs w:val="20"/>
                      </w:rPr>
                      <m:t>m</m:t>
                    </m:r>
                  </m:e>
                  <m:sup>
                    <m:r>
                      <w:rPr>
                        <w:rFonts w:ascii="Cambria Math" w:hAnsi="Cambria Math" w:cs="Times New Roman"/>
                        <w:szCs w:val="20"/>
                      </w:rPr>
                      <m:t>-2</m:t>
                    </m:r>
                  </m:sup>
                </m:sSup>
              </m:oMath>
            </m:oMathPara>
          </w:p>
        </w:tc>
      </w:tr>
      <w:tr w:rsidR="00FA7F88" w:rsidRPr="002D04E3" w14:paraId="4DFC68D0" w14:textId="77777777" w:rsidTr="00FB0555">
        <w:trPr>
          <w:jc w:val="center"/>
        </w:trPr>
        <w:tc>
          <w:tcPr>
            <w:tcW w:w="3686" w:type="dxa"/>
            <w:vAlign w:val="center"/>
          </w:tcPr>
          <w:p w14:paraId="1904E7DC" w14:textId="77777777" w:rsidR="00FA7F88" w:rsidRPr="002D04E3" w:rsidRDefault="00FA7F88" w:rsidP="00FB0555">
            <w:pPr>
              <w:jc w:val="center"/>
              <w:rPr>
                <w:rFonts w:cs="Times New Roman"/>
                <w:szCs w:val="20"/>
              </w:rPr>
            </w:pPr>
            <w:r w:rsidRPr="002D04E3">
              <w:rPr>
                <w:rFonts w:cs="Times New Roman"/>
                <w:szCs w:val="20"/>
              </w:rPr>
              <w:t>Convective Available Potential Energy</w:t>
            </w:r>
          </w:p>
        </w:tc>
        <w:tc>
          <w:tcPr>
            <w:tcW w:w="2243" w:type="dxa"/>
            <w:vAlign w:val="center"/>
          </w:tcPr>
          <w:p w14:paraId="6C3FADD9" w14:textId="77777777" w:rsidR="00FA7F88" w:rsidRPr="002D04E3" w:rsidRDefault="00FA7F88" w:rsidP="00FB0555">
            <w:pPr>
              <w:jc w:val="center"/>
              <w:rPr>
                <w:rFonts w:cs="Times New Roman"/>
                <w:szCs w:val="20"/>
              </w:rPr>
            </w:pPr>
            <w:r w:rsidRPr="002D04E3">
              <w:rPr>
                <w:rFonts w:cs="Times New Roman"/>
                <w:szCs w:val="20"/>
              </w:rPr>
              <w:t>CAPE</w:t>
            </w:r>
          </w:p>
        </w:tc>
        <w:tc>
          <w:tcPr>
            <w:tcW w:w="2575" w:type="dxa"/>
            <w:vAlign w:val="center"/>
          </w:tcPr>
          <w:p w14:paraId="61FD503F"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J </m:t>
                </m:r>
                <m:sSup>
                  <m:sSupPr>
                    <m:ctrlPr>
                      <w:rPr>
                        <w:rFonts w:ascii="Cambria Math" w:hAnsi="Cambria Math" w:cs="Times New Roman"/>
                        <w:i/>
                        <w:szCs w:val="20"/>
                      </w:rPr>
                    </m:ctrlPr>
                  </m:sSupPr>
                  <m:e>
                    <m:r>
                      <w:rPr>
                        <w:rFonts w:ascii="Cambria Math" w:hAnsi="Cambria Math" w:cs="Times New Roman"/>
                        <w:szCs w:val="20"/>
                      </w:rPr>
                      <m:t>kg</m:t>
                    </m:r>
                  </m:e>
                  <m:sup>
                    <m:r>
                      <w:rPr>
                        <w:rFonts w:ascii="Cambria Math" w:hAnsi="Cambria Math" w:cs="Times New Roman"/>
                        <w:szCs w:val="20"/>
                      </w:rPr>
                      <m:t>-1</m:t>
                    </m:r>
                  </m:sup>
                </m:sSup>
              </m:oMath>
            </m:oMathPara>
          </w:p>
        </w:tc>
      </w:tr>
      <w:tr w:rsidR="00FA7F88" w:rsidRPr="002D04E3" w14:paraId="56395FEB" w14:textId="77777777" w:rsidTr="00FB0555">
        <w:trPr>
          <w:jc w:val="center"/>
        </w:trPr>
        <w:tc>
          <w:tcPr>
            <w:tcW w:w="3686" w:type="dxa"/>
            <w:vAlign w:val="center"/>
          </w:tcPr>
          <w:p w14:paraId="674DCAED" w14:textId="77777777" w:rsidR="00FA7F88" w:rsidRPr="002D04E3" w:rsidRDefault="00FA7F88" w:rsidP="00FB0555">
            <w:pPr>
              <w:jc w:val="center"/>
              <w:rPr>
                <w:rFonts w:cs="Times New Roman"/>
                <w:szCs w:val="20"/>
              </w:rPr>
            </w:pPr>
            <w:r w:rsidRPr="002D04E3">
              <w:rPr>
                <w:rFonts w:cs="Times New Roman"/>
                <w:szCs w:val="20"/>
              </w:rPr>
              <w:t>Convective Inhibition Energy</w:t>
            </w:r>
          </w:p>
        </w:tc>
        <w:tc>
          <w:tcPr>
            <w:tcW w:w="2243" w:type="dxa"/>
            <w:vAlign w:val="center"/>
          </w:tcPr>
          <w:p w14:paraId="2E6EDE5C" w14:textId="77777777" w:rsidR="00FA7F88" w:rsidRPr="002D04E3" w:rsidRDefault="00FA7F88" w:rsidP="00FB0555">
            <w:pPr>
              <w:jc w:val="center"/>
              <w:rPr>
                <w:rFonts w:cs="Times New Roman"/>
                <w:szCs w:val="20"/>
              </w:rPr>
            </w:pPr>
            <w:r w:rsidRPr="002D04E3">
              <w:rPr>
                <w:rFonts w:cs="Times New Roman"/>
                <w:szCs w:val="20"/>
              </w:rPr>
              <w:t>CINE</w:t>
            </w:r>
          </w:p>
        </w:tc>
        <w:tc>
          <w:tcPr>
            <w:tcW w:w="2575" w:type="dxa"/>
            <w:vAlign w:val="center"/>
          </w:tcPr>
          <w:p w14:paraId="6E55375A"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J </m:t>
                </m:r>
                <m:sSup>
                  <m:sSupPr>
                    <m:ctrlPr>
                      <w:rPr>
                        <w:rFonts w:ascii="Cambria Math" w:hAnsi="Cambria Math" w:cs="Times New Roman"/>
                        <w:i/>
                        <w:szCs w:val="20"/>
                      </w:rPr>
                    </m:ctrlPr>
                  </m:sSupPr>
                  <m:e>
                    <m:r>
                      <w:rPr>
                        <w:rFonts w:ascii="Cambria Math" w:hAnsi="Cambria Math" w:cs="Times New Roman"/>
                        <w:szCs w:val="20"/>
                      </w:rPr>
                      <m:t>kg</m:t>
                    </m:r>
                  </m:e>
                  <m:sup>
                    <m:r>
                      <w:rPr>
                        <w:rFonts w:ascii="Cambria Math" w:hAnsi="Cambria Math" w:cs="Times New Roman"/>
                        <w:szCs w:val="20"/>
                      </w:rPr>
                      <m:t>-1</m:t>
                    </m:r>
                  </m:sup>
                </m:sSup>
              </m:oMath>
            </m:oMathPara>
          </w:p>
        </w:tc>
      </w:tr>
      <w:tr w:rsidR="00FA7F88" w:rsidRPr="002D04E3" w14:paraId="5E819556" w14:textId="77777777" w:rsidTr="00FB0555">
        <w:trPr>
          <w:jc w:val="center"/>
        </w:trPr>
        <w:tc>
          <w:tcPr>
            <w:tcW w:w="3686" w:type="dxa"/>
            <w:vAlign w:val="center"/>
          </w:tcPr>
          <w:p w14:paraId="7221ADAF" w14:textId="77777777" w:rsidR="00FA7F88" w:rsidRPr="002D04E3" w:rsidRDefault="00FA7F88" w:rsidP="00FB0555">
            <w:pPr>
              <w:jc w:val="center"/>
              <w:rPr>
                <w:rFonts w:cs="Times New Roman"/>
                <w:szCs w:val="20"/>
              </w:rPr>
            </w:pPr>
            <w:r w:rsidRPr="002D04E3">
              <w:rPr>
                <w:rFonts w:cs="Times New Roman"/>
                <w:szCs w:val="20"/>
              </w:rPr>
              <w:t>Conditional stability proxy (</w:t>
            </w:r>
            <w:proofErr w:type="spellStart"/>
            <w:r w:rsidRPr="002D04E3">
              <w:rPr>
                <w:rFonts w:cs="Times New Roman"/>
                <w:szCs w:val="20"/>
              </w:rPr>
              <w:t>Δθ</w:t>
            </w:r>
            <w:proofErr w:type="spellEnd"/>
            <w:r w:rsidRPr="002D04E3">
              <w:rPr>
                <w:rFonts w:cs="Times New Roman"/>
                <w:szCs w:val="20"/>
              </w:rPr>
              <w:t>ₑ)</w:t>
            </w:r>
          </w:p>
        </w:tc>
        <w:tc>
          <w:tcPr>
            <w:tcW w:w="2243" w:type="dxa"/>
            <w:vAlign w:val="center"/>
          </w:tcPr>
          <w:p w14:paraId="11110152" w14:textId="77777777" w:rsidR="00FA7F88" w:rsidRPr="002D04E3" w:rsidRDefault="00FA7F88" w:rsidP="00FB0555">
            <w:pPr>
              <w:jc w:val="center"/>
              <w:rPr>
                <w:rFonts w:cs="Times New Roman"/>
                <w:szCs w:val="20"/>
              </w:rPr>
            </w:pPr>
            <w:r w:rsidRPr="002D04E3">
              <w:rPr>
                <w:rFonts w:cs="Times New Roman"/>
                <w:szCs w:val="20"/>
              </w:rPr>
              <w:t>CSP</w:t>
            </w:r>
          </w:p>
        </w:tc>
        <w:tc>
          <w:tcPr>
            <w:tcW w:w="2575" w:type="dxa"/>
            <w:vAlign w:val="center"/>
          </w:tcPr>
          <w:p w14:paraId="546C6C3F" w14:textId="77777777" w:rsidR="00FA7F88" w:rsidRPr="002D04E3" w:rsidRDefault="00FA7F88" w:rsidP="00FB0555">
            <w:pPr>
              <w:jc w:val="center"/>
              <w:rPr>
                <w:rFonts w:cs="Times New Roman"/>
                <w:szCs w:val="20"/>
              </w:rPr>
            </w:pPr>
            <w:r w:rsidRPr="002D04E3">
              <w:rPr>
                <w:rFonts w:cs="Times New Roman"/>
                <w:szCs w:val="20"/>
              </w:rPr>
              <w:t>K</w:t>
            </w:r>
          </w:p>
        </w:tc>
      </w:tr>
      <w:tr w:rsidR="00FA7F88" w:rsidRPr="002D04E3" w14:paraId="160C2F82" w14:textId="77777777" w:rsidTr="00FB0555">
        <w:trPr>
          <w:jc w:val="center"/>
        </w:trPr>
        <w:tc>
          <w:tcPr>
            <w:tcW w:w="3686" w:type="dxa"/>
            <w:vAlign w:val="center"/>
          </w:tcPr>
          <w:p w14:paraId="2C4AE606" w14:textId="77777777" w:rsidR="00FA7F88" w:rsidRPr="002D04E3" w:rsidRDefault="00FA7F88" w:rsidP="00FB0555">
            <w:pPr>
              <w:jc w:val="center"/>
              <w:rPr>
                <w:rFonts w:cs="Times New Roman"/>
                <w:szCs w:val="20"/>
              </w:rPr>
            </w:pPr>
            <w:r w:rsidRPr="002D04E3">
              <w:rPr>
                <w:rFonts w:cs="Times New Roman"/>
                <w:szCs w:val="20"/>
              </w:rPr>
              <w:t>Mean sea level pressure</w:t>
            </w:r>
          </w:p>
        </w:tc>
        <w:tc>
          <w:tcPr>
            <w:tcW w:w="2243" w:type="dxa"/>
            <w:vAlign w:val="center"/>
          </w:tcPr>
          <w:p w14:paraId="50674F97" w14:textId="77777777" w:rsidR="00FA7F88" w:rsidRPr="002D04E3" w:rsidRDefault="00FA7F88" w:rsidP="00FB0555">
            <w:pPr>
              <w:jc w:val="center"/>
              <w:rPr>
                <w:rFonts w:cs="Times New Roman"/>
                <w:szCs w:val="20"/>
              </w:rPr>
            </w:pPr>
            <w:r w:rsidRPr="002D04E3">
              <w:rPr>
                <w:rFonts w:cs="Times New Roman"/>
                <w:szCs w:val="20"/>
              </w:rPr>
              <w:t>MSLP</w:t>
            </w:r>
          </w:p>
        </w:tc>
        <w:tc>
          <w:tcPr>
            <w:tcW w:w="2575" w:type="dxa"/>
            <w:vAlign w:val="center"/>
          </w:tcPr>
          <w:p w14:paraId="266544C6" w14:textId="77777777" w:rsidR="00FA7F88" w:rsidRPr="002D04E3" w:rsidRDefault="00FA7F88" w:rsidP="00FB0555">
            <w:pPr>
              <w:jc w:val="center"/>
              <w:rPr>
                <w:rFonts w:cs="Times New Roman"/>
                <w:szCs w:val="20"/>
              </w:rPr>
            </w:pPr>
            <w:proofErr w:type="spellStart"/>
            <w:r w:rsidRPr="002D04E3">
              <w:rPr>
                <w:rFonts w:cs="Times New Roman"/>
                <w:szCs w:val="20"/>
              </w:rPr>
              <w:t>hPa</w:t>
            </w:r>
            <w:proofErr w:type="spellEnd"/>
          </w:p>
        </w:tc>
      </w:tr>
      <w:tr w:rsidR="00FA7F88" w:rsidRPr="002D04E3" w14:paraId="129A79FB" w14:textId="77777777" w:rsidTr="00FB0555">
        <w:trPr>
          <w:jc w:val="center"/>
        </w:trPr>
        <w:tc>
          <w:tcPr>
            <w:tcW w:w="3686" w:type="dxa"/>
            <w:vAlign w:val="center"/>
          </w:tcPr>
          <w:p w14:paraId="6C873DF4" w14:textId="77777777" w:rsidR="00FA7F88" w:rsidRPr="002D04E3" w:rsidRDefault="00FA7F88" w:rsidP="00FB0555">
            <w:pPr>
              <w:jc w:val="center"/>
              <w:rPr>
                <w:rFonts w:cs="Times New Roman"/>
                <w:szCs w:val="20"/>
              </w:rPr>
            </w:pPr>
            <w:r w:rsidRPr="002D04E3">
              <w:rPr>
                <w:rFonts w:cs="Times New Roman"/>
                <w:szCs w:val="20"/>
              </w:rPr>
              <w:t>Column relative humidity</w:t>
            </w:r>
          </w:p>
        </w:tc>
        <w:tc>
          <w:tcPr>
            <w:tcW w:w="2243" w:type="dxa"/>
            <w:vAlign w:val="center"/>
          </w:tcPr>
          <w:p w14:paraId="1B60AE88" w14:textId="77777777" w:rsidR="00FA7F88" w:rsidRPr="002D04E3" w:rsidRDefault="00FA7F88" w:rsidP="00FB0555">
            <w:pPr>
              <w:jc w:val="center"/>
              <w:rPr>
                <w:rFonts w:cs="Times New Roman"/>
                <w:szCs w:val="20"/>
              </w:rPr>
            </w:pPr>
            <w:r w:rsidRPr="002D04E3">
              <w:rPr>
                <w:rFonts w:cs="Times New Roman"/>
                <w:szCs w:val="20"/>
              </w:rPr>
              <w:t>CRH</w:t>
            </w:r>
          </w:p>
        </w:tc>
        <w:tc>
          <w:tcPr>
            <w:tcW w:w="2575" w:type="dxa"/>
            <w:vAlign w:val="center"/>
          </w:tcPr>
          <w:p w14:paraId="671458AB" w14:textId="77777777" w:rsidR="00FA7F88" w:rsidRPr="002D04E3" w:rsidRDefault="00FA7F88" w:rsidP="00FB0555">
            <w:pPr>
              <w:jc w:val="center"/>
              <w:rPr>
                <w:rFonts w:cs="Times New Roman"/>
                <w:szCs w:val="20"/>
              </w:rPr>
            </w:pPr>
            <w:r w:rsidRPr="002D04E3">
              <w:rPr>
                <w:rFonts w:cs="Times New Roman"/>
                <w:szCs w:val="20"/>
              </w:rPr>
              <w:t>Dimensionless (0-1)</w:t>
            </w:r>
          </w:p>
        </w:tc>
      </w:tr>
      <w:tr w:rsidR="00FA7F88" w:rsidRPr="002D04E3" w14:paraId="033F5705" w14:textId="77777777" w:rsidTr="00FB0555">
        <w:trPr>
          <w:jc w:val="center"/>
        </w:trPr>
        <w:tc>
          <w:tcPr>
            <w:tcW w:w="3686" w:type="dxa"/>
            <w:vAlign w:val="center"/>
          </w:tcPr>
          <w:p w14:paraId="4B464E33" w14:textId="77777777" w:rsidR="00FA7F88" w:rsidRPr="002D04E3" w:rsidRDefault="00FA7F88" w:rsidP="00FB0555">
            <w:pPr>
              <w:jc w:val="center"/>
              <w:rPr>
                <w:rFonts w:cs="Times New Roman"/>
                <w:szCs w:val="20"/>
              </w:rPr>
            </w:pPr>
            <w:r w:rsidRPr="002D04E3">
              <w:rPr>
                <w:rFonts w:cs="Times New Roman"/>
                <w:szCs w:val="20"/>
              </w:rPr>
              <w:t>Effective energy fraction</w:t>
            </w:r>
          </w:p>
        </w:tc>
        <w:tc>
          <w:tcPr>
            <w:tcW w:w="2243" w:type="dxa"/>
            <w:vAlign w:val="center"/>
          </w:tcPr>
          <w:p w14:paraId="6332E752" w14:textId="77777777" w:rsidR="00FA7F88" w:rsidRPr="002D04E3" w:rsidRDefault="00FA7F88" w:rsidP="00FB0555">
            <w:pPr>
              <w:jc w:val="center"/>
              <w:rPr>
                <w:rFonts w:cs="Times New Roman"/>
                <w:szCs w:val="20"/>
              </w:rPr>
            </w:pPr>
            <w:r w:rsidRPr="002D04E3">
              <w:rPr>
                <w:rFonts w:cs="Times New Roman"/>
                <w:szCs w:val="20"/>
              </w:rPr>
              <w:t>EEF</w:t>
            </w:r>
          </w:p>
        </w:tc>
        <w:tc>
          <w:tcPr>
            <w:tcW w:w="2575" w:type="dxa"/>
            <w:vAlign w:val="center"/>
          </w:tcPr>
          <w:p w14:paraId="32E12B1A" w14:textId="77777777" w:rsidR="00FA7F88" w:rsidRPr="002D04E3" w:rsidRDefault="00FA7F88" w:rsidP="00FB0555">
            <w:pPr>
              <w:jc w:val="center"/>
              <w:rPr>
                <w:rFonts w:cs="Times New Roman"/>
                <w:szCs w:val="20"/>
              </w:rPr>
            </w:pPr>
            <w:r w:rsidRPr="002D04E3">
              <w:rPr>
                <w:rFonts w:cs="Times New Roman"/>
                <w:szCs w:val="20"/>
              </w:rPr>
              <w:t>Dimensionless (0-1)</w:t>
            </w:r>
          </w:p>
        </w:tc>
      </w:tr>
      <w:tr w:rsidR="00FA7F88" w:rsidRPr="002D04E3" w14:paraId="56937D18" w14:textId="77777777" w:rsidTr="00FB0555">
        <w:trPr>
          <w:jc w:val="center"/>
        </w:trPr>
        <w:tc>
          <w:tcPr>
            <w:tcW w:w="3686" w:type="dxa"/>
            <w:tcBorders>
              <w:bottom w:val="single" w:sz="4" w:space="0" w:color="auto"/>
            </w:tcBorders>
            <w:vAlign w:val="center"/>
          </w:tcPr>
          <w:p w14:paraId="2FFA14BD" w14:textId="77777777" w:rsidR="00FA7F88" w:rsidRPr="002D04E3" w:rsidRDefault="00FA7F88" w:rsidP="00FB0555">
            <w:pPr>
              <w:jc w:val="center"/>
              <w:rPr>
                <w:rFonts w:cs="Times New Roman"/>
                <w:szCs w:val="20"/>
              </w:rPr>
            </w:pPr>
            <w:r w:rsidRPr="002D04E3">
              <w:rPr>
                <w:rFonts w:cs="Times New Roman"/>
                <w:szCs w:val="20"/>
              </w:rPr>
              <w:t xml:space="preserve">Mixed-phase layer depth </w:t>
            </w:r>
          </w:p>
          <w:p w14:paraId="27FA59CD" w14:textId="77777777" w:rsidR="00FA7F88" w:rsidRPr="002D04E3" w:rsidRDefault="00FA7F88" w:rsidP="00FB0555">
            <w:pPr>
              <w:jc w:val="center"/>
              <w:rPr>
                <w:rFonts w:cs="Times New Roman"/>
                <w:szCs w:val="20"/>
              </w:rPr>
            </w:pPr>
            <w:r w:rsidRPr="002D04E3">
              <w:rPr>
                <w:rFonts w:cs="Times New Roman"/>
                <w:szCs w:val="20"/>
              </w:rPr>
              <w:t>(0ºC to –40ºC)</w:t>
            </w:r>
          </w:p>
        </w:tc>
        <w:tc>
          <w:tcPr>
            <w:tcW w:w="2243" w:type="dxa"/>
            <w:tcBorders>
              <w:bottom w:val="single" w:sz="4" w:space="0" w:color="auto"/>
            </w:tcBorders>
            <w:vAlign w:val="center"/>
          </w:tcPr>
          <w:p w14:paraId="4A53CE5C" w14:textId="77777777" w:rsidR="00FA7F88" w:rsidRPr="002D04E3" w:rsidRDefault="00FA7F88" w:rsidP="00FB0555">
            <w:pPr>
              <w:jc w:val="center"/>
              <w:rPr>
                <w:rFonts w:cs="Times New Roman"/>
                <w:szCs w:val="20"/>
              </w:rPr>
            </w:pPr>
            <w:r w:rsidRPr="002D04E3">
              <w:rPr>
                <w:rFonts w:cs="Times New Roman"/>
                <w:szCs w:val="20"/>
              </w:rPr>
              <w:t>MLD</w:t>
            </w:r>
          </w:p>
        </w:tc>
        <w:tc>
          <w:tcPr>
            <w:tcW w:w="2575" w:type="dxa"/>
            <w:tcBorders>
              <w:bottom w:val="single" w:sz="4" w:space="0" w:color="auto"/>
            </w:tcBorders>
            <w:vAlign w:val="center"/>
          </w:tcPr>
          <w:p w14:paraId="0C2084CE" w14:textId="77777777" w:rsidR="00FA7F88" w:rsidRPr="002D04E3" w:rsidRDefault="00FA7F88" w:rsidP="00FB0555">
            <w:pPr>
              <w:jc w:val="center"/>
              <w:rPr>
                <w:rFonts w:cs="Times New Roman"/>
                <w:szCs w:val="20"/>
              </w:rPr>
            </w:pPr>
            <w:r w:rsidRPr="002D04E3">
              <w:rPr>
                <w:rFonts w:cs="Times New Roman"/>
                <w:szCs w:val="20"/>
              </w:rPr>
              <w:t>m</w:t>
            </w:r>
          </w:p>
        </w:tc>
      </w:tr>
      <w:tr w:rsidR="00FA7F88" w:rsidRPr="002D04E3" w14:paraId="6C8D6B5D" w14:textId="77777777" w:rsidTr="00FB0555">
        <w:trPr>
          <w:jc w:val="center"/>
        </w:trPr>
        <w:tc>
          <w:tcPr>
            <w:tcW w:w="3686" w:type="dxa"/>
            <w:tcBorders>
              <w:top w:val="single" w:sz="4" w:space="0" w:color="auto"/>
              <w:bottom w:val="single" w:sz="4" w:space="0" w:color="auto"/>
            </w:tcBorders>
            <w:vAlign w:val="center"/>
          </w:tcPr>
          <w:p w14:paraId="7332ECA3" w14:textId="77777777" w:rsidR="00FA7F88" w:rsidRPr="002D04E3" w:rsidRDefault="00FA7F88" w:rsidP="00FB0555">
            <w:pPr>
              <w:jc w:val="center"/>
              <w:rPr>
                <w:rFonts w:cs="Times New Roman"/>
                <w:szCs w:val="20"/>
              </w:rPr>
            </w:pPr>
            <w:r w:rsidRPr="002D04E3">
              <w:rPr>
                <w:rFonts w:cs="Times New Roman"/>
                <w:szCs w:val="20"/>
              </w:rPr>
              <w:t xml:space="preserve">Wind Shear (850 </w:t>
            </w:r>
            <w:proofErr w:type="spellStart"/>
            <w:r w:rsidRPr="002D04E3">
              <w:rPr>
                <w:rFonts w:cs="Times New Roman"/>
                <w:szCs w:val="20"/>
              </w:rPr>
              <w:t>hPa</w:t>
            </w:r>
            <w:proofErr w:type="spellEnd"/>
            <w:r w:rsidRPr="002D04E3">
              <w:rPr>
                <w:rFonts w:cs="Times New Roman"/>
                <w:szCs w:val="20"/>
              </w:rPr>
              <w:t xml:space="preserve"> – 500 </w:t>
            </w:r>
            <w:proofErr w:type="spellStart"/>
            <w:r w:rsidRPr="002D04E3">
              <w:rPr>
                <w:rFonts w:cs="Times New Roman"/>
                <w:szCs w:val="20"/>
              </w:rPr>
              <w:t>hPa</w:t>
            </w:r>
            <w:proofErr w:type="spellEnd"/>
            <w:r w:rsidRPr="002D04E3">
              <w:rPr>
                <w:rFonts w:cs="Times New Roman"/>
                <w:szCs w:val="20"/>
              </w:rPr>
              <w:t>)</w:t>
            </w:r>
          </w:p>
        </w:tc>
        <w:tc>
          <w:tcPr>
            <w:tcW w:w="2243" w:type="dxa"/>
            <w:tcBorders>
              <w:top w:val="single" w:sz="4" w:space="0" w:color="auto"/>
              <w:bottom w:val="single" w:sz="4" w:space="0" w:color="auto"/>
            </w:tcBorders>
            <w:vAlign w:val="center"/>
          </w:tcPr>
          <w:p w14:paraId="03AD3124" w14:textId="77777777" w:rsidR="00FA7F88" w:rsidRPr="002D04E3" w:rsidRDefault="00FA7F88" w:rsidP="00FB0555">
            <w:pPr>
              <w:jc w:val="center"/>
              <w:rPr>
                <w:rFonts w:cs="Times New Roman"/>
                <w:szCs w:val="20"/>
              </w:rPr>
            </w:pPr>
            <w:r w:rsidRPr="002D04E3">
              <w:rPr>
                <w:rFonts w:cs="Times New Roman"/>
                <w:szCs w:val="20"/>
              </w:rPr>
              <w:t>WS</w:t>
            </w:r>
          </w:p>
        </w:tc>
        <w:tc>
          <w:tcPr>
            <w:tcW w:w="2575" w:type="dxa"/>
            <w:tcBorders>
              <w:top w:val="single" w:sz="4" w:space="0" w:color="auto"/>
              <w:bottom w:val="single" w:sz="4" w:space="0" w:color="auto"/>
            </w:tcBorders>
            <w:vAlign w:val="center"/>
          </w:tcPr>
          <w:p w14:paraId="2642D260" w14:textId="77777777" w:rsidR="00FA7F88" w:rsidRPr="002D04E3" w:rsidRDefault="00FA7F88" w:rsidP="00FB0555">
            <w:pPr>
              <w:jc w:val="center"/>
              <w:rPr>
                <w:rFonts w:cs="Times New Roman"/>
                <w:szCs w:val="20"/>
              </w:rPr>
            </w:pPr>
            <m:oMathPara>
              <m:oMath>
                <m:r>
                  <w:rPr>
                    <w:rFonts w:ascii="Cambria Math" w:hAnsi="Cambria Math" w:cs="Times New Roman"/>
                    <w:szCs w:val="20"/>
                  </w:rPr>
                  <m:t xml:space="preserve">m </m:t>
                </m:r>
                <m:sSup>
                  <m:sSupPr>
                    <m:ctrlPr>
                      <w:rPr>
                        <w:rFonts w:ascii="Cambria Math" w:hAnsi="Cambria Math" w:cs="Times New Roman"/>
                        <w:i/>
                        <w:szCs w:val="20"/>
                      </w:rPr>
                    </m:ctrlPr>
                  </m:sSupPr>
                  <m:e>
                    <m:r>
                      <w:rPr>
                        <w:rFonts w:ascii="Cambria Math" w:hAnsi="Cambria Math" w:cs="Times New Roman"/>
                        <w:szCs w:val="20"/>
                      </w:rPr>
                      <m:t>s</m:t>
                    </m:r>
                  </m:e>
                  <m:sup>
                    <m:r>
                      <w:rPr>
                        <w:rFonts w:ascii="Cambria Math" w:hAnsi="Cambria Math" w:cs="Times New Roman"/>
                        <w:szCs w:val="20"/>
                      </w:rPr>
                      <m:t>-2</m:t>
                    </m:r>
                  </m:sup>
                </m:sSup>
              </m:oMath>
            </m:oMathPara>
          </w:p>
        </w:tc>
      </w:tr>
    </w:tbl>
    <w:p w14:paraId="7CB703AB" w14:textId="77777777" w:rsidR="00BC2FAE" w:rsidRDefault="00BC2FAE" w:rsidP="00DA0AB4"/>
    <w:p w14:paraId="31D58BEF" w14:textId="0F08A952" w:rsidR="00DA0AB4" w:rsidRDefault="00DA0AB4" w:rsidP="00DA0AB4">
      <w:r w:rsidRPr="00DA0AB4">
        <w:t xml:space="preserve">Supplementary Table </w:t>
      </w:r>
      <w:r w:rsidR="00CA4359">
        <w:t>2</w:t>
      </w:r>
      <w:r w:rsidRPr="00DA0AB4">
        <w:t xml:space="preserve">. Summary of the </w:t>
      </w:r>
      <w:r w:rsidR="0043118B" w:rsidRPr="00DA0AB4">
        <w:t>RLM models analyzed</w:t>
      </w:r>
      <w:r w:rsidRPr="00DA0AB4">
        <w:t xml:space="preserve"> based on performance and global significance. Cell-averaged metrics represent the mean values computed across all individual RLMs fitted at each grid cell over the domain (Brazil), whereas domain-level metrics correspond to those obtained from a single RLM fitted using predictor variables spatially averaged over the entire domain.</w:t>
      </w:r>
      <w:r>
        <w:t xml:space="preserve"> </w:t>
      </w:r>
      <w:r w:rsidRPr="00DA0AB4">
        <w:rPr>
          <w:b/>
          <w:bCs/>
        </w:rPr>
        <w:t>[Only the Excel file is available due to the table dimension.]</w:t>
      </w:r>
    </w:p>
    <w:p w14:paraId="14756278" w14:textId="77777777" w:rsidR="00EF449E" w:rsidRDefault="00EF449E" w:rsidP="00EF449E">
      <w:pPr>
        <w:keepNext/>
        <w:jc w:val="center"/>
      </w:pPr>
      <w:r w:rsidRPr="00CC52D4">
        <w:rPr>
          <w:noProof/>
        </w:rPr>
        <w:lastRenderedPageBreak/>
        <w:drawing>
          <wp:inline distT="0" distB="0" distL="0" distR="0" wp14:anchorId="0CBEC536" wp14:editId="0DA06709">
            <wp:extent cx="4995367" cy="4344512"/>
            <wp:effectExtent l="0" t="0" r="0" b="0"/>
            <wp:docPr id="105667304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095"/>
                    <a:stretch>
                      <a:fillRect/>
                    </a:stretch>
                  </pic:blipFill>
                  <pic:spPr bwMode="auto">
                    <a:xfrm>
                      <a:off x="0" y="0"/>
                      <a:ext cx="4996288" cy="4345313"/>
                    </a:xfrm>
                    <a:prstGeom prst="rect">
                      <a:avLst/>
                    </a:prstGeom>
                    <a:noFill/>
                    <a:ln>
                      <a:noFill/>
                    </a:ln>
                    <a:extLst>
                      <a:ext uri="{53640926-AAD7-44D8-BBD7-CCE9431645EC}">
                        <a14:shadowObscured xmlns:a14="http://schemas.microsoft.com/office/drawing/2010/main"/>
                      </a:ext>
                    </a:extLst>
                  </pic:spPr>
                </pic:pic>
              </a:graphicData>
            </a:graphic>
          </wp:inline>
        </w:drawing>
      </w:r>
    </w:p>
    <w:p w14:paraId="59525032" w14:textId="7964BEA4" w:rsidR="00EF449E" w:rsidRDefault="00EF449E" w:rsidP="00DE1837">
      <w:pPr>
        <w:pStyle w:val="Legenda"/>
      </w:pPr>
      <w:r>
        <w:t xml:space="preserve">Supplementary Figure </w:t>
      </w:r>
      <w:fldSimple w:instr=" SEQ Supplementary_Figure \* ARABIC ">
        <w:r w:rsidR="008B33EC">
          <w:t>1</w:t>
        </w:r>
      </w:fldSimple>
      <w:r>
        <w:t xml:space="preserve">. </w:t>
      </w:r>
      <w:r w:rsidRPr="00914241">
        <w:t xml:space="preserve">Pearson correlation between atmospheric variables and lightning density. Lightning density was normalized using </w:t>
      </w:r>
      <w:r>
        <w:t>log</w:t>
      </w:r>
      <w:r w:rsidRPr="00914241">
        <w:t>(1+Y), and dashed cells indicate non-significant correlations (p&gt;0.05).</w:t>
      </w:r>
    </w:p>
    <w:p w14:paraId="5C9651B0" w14:textId="77777777" w:rsidR="008B33EC" w:rsidRDefault="00EF449E" w:rsidP="00DE1837">
      <w:pPr>
        <w:pStyle w:val="Legenda"/>
      </w:pPr>
      <w:r>
        <w:lastRenderedPageBreak/>
        <w:t xml:space="preserve"> </w:t>
      </w:r>
      <w:r w:rsidR="008B33EC" w:rsidRPr="008B33EC">
        <w:rPr>
          <w:noProof/>
        </w:rPr>
        <w:drawing>
          <wp:inline distT="0" distB="0" distL="0" distR="0" wp14:anchorId="39D06D80" wp14:editId="0A00AE94">
            <wp:extent cx="5400040" cy="4948555"/>
            <wp:effectExtent l="0" t="0" r="0" b="0"/>
            <wp:docPr id="82186460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4948555"/>
                    </a:xfrm>
                    <a:prstGeom prst="rect">
                      <a:avLst/>
                    </a:prstGeom>
                    <a:noFill/>
                    <a:ln>
                      <a:noFill/>
                    </a:ln>
                  </pic:spPr>
                </pic:pic>
              </a:graphicData>
            </a:graphic>
          </wp:inline>
        </w:drawing>
      </w:r>
    </w:p>
    <w:p w14:paraId="0C05A37A" w14:textId="2DD2BF74" w:rsidR="008B33EC" w:rsidRPr="008B33EC" w:rsidRDefault="008B33EC" w:rsidP="00DE1837">
      <w:pPr>
        <w:pStyle w:val="Legenda"/>
      </w:pPr>
      <w:r>
        <w:t xml:space="preserve">Supplementary Figure </w:t>
      </w:r>
      <w:fldSimple w:instr=" SEQ Supplementary_Figure \* ARABIC ">
        <w:r>
          <w:t>2</w:t>
        </w:r>
      </w:fldSimple>
      <w:r>
        <w:t xml:space="preserve">. </w:t>
      </w:r>
      <w:r w:rsidRPr="00FF7F64">
        <w:t xml:space="preserve">Pearson correlation between atmospheric variables and lightning density. </w:t>
      </w:r>
      <w:r>
        <w:t xml:space="preserve">The </w:t>
      </w:r>
      <w:r w:rsidRPr="00FF7F64">
        <w:t>dashed cells indicate non-significant correlations (p&gt;0.05).</w:t>
      </w:r>
    </w:p>
    <w:p w14:paraId="48E9C61C" w14:textId="4F5D448E" w:rsidR="00EF449E" w:rsidRDefault="00EF449E" w:rsidP="00DE1837">
      <w:pPr>
        <w:pStyle w:val="Legenda"/>
      </w:pPr>
    </w:p>
    <w:p w14:paraId="5C6AA48B" w14:textId="77777777" w:rsidR="001F3BC6" w:rsidRPr="001F3BC6" w:rsidRDefault="001F3BC6" w:rsidP="001F3BC6">
      <w:pPr>
        <w:rPr>
          <w:b/>
          <w:bCs/>
          <w:sz w:val="24"/>
        </w:rPr>
      </w:pPr>
    </w:p>
    <w:p w14:paraId="660EE4C3" w14:textId="77777777" w:rsidR="00EF449E" w:rsidRDefault="00EF449E" w:rsidP="00DE1837">
      <w:pPr>
        <w:pStyle w:val="Legenda"/>
      </w:pPr>
      <w:r w:rsidRPr="009D3A0C">
        <w:rPr>
          <w:noProof/>
        </w:rPr>
        <w:lastRenderedPageBreak/>
        <w:drawing>
          <wp:inline distT="0" distB="0" distL="0" distR="0" wp14:anchorId="1ADD2E69" wp14:editId="37AC0C55">
            <wp:extent cx="5658315" cy="4314367"/>
            <wp:effectExtent l="0" t="0" r="0" b="0"/>
            <wp:docPr id="172208901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9017" name="Imagem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58315" cy="4314367"/>
                    </a:xfrm>
                    <a:prstGeom prst="rect">
                      <a:avLst/>
                    </a:prstGeom>
                    <a:noFill/>
                    <a:ln>
                      <a:noFill/>
                    </a:ln>
                  </pic:spPr>
                </pic:pic>
              </a:graphicData>
            </a:graphic>
          </wp:inline>
        </w:drawing>
      </w:r>
    </w:p>
    <w:p w14:paraId="768673FA" w14:textId="66F043F2" w:rsidR="00EF449E" w:rsidRDefault="00EF449E" w:rsidP="00DE1837">
      <w:pPr>
        <w:pStyle w:val="Legenda"/>
      </w:pPr>
      <w:r>
        <w:t xml:space="preserve">Supplementary Figure </w:t>
      </w:r>
      <w:fldSimple w:instr=" SEQ Supplementary_Figure \* ARABIC ">
        <w:r w:rsidR="008B33EC">
          <w:t>3</w:t>
        </w:r>
      </w:fldSimple>
      <w:r>
        <w:t xml:space="preserve">. </w:t>
      </w:r>
      <w:r w:rsidRPr="005F518B">
        <w:t xml:space="preserve">Annual Cycle of each atmospheric variable (blue) and lightning density (red). Pearson and </w:t>
      </w:r>
      <w:r w:rsidR="00C06443">
        <w:t>Spearman</w:t>
      </w:r>
      <w:r w:rsidRPr="005F518B">
        <w:t xml:space="preserve"> correlation (r) between the time series is also reported.</w:t>
      </w:r>
    </w:p>
    <w:p w14:paraId="1F1C4704" w14:textId="5C0B65D5" w:rsidR="00EF449E" w:rsidRPr="009D3A0C" w:rsidRDefault="00EF449E" w:rsidP="00DE1837">
      <w:pPr>
        <w:pStyle w:val="Legenda"/>
      </w:pPr>
    </w:p>
    <w:p w14:paraId="58C2590D" w14:textId="33C509D6" w:rsidR="005F4E19" w:rsidRPr="005F4E19" w:rsidRDefault="004A7122" w:rsidP="003D3287">
      <w:pPr>
        <w:jc w:val="center"/>
      </w:pPr>
      <w:r w:rsidRPr="004A7122">
        <w:rPr>
          <w:noProof/>
        </w:rPr>
        <w:lastRenderedPageBreak/>
        <w:drawing>
          <wp:inline distT="0" distB="0" distL="0" distR="0" wp14:anchorId="7B04D049" wp14:editId="18289EC7">
            <wp:extent cx="3966709" cy="7053943"/>
            <wp:effectExtent l="0" t="0" r="0" b="0"/>
            <wp:docPr id="23845924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3738" cy="7066442"/>
                    </a:xfrm>
                    <a:prstGeom prst="rect">
                      <a:avLst/>
                    </a:prstGeom>
                    <a:noFill/>
                    <a:ln>
                      <a:noFill/>
                    </a:ln>
                  </pic:spPr>
                </pic:pic>
              </a:graphicData>
            </a:graphic>
          </wp:inline>
        </w:drawing>
      </w:r>
    </w:p>
    <w:p w14:paraId="26525399" w14:textId="3D3BBC26" w:rsidR="00EF449E" w:rsidRDefault="00AC2FE9" w:rsidP="00DE1837">
      <w:pPr>
        <w:pStyle w:val="Legenda"/>
      </w:pPr>
      <w:r w:rsidRPr="00DE1837">
        <w:t xml:space="preserve">Supplementary Figure 4. </w:t>
      </w:r>
      <w:r w:rsidR="00815AE7" w:rsidRPr="00815AE7">
        <w:t xml:space="preserve">Left panels (a, c, e, g, </w:t>
      </w:r>
      <w:proofErr w:type="spellStart"/>
      <w:r w:rsidR="00815AE7" w:rsidRPr="00815AE7">
        <w:t>i</w:t>
      </w:r>
      <w:proofErr w:type="spellEnd"/>
      <w:r w:rsidR="00815AE7" w:rsidRPr="00815AE7">
        <w:t>) show climatological mean values from EC-Earth3-Veg over the reference period 2013–2025</w:t>
      </w:r>
      <w:r w:rsidR="00060670">
        <w:t xml:space="preserve"> for the predictor variables</w:t>
      </w:r>
      <w:r w:rsidR="00815AE7" w:rsidRPr="00815AE7">
        <w:t xml:space="preserve">. Right panels (b, d, f, h, j) show the relative bias, calculated as [(EC-Earth3-Veg </w:t>
      </w:r>
      <w:r w:rsidR="00060670">
        <w:t>-</w:t>
      </w:r>
      <w:r w:rsidR="00815AE7" w:rsidRPr="00815AE7">
        <w:t xml:space="preserve"> ERA5) / ERA5] × 100%. Positive values (warm colors) indicate </w:t>
      </w:r>
      <w:r w:rsidR="00815AE7">
        <w:t>model overestimation</w:t>
      </w:r>
      <w:r w:rsidR="00815AE7" w:rsidRPr="00815AE7">
        <w:t>, while negative values (cool colors) indicate underestimation. From top to bottom: (a, b) Convective Available Potential Energy (CAPE, J kg⁻¹); (</w:t>
      </w:r>
      <w:r w:rsidR="0077574F">
        <w:t>c</w:t>
      </w:r>
      <w:r w:rsidR="00815AE7" w:rsidRPr="00815AE7">
        <w:t xml:space="preserve">, </w:t>
      </w:r>
      <w:r w:rsidR="0077574F">
        <w:t>d</w:t>
      </w:r>
      <w:r w:rsidR="00815AE7" w:rsidRPr="00815AE7">
        <w:t>) convective precipitation rate (kg m⁻² s⁻¹); (</w:t>
      </w:r>
      <w:r w:rsidR="0077574F">
        <w:t>e</w:t>
      </w:r>
      <w:r w:rsidR="00815AE7" w:rsidRPr="00815AE7">
        <w:t xml:space="preserve">, </w:t>
      </w:r>
      <w:r w:rsidR="0077574F">
        <w:t>f</w:t>
      </w:r>
      <w:r w:rsidR="00815AE7" w:rsidRPr="00815AE7">
        <w:t>) mean sea level pressure (</w:t>
      </w:r>
      <w:proofErr w:type="spellStart"/>
      <w:r w:rsidR="00815AE7" w:rsidRPr="00815AE7">
        <w:t>hPa</w:t>
      </w:r>
      <w:proofErr w:type="spellEnd"/>
      <w:r w:rsidR="00815AE7" w:rsidRPr="00815AE7">
        <w:t>); (</w:t>
      </w:r>
      <w:r w:rsidR="00D84C24">
        <w:t>g,</w:t>
      </w:r>
      <w:r w:rsidR="00815AE7" w:rsidRPr="00815AE7">
        <w:t xml:space="preserve"> </w:t>
      </w:r>
      <w:r w:rsidR="00D84C24">
        <w:t>h</w:t>
      </w:r>
      <w:r w:rsidR="00815AE7" w:rsidRPr="00815AE7">
        <w:t>) mixed-phase layer depth (m); (</w:t>
      </w:r>
      <w:proofErr w:type="spellStart"/>
      <w:r w:rsidR="00D84C24">
        <w:t>i</w:t>
      </w:r>
      <w:proofErr w:type="spellEnd"/>
      <w:r w:rsidR="00815AE7" w:rsidRPr="00815AE7">
        <w:t xml:space="preserve">, </w:t>
      </w:r>
      <w:r w:rsidR="00D84C24">
        <w:t>j</w:t>
      </w:r>
      <w:r w:rsidR="00815AE7" w:rsidRPr="00815AE7">
        <w:t>) total column ice (kg m⁻²).</w:t>
      </w:r>
    </w:p>
    <w:p w14:paraId="4C06D9EE" w14:textId="77777777" w:rsidR="00CB257E" w:rsidRDefault="00CB257E" w:rsidP="00CB257E"/>
    <w:p w14:paraId="00893BC5" w14:textId="77777777" w:rsidR="00CB257E" w:rsidRDefault="00CB257E" w:rsidP="00CB257E"/>
    <w:p w14:paraId="36A723A0" w14:textId="1DF8634B" w:rsidR="001C6D8C" w:rsidRPr="001C6D8C" w:rsidRDefault="001C6D8C" w:rsidP="001C6D8C">
      <w:pPr>
        <w:jc w:val="center"/>
      </w:pPr>
      <w:r w:rsidRPr="001C6D8C">
        <w:rPr>
          <w:noProof/>
        </w:rPr>
        <w:lastRenderedPageBreak/>
        <w:drawing>
          <wp:inline distT="0" distB="0" distL="0" distR="0" wp14:anchorId="596C9BF0" wp14:editId="3D8F3001">
            <wp:extent cx="4060883" cy="6890658"/>
            <wp:effectExtent l="0" t="0" r="0" b="0"/>
            <wp:docPr id="138087525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4958" cy="6897573"/>
                    </a:xfrm>
                    <a:prstGeom prst="rect">
                      <a:avLst/>
                    </a:prstGeom>
                    <a:noFill/>
                    <a:ln>
                      <a:noFill/>
                    </a:ln>
                  </pic:spPr>
                </pic:pic>
              </a:graphicData>
            </a:graphic>
          </wp:inline>
        </w:drawing>
      </w:r>
    </w:p>
    <w:p w14:paraId="2C951774" w14:textId="343D8070" w:rsidR="00CB257E" w:rsidRDefault="00F96177" w:rsidP="00CB257E">
      <w:pPr>
        <w:rPr>
          <w:iCs/>
          <w:color w:val="000000" w:themeColor="text1"/>
          <w:szCs w:val="18"/>
        </w:rPr>
      </w:pPr>
      <w:r w:rsidRPr="00F96177">
        <w:rPr>
          <w:iCs/>
          <w:color w:val="000000" w:themeColor="text1"/>
          <w:szCs w:val="18"/>
        </w:rPr>
        <w:t xml:space="preserve">Supplementary Figure 5. Left panels (a, c, e, g, </w:t>
      </w:r>
      <w:proofErr w:type="spellStart"/>
      <w:r w:rsidRPr="00F96177">
        <w:rPr>
          <w:iCs/>
          <w:color w:val="000000" w:themeColor="text1"/>
          <w:szCs w:val="18"/>
        </w:rPr>
        <w:t>i</w:t>
      </w:r>
      <w:proofErr w:type="spellEnd"/>
      <w:r w:rsidRPr="00F96177">
        <w:rPr>
          <w:iCs/>
          <w:color w:val="000000" w:themeColor="text1"/>
          <w:szCs w:val="18"/>
        </w:rPr>
        <w:t>) show bias-corrected climatological mean values from EC-Earth3-Veg over the validation period 2023–2025. Bias-correction parameters were derived from the training period 2013</w:t>
      </w:r>
      <w:r w:rsidR="00D762F4">
        <w:rPr>
          <w:iCs/>
          <w:color w:val="000000" w:themeColor="text1"/>
          <w:szCs w:val="18"/>
        </w:rPr>
        <w:t>-</w:t>
      </w:r>
      <w:r w:rsidRPr="00F96177">
        <w:rPr>
          <w:iCs/>
          <w:color w:val="000000" w:themeColor="text1"/>
          <w:szCs w:val="18"/>
        </w:rPr>
        <w:t>2022 and applied independently to 2023</w:t>
      </w:r>
      <w:r w:rsidR="00D762F4">
        <w:rPr>
          <w:iCs/>
          <w:color w:val="000000" w:themeColor="text1"/>
          <w:szCs w:val="18"/>
        </w:rPr>
        <w:t>-</w:t>
      </w:r>
      <w:r w:rsidRPr="00F96177">
        <w:rPr>
          <w:iCs/>
          <w:color w:val="000000" w:themeColor="text1"/>
          <w:szCs w:val="18"/>
        </w:rPr>
        <w:t>2025 data (out-of-sample validation). Right panels (b, d, f, h, j) show residual relative bias after correction</w:t>
      </w:r>
      <w:r w:rsidR="00907984">
        <w:rPr>
          <w:iCs/>
          <w:color w:val="000000" w:themeColor="text1"/>
          <w:szCs w:val="18"/>
        </w:rPr>
        <w:t xml:space="preserve">. </w:t>
      </w:r>
      <w:r w:rsidRPr="00F96177">
        <w:rPr>
          <w:iCs/>
          <w:color w:val="000000" w:themeColor="text1"/>
          <w:szCs w:val="18"/>
        </w:rPr>
        <w:t>Warm colors indicate remaining model overestimation; cool colors indicate underestimation. From top to bottom: (a, b) Convective Available Potential Energy (CAPE, J kg⁻¹); (c, d) convective precipitation rate (kg m⁻² s⁻¹); (e, f) mean sea level pressure (</w:t>
      </w:r>
      <w:proofErr w:type="spellStart"/>
      <w:r w:rsidRPr="00F96177">
        <w:rPr>
          <w:iCs/>
          <w:color w:val="000000" w:themeColor="text1"/>
          <w:szCs w:val="18"/>
        </w:rPr>
        <w:t>hPa</w:t>
      </w:r>
      <w:proofErr w:type="spellEnd"/>
      <w:r w:rsidRPr="00F96177">
        <w:rPr>
          <w:iCs/>
          <w:color w:val="000000" w:themeColor="text1"/>
          <w:szCs w:val="18"/>
        </w:rPr>
        <w:t>); (g, h) mixed-phase layer depth (m); (</w:t>
      </w:r>
      <w:proofErr w:type="spellStart"/>
      <w:r w:rsidRPr="00F96177">
        <w:rPr>
          <w:iCs/>
          <w:color w:val="000000" w:themeColor="text1"/>
          <w:szCs w:val="18"/>
        </w:rPr>
        <w:t>i</w:t>
      </w:r>
      <w:proofErr w:type="spellEnd"/>
      <w:r w:rsidRPr="00F96177">
        <w:rPr>
          <w:iCs/>
          <w:color w:val="000000" w:themeColor="text1"/>
          <w:szCs w:val="18"/>
        </w:rPr>
        <w:t>, j) total column ice (kg m⁻²). The out-of-sample test demonstrates the robustness of the bias-correction method when applied to independent data.</w:t>
      </w:r>
    </w:p>
    <w:p w14:paraId="069CD17C" w14:textId="77777777" w:rsidR="009044D0" w:rsidRDefault="009044D0" w:rsidP="00CB257E">
      <w:pPr>
        <w:rPr>
          <w:iCs/>
          <w:color w:val="000000" w:themeColor="text1"/>
          <w:szCs w:val="18"/>
        </w:rPr>
      </w:pPr>
    </w:p>
    <w:p w14:paraId="781421B0" w14:textId="77777777" w:rsidR="009044D0" w:rsidRDefault="009044D0" w:rsidP="00CB257E">
      <w:pPr>
        <w:rPr>
          <w:iCs/>
          <w:color w:val="000000" w:themeColor="text1"/>
          <w:szCs w:val="18"/>
        </w:rPr>
      </w:pPr>
    </w:p>
    <w:p w14:paraId="576FE6B4" w14:textId="77777777" w:rsidR="00AB30C6" w:rsidRDefault="00AB30C6" w:rsidP="00AB30C6">
      <w:pPr>
        <w:keepNext/>
      </w:pPr>
      <w:r w:rsidRPr="00DE297C">
        <w:rPr>
          <w:noProof/>
          <w:color w:val="000000"/>
        </w:rPr>
        <w:lastRenderedPageBreak/>
        <w:drawing>
          <wp:inline distT="0" distB="0" distL="0" distR="0" wp14:anchorId="434EBAA7" wp14:editId="3E5B6E9C">
            <wp:extent cx="5400040" cy="1657985"/>
            <wp:effectExtent l="0" t="0" r="0" b="0"/>
            <wp:docPr id="86222550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1657985"/>
                    </a:xfrm>
                    <a:prstGeom prst="rect">
                      <a:avLst/>
                    </a:prstGeom>
                    <a:noFill/>
                    <a:ln>
                      <a:noFill/>
                    </a:ln>
                  </pic:spPr>
                </pic:pic>
              </a:graphicData>
            </a:graphic>
          </wp:inline>
        </w:drawing>
      </w:r>
    </w:p>
    <w:p w14:paraId="7AF27A67" w14:textId="62C62679" w:rsidR="00AB30C6" w:rsidRDefault="00AB30C6" w:rsidP="00AB30C6">
      <w:pPr>
        <w:pStyle w:val="Legenda"/>
      </w:pPr>
      <w:r>
        <w:t xml:space="preserve">Supplementary Figure 6. </w:t>
      </w:r>
      <w:r w:rsidRPr="00DE297C">
        <w:t xml:space="preserve">Standardized angular coefficients of the multiple linear regression model linking lightning activity to atmospheric predictors over Brazil for (a) </w:t>
      </w:r>
      <w:r>
        <w:t>c</w:t>
      </w:r>
      <w:r w:rsidRPr="00FE7F95">
        <w:t xml:space="preserve">onvective </w:t>
      </w:r>
      <w:r>
        <w:t>a</w:t>
      </w:r>
      <w:r w:rsidRPr="00FE7F95">
        <w:t xml:space="preserve">vailable </w:t>
      </w:r>
      <w:r>
        <w:t>p</w:t>
      </w:r>
      <w:r w:rsidRPr="00FE7F95">
        <w:t xml:space="preserve">otential </w:t>
      </w:r>
      <w:r>
        <w:t>e</w:t>
      </w:r>
      <w:r w:rsidRPr="00FE7F95">
        <w:t>nergy</w:t>
      </w:r>
      <w:r w:rsidRPr="00DE297C">
        <w:t>, (b) total column ice water, and (c) mean sea level pressure. Coefficients are normalized by the standard deviation of lightning density at each grid cell. Red and blue shades indicate positive and negative relationships, respectively.</w:t>
      </w:r>
    </w:p>
    <w:p w14:paraId="0A50E3FC" w14:textId="77777777" w:rsidR="003448C0" w:rsidRDefault="003448C0" w:rsidP="003448C0"/>
    <w:p w14:paraId="022CCE31" w14:textId="77777777" w:rsidR="003448C0" w:rsidRDefault="003448C0" w:rsidP="003448C0">
      <w:pPr>
        <w:keepNext/>
      </w:pPr>
      <w:r w:rsidRPr="00DE297C">
        <w:rPr>
          <w:rFonts w:cs="Times New Roman"/>
          <w:noProof/>
          <w:color w:val="000000"/>
        </w:rPr>
        <w:drawing>
          <wp:inline distT="0" distB="0" distL="0" distR="0" wp14:anchorId="67256861" wp14:editId="21223316">
            <wp:extent cx="5400040" cy="4798060"/>
            <wp:effectExtent l="0" t="0" r="0" b="2540"/>
            <wp:docPr id="42514455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4798060"/>
                    </a:xfrm>
                    <a:prstGeom prst="rect">
                      <a:avLst/>
                    </a:prstGeom>
                    <a:noFill/>
                    <a:ln>
                      <a:noFill/>
                    </a:ln>
                  </pic:spPr>
                </pic:pic>
              </a:graphicData>
            </a:graphic>
          </wp:inline>
        </w:drawing>
      </w:r>
    </w:p>
    <w:p w14:paraId="2088E896" w14:textId="6D95286E" w:rsidR="001F3BC6" w:rsidRDefault="003448C0" w:rsidP="001F3BC6">
      <w:pPr>
        <w:pStyle w:val="Legenda"/>
      </w:pPr>
      <w:r>
        <w:t xml:space="preserve">Supplementary Figure 7. </w:t>
      </w:r>
      <w:r w:rsidRPr="00DE297C">
        <w:t xml:space="preserve">Standardized angular coefficients of the multiple linear regression model linking lightning activity to atmospheric predictors over Brazil for (a) </w:t>
      </w:r>
      <w:r>
        <w:t>c</w:t>
      </w:r>
      <w:r w:rsidRPr="00FE7F95">
        <w:t xml:space="preserve">onvective </w:t>
      </w:r>
      <w:r>
        <w:t>a</w:t>
      </w:r>
      <w:r w:rsidRPr="00FE7F95">
        <w:t xml:space="preserve">vailable </w:t>
      </w:r>
      <w:r>
        <w:t>p</w:t>
      </w:r>
      <w:r w:rsidRPr="00FE7F95">
        <w:t xml:space="preserve">otential </w:t>
      </w:r>
      <w:r>
        <w:t>e</w:t>
      </w:r>
      <w:r w:rsidRPr="00FE7F95">
        <w:t>nergy</w:t>
      </w:r>
      <w:r w:rsidRPr="00DE297C">
        <w:t>, (b)</w:t>
      </w:r>
      <w:r>
        <w:t xml:space="preserve"> convective precipitation rate, (c) mixed-phase layer depth</w:t>
      </w:r>
      <w:r w:rsidRPr="00DE297C">
        <w:t>, and (</w:t>
      </w:r>
      <w:r>
        <w:t>d</w:t>
      </w:r>
      <w:r w:rsidRPr="00DE297C">
        <w:t>) mean sea level pressure. Coefficients are normalized by the standard deviation of lightning density at each grid cell. Red and blue shades indicate positive and negative relationships, respectively.</w:t>
      </w:r>
    </w:p>
    <w:p w14:paraId="28AE9330" w14:textId="77777777" w:rsidR="006E084D" w:rsidRDefault="006E084D" w:rsidP="006E084D"/>
    <w:p w14:paraId="4D2E4029" w14:textId="41F6CAEA" w:rsidR="00F40A22" w:rsidRPr="001F3BC6" w:rsidRDefault="00F40A22" w:rsidP="00F40A22">
      <w:pPr>
        <w:pStyle w:val="PargrafodaLista"/>
        <w:numPr>
          <w:ilvl w:val="0"/>
          <w:numId w:val="1"/>
        </w:numPr>
        <w:ind w:left="284" w:hanging="284"/>
        <w:rPr>
          <w:b/>
          <w:bCs/>
          <w:sz w:val="24"/>
        </w:rPr>
      </w:pPr>
      <w:r w:rsidRPr="001F3BC6">
        <w:rPr>
          <w:b/>
          <w:bCs/>
          <w:sz w:val="24"/>
        </w:rPr>
        <w:lastRenderedPageBreak/>
        <w:t>Supplementary Re</w:t>
      </w:r>
      <w:r>
        <w:rPr>
          <w:b/>
          <w:bCs/>
          <w:sz w:val="24"/>
        </w:rPr>
        <w:t>ferences</w:t>
      </w:r>
      <w:r w:rsidRPr="001F3BC6">
        <w:rPr>
          <w:b/>
          <w:bCs/>
          <w:sz w:val="24"/>
        </w:rPr>
        <w:t xml:space="preserve"> </w:t>
      </w:r>
    </w:p>
    <w:p w14:paraId="48E14EF4" w14:textId="4D2D91F9" w:rsidR="00806EC9" w:rsidRPr="00806EC9" w:rsidRDefault="00806EC9">
      <w:pPr>
        <w:autoSpaceDE w:val="0"/>
        <w:autoSpaceDN w:val="0"/>
        <w:ind w:hanging="480"/>
        <w:divId w:val="1944072562"/>
        <w:rPr>
          <w:rFonts w:eastAsia="Times New Roman" w:cs="Times New Roman"/>
          <w:color w:val="000000"/>
          <w:kern w:val="0"/>
          <w14:ligatures w14:val="none"/>
        </w:rPr>
      </w:pPr>
      <w:r w:rsidRPr="00806EC9">
        <w:rPr>
          <w:rFonts w:eastAsia="Times New Roman" w:cs="Times New Roman"/>
          <w:color w:val="000000"/>
        </w:rPr>
        <w:t xml:space="preserve">Baker B, Baker MB, Jayaratne ER, Latham J, Saunders CPR (1987) The Influence of Diffusional Growth Rates </w:t>
      </w:r>
      <w:proofErr w:type="gramStart"/>
      <w:r w:rsidRPr="00806EC9">
        <w:rPr>
          <w:rFonts w:eastAsia="Times New Roman" w:cs="Times New Roman"/>
          <w:color w:val="000000"/>
        </w:rPr>
        <w:t>On</w:t>
      </w:r>
      <w:proofErr w:type="gramEnd"/>
      <w:r w:rsidRPr="00806EC9">
        <w:rPr>
          <w:rFonts w:eastAsia="Times New Roman" w:cs="Times New Roman"/>
          <w:color w:val="000000"/>
        </w:rPr>
        <w:t xml:space="preserve"> the Charge Transfer Accompanying Rebounding Collisions Between Ice Crystals and Soft Hailstones. Quarterly Journal of the Royal Meteorological Society 113:1193–1215. https://doi.org/10.1002/qj.49711347807</w:t>
      </w:r>
    </w:p>
    <w:p w14:paraId="069ED1DE" w14:textId="77777777" w:rsidR="00806EC9" w:rsidRPr="00806EC9" w:rsidRDefault="00806EC9">
      <w:pPr>
        <w:autoSpaceDE w:val="0"/>
        <w:autoSpaceDN w:val="0"/>
        <w:ind w:hanging="480"/>
        <w:divId w:val="1367176291"/>
        <w:rPr>
          <w:rFonts w:eastAsia="Times New Roman" w:cs="Times New Roman"/>
          <w:color w:val="000000"/>
        </w:rPr>
      </w:pPr>
      <w:r w:rsidRPr="00806EC9">
        <w:rPr>
          <w:rFonts w:eastAsia="Times New Roman" w:cs="Times New Roman"/>
          <w:color w:val="000000"/>
        </w:rPr>
        <w:t>Baker MB, Dash JG (1994) Mechanism of charge transfer between colliding ice particles in thunderstorms. Journal of Geophysical Research: Atmospheres 99:10621–10626. https://doi.org/https://doi.org/10.1029/93JD01633</w:t>
      </w:r>
    </w:p>
    <w:p w14:paraId="15E5E25B" w14:textId="77777777" w:rsidR="00806EC9" w:rsidRPr="00806EC9" w:rsidRDefault="00806EC9">
      <w:pPr>
        <w:autoSpaceDE w:val="0"/>
        <w:autoSpaceDN w:val="0"/>
        <w:ind w:hanging="480"/>
        <w:divId w:val="1892495125"/>
        <w:rPr>
          <w:rFonts w:eastAsia="Times New Roman" w:cs="Times New Roman"/>
          <w:color w:val="000000"/>
        </w:rPr>
      </w:pPr>
      <w:r w:rsidRPr="00806EC9">
        <w:rPr>
          <w:rFonts w:eastAsia="Times New Roman" w:cs="Times New Roman"/>
          <w:color w:val="000000"/>
        </w:rPr>
        <w:t xml:space="preserve">Beucler T, </w:t>
      </w:r>
      <w:proofErr w:type="spellStart"/>
      <w:r w:rsidRPr="00806EC9">
        <w:rPr>
          <w:rFonts w:eastAsia="Times New Roman" w:cs="Times New Roman"/>
          <w:color w:val="000000"/>
        </w:rPr>
        <w:t>Gentine</w:t>
      </w:r>
      <w:proofErr w:type="spellEnd"/>
      <w:r w:rsidRPr="00806EC9">
        <w:rPr>
          <w:rFonts w:eastAsia="Times New Roman" w:cs="Times New Roman"/>
          <w:color w:val="000000"/>
        </w:rPr>
        <w:t xml:space="preserve"> P, Yuval J, Gupta A, Peng L, Lin J, Yu S, Rasp S, Ahmed F, O’Gorman PA, Neelin JD, Lutsko NJ, Pritchard M (2024) Climate-invariant machine learning. Sci Adv 10. https://doi.org/10.1126/sciadv.adj7250</w:t>
      </w:r>
    </w:p>
    <w:p w14:paraId="2F297315" w14:textId="77777777" w:rsidR="00806EC9" w:rsidRPr="00806EC9" w:rsidRDefault="00806EC9">
      <w:pPr>
        <w:autoSpaceDE w:val="0"/>
        <w:autoSpaceDN w:val="0"/>
        <w:ind w:hanging="480"/>
        <w:divId w:val="1857883075"/>
        <w:rPr>
          <w:rFonts w:eastAsia="Times New Roman" w:cs="Times New Roman"/>
          <w:color w:val="000000"/>
        </w:rPr>
      </w:pPr>
      <w:r w:rsidRPr="00806EC9">
        <w:rPr>
          <w:rFonts w:eastAsia="Times New Roman" w:cs="Times New Roman"/>
          <w:color w:val="000000"/>
        </w:rPr>
        <w:t>Finney DL, Doherty RM, Wild O, Stevenson DS, MacKenzie IA, Blyth AM (2018) A projected decrease in lightning under climate change. Nat Clim Chang 8:210–213</w:t>
      </w:r>
    </w:p>
    <w:p w14:paraId="6430C50B" w14:textId="77777777" w:rsidR="00806EC9" w:rsidRPr="00806EC9" w:rsidRDefault="00806EC9">
      <w:pPr>
        <w:autoSpaceDE w:val="0"/>
        <w:autoSpaceDN w:val="0"/>
        <w:ind w:hanging="480"/>
        <w:divId w:val="622421274"/>
        <w:rPr>
          <w:rFonts w:eastAsia="Times New Roman" w:cs="Times New Roman"/>
          <w:color w:val="000000"/>
        </w:rPr>
      </w:pPr>
      <w:r w:rsidRPr="00806EC9">
        <w:rPr>
          <w:rFonts w:eastAsia="Times New Roman" w:cs="Times New Roman"/>
          <w:color w:val="000000"/>
        </w:rPr>
        <w:t xml:space="preserve">Finney DL, </w:t>
      </w:r>
      <w:proofErr w:type="spellStart"/>
      <w:r w:rsidRPr="00806EC9">
        <w:rPr>
          <w:rFonts w:eastAsia="Times New Roman" w:cs="Times New Roman"/>
          <w:color w:val="000000"/>
        </w:rPr>
        <w:t>Marsham</w:t>
      </w:r>
      <w:proofErr w:type="spellEnd"/>
      <w:r w:rsidRPr="00806EC9">
        <w:rPr>
          <w:rFonts w:eastAsia="Times New Roman" w:cs="Times New Roman"/>
          <w:color w:val="000000"/>
        </w:rPr>
        <w:t xml:space="preserve"> JH, Wilkinson JM, Field PR, Blyth AM, Jackson LS, Kendon EJ, Tucker SO, Stratton RA (2020) African lightning and its relation to rainfall and climate change in a convection‐permitting model. </w:t>
      </w:r>
      <w:proofErr w:type="spellStart"/>
      <w:r w:rsidRPr="00806EC9">
        <w:rPr>
          <w:rFonts w:eastAsia="Times New Roman" w:cs="Times New Roman"/>
          <w:color w:val="000000"/>
        </w:rPr>
        <w:t>Geophys</w:t>
      </w:r>
      <w:proofErr w:type="spellEnd"/>
      <w:r w:rsidRPr="00806EC9">
        <w:rPr>
          <w:rFonts w:eastAsia="Times New Roman" w:cs="Times New Roman"/>
          <w:color w:val="000000"/>
        </w:rPr>
        <w:t xml:space="preserve"> Res Lett 47. https://doi.org/10.1029/2020GL088163</w:t>
      </w:r>
    </w:p>
    <w:p w14:paraId="3E041DB9" w14:textId="77777777" w:rsidR="00806EC9" w:rsidRPr="00806EC9" w:rsidRDefault="00806EC9">
      <w:pPr>
        <w:autoSpaceDE w:val="0"/>
        <w:autoSpaceDN w:val="0"/>
        <w:ind w:hanging="480"/>
        <w:divId w:val="1825196753"/>
        <w:rPr>
          <w:rFonts w:eastAsia="Times New Roman" w:cs="Times New Roman"/>
          <w:color w:val="000000"/>
        </w:rPr>
      </w:pPr>
      <w:r w:rsidRPr="00806EC9">
        <w:rPr>
          <w:rFonts w:eastAsia="Times New Roman" w:cs="Times New Roman"/>
          <w:color w:val="000000"/>
        </w:rPr>
        <w:t xml:space="preserve">Hutchins ML, Holzworth RH, Brundell JB, Rodger CJ (2012) Relative detection efficiency of the </w:t>
      </w:r>
      <w:proofErr w:type="gramStart"/>
      <w:r w:rsidRPr="00806EC9">
        <w:rPr>
          <w:rFonts w:eastAsia="Times New Roman" w:cs="Times New Roman"/>
          <w:color w:val="000000"/>
        </w:rPr>
        <w:t>World Wide</w:t>
      </w:r>
      <w:proofErr w:type="gramEnd"/>
      <w:r w:rsidRPr="00806EC9">
        <w:rPr>
          <w:rFonts w:eastAsia="Times New Roman" w:cs="Times New Roman"/>
          <w:color w:val="000000"/>
        </w:rPr>
        <w:t xml:space="preserve"> Lightning Location Network. Radio Sci 47. https://doi.org/10.1029/2012RS005049</w:t>
      </w:r>
    </w:p>
    <w:p w14:paraId="3EF51D2C" w14:textId="77777777" w:rsidR="00806EC9" w:rsidRPr="00806EC9" w:rsidRDefault="00806EC9">
      <w:pPr>
        <w:autoSpaceDE w:val="0"/>
        <w:autoSpaceDN w:val="0"/>
        <w:ind w:hanging="480"/>
        <w:divId w:val="765930818"/>
        <w:rPr>
          <w:rFonts w:eastAsia="Times New Roman" w:cs="Times New Roman"/>
          <w:color w:val="000000"/>
        </w:rPr>
      </w:pPr>
      <w:r w:rsidRPr="00806EC9">
        <w:rPr>
          <w:rFonts w:eastAsia="Times New Roman" w:cs="Times New Roman"/>
          <w:color w:val="000000"/>
        </w:rPr>
        <w:t xml:space="preserve">Kalashnikov DA, Davenport F V., Labe ZM, </w:t>
      </w:r>
      <w:proofErr w:type="spellStart"/>
      <w:r w:rsidRPr="00806EC9">
        <w:rPr>
          <w:rFonts w:eastAsia="Times New Roman" w:cs="Times New Roman"/>
          <w:color w:val="000000"/>
        </w:rPr>
        <w:t>Loikith</w:t>
      </w:r>
      <w:proofErr w:type="spellEnd"/>
      <w:r w:rsidRPr="00806EC9">
        <w:rPr>
          <w:rFonts w:eastAsia="Times New Roman" w:cs="Times New Roman"/>
          <w:color w:val="000000"/>
        </w:rPr>
        <w:t xml:space="preserve"> PC, </w:t>
      </w:r>
      <w:proofErr w:type="spellStart"/>
      <w:r w:rsidRPr="00806EC9">
        <w:rPr>
          <w:rFonts w:eastAsia="Times New Roman" w:cs="Times New Roman"/>
          <w:color w:val="000000"/>
        </w:rPr>
        <w:t>Abatzoglou</w:t>
      </w:r>
      <w:proofErr w:type="spellEnd"/>
      <w:r w:rsidRPr="00806EC9">
        <w:rPr>
          <w:rFonts w:eastAsia="Times New Roman" w:cs="Times New Roman"/>
          <w:color w:val="000000"/>
        </w:rPr>
        <w:t xml:space="preserve"> JT, Singh D (2024) Predicting Cloud‐To‐Ground Lightning in the Western United States </w:t>
      </w:r>
      <w:proofErr w:type="gramStart"/>
      <w:r w:rsidRPr="00806EC9">
        <w:rPr>
          <w:rFonts w:eastAsia="Times New Roman" w:cs="Times New Roman"/>
          <w:color w:val="000000"/>
        </w:rPr>
        <w:t>From</w:t>
      </w:r>
      <w:proofErr w:type="gramEnd"/>
      <w:r w:rsidRPr="00806EC9">
        <w:rPr>
          <w:rFonts w:eastAsia="Times New Roman" w:cs="Times New Roman"/>
          <w:color w:val="000000"/>
        </w:rPr>
        <w:t xml:space="preserve"> the Large‐Scale Environment Using Explainable Neural Networks. Journal of Geophysical Research: Atmospheres 129. https://doi.org/10.1029/2024JD042147</w:t>
      </w:r>
    </w:p>
    <w:p w14:paraId="5C6CE817" w14:textId="77777777" w:rsidR="00806EC9" w:rsidRPr="00806EC9" w:rsidRDefault="00806EC9">
      <w:pPr>
        <w:autoSpaceDE w:val="0"/>
        <w:autoSpaceDN w:val="0"/>
        <w:ind w:hanging="480"/>
        <w:divId w:val="398862832"/>
        <w:rPr>
          <w:rFonts w:eastAsia="Times New Roman" w:cs="Times New Roman"/>
          <w:color w:val="000000"/>
        </w:rPr>
      </w:pPr>
      <w:r w:rsidRPr="00806EC9">
        <w:rPr>
          <w:rFonts w:eastAsia="Times New Roman" w:cs="Times New Roman"/>
          <w:color w:val="000000"/>
        </w:rPr>
        <w:t>Romps DM, Seeley JT, Vollaro D, Molinari J (2014) Projected increase in lightning strikes in the United States due to global warming. Science (1979) 346:851–854. https://doi.org/10.1126/science.1259100</w:t>
      </w:r>
    </w:p>
    <w:p w14:paraId="5910A2A8" w14:textId="77777777" w:rsidR="00806EC9" w:rsidRPr="00806EC9" w:rsidRDefault="00806EC9">
      <w:pPr>
        <w:autoSpaceDE w:val="0"/>
        <w:autoSpaceDN w:val="0"/>
        <w:ind w:hanging="480"/>
        <w:divId w:val="1155412425"/>
        <w:rPr>
          <w:rFonts w:eastAsia="Times New Roman" w:cs="Times New Roman"/>
          <w:color w:val="000000"/>
        </w:rPr>
      </w:pPr>
      <w:r w:rsidRPr="00806EC9">
        <w:rPr>
          <w:rFonts w:eastAsia="Times New Roman" w:cs="Times New Roman"/>
          <w:color w:val="000000"/>
        </w:rPr>
        <w:t>Shi Z, Tang H-Q, Tan Y-B (2016) Effects of the Inductive Charging on the Electrification and Lightning Discharges in Thunderstorms. Terrestrial, Atmospheric and Oceanic Sciences 27:241–251. https://doi.org/10.3319/TAO.2015.12.10.01(A)</w:t>
      </w:r>
    </w:p>
    <w:p w14:paraId="6E3CDAE0" w14:textId="77777777" w:rsidR="00806EC9" w:rsidRPr="00806EC9" w:rsidRDefault="00806EC9">
      <w:pPr>
        <w:autoSpaceDE w:val="0"/>
        <w:autoSpaceDN w:val="0"/>
        <w:ind w:hanging="480"/>
        <w:divId w:val="847330767"/>
        <w:rPr>
          <w:rFonts w:eastAsia="Times New Roman" w:cs="Times New Roman"/>
          <w:color w:val="000000"/>
        </w:rPr>
      </w:pPr>
      <w:r w:rsidRPr="00806EC9">
        <w:rPr>
          <w:rFonts w:eastAsia="Times New Roman" w:cs="Times New Roman"/>
          <w:color w:val="000000"/>
        </w:rPr>
        <w:t>Takahashi T (1978) Riming Electrification as a Charge Generation Mechanism in Thunderstorms. J Atmos Sci 35:1536–1548. https://doi.org/10.1175/1520-0469(1978)035&lt;</w:t>
      </w:r>
      <w:proofErr w:type="gramStart"/>
      <w:r w:rsidRPr="00806EC9">
        <w:rPr>
          <w:rFonts w:eastAsia="Times New Roman" w:cs="Times New Roman"/>
          <w:color w:val="000000"/>
        </w:rPr>
        <w:t>1536:REAACG</w:t>
      </w:r>
      <w:proofErr w:type="gramEnd"/>
      <w:r w:rsidRPr="00806EC9">
        <w:rPr>
          <w:rFonts w:eastAsia="Times New Roman" w:cs="Times New Roman"/>
          <w:color w:val="000000"/>
        </w:rPr>
        <w:t>&gt;2.0.CO;2</w:t>
      </w:r>
    </w:p>
    <w:p w14:paraId="2FA5A708" w14:textId="77777777" w:rsidR="00806EC9" w:rsidRPr="00806EC9" w:rsidRDefault="00806EC9">
      <w:pPr>
        <w:autoSpaceDE w:val="0"/>
        <w:autoSpaceDN w:val="0"/>
        <w:ind w:hanging="480"/>
        <w:divId w:val="203837561"/>
        <w:rPr>
          <w:rFonts w:eastAsia="Times New Roman" w:cs="Times New Roman"/>
          <w:color w:val="000000"/>
        </w:rPr>
      </w:pPr>
      <w:r w:rsidRPr="00806EC9">
        <w:rPr>
          <w:rFonts w:eastAsia="Times New Roman" w:cs="Times New Roman"/>
          <w:color w:val="000000"/>
        </w:rPr>
        <w:t xml:space="preserve">Takahashi T, Tajiri T, </w:t>
      </w:r>
      <w:proofErr w:type="spellStart"/>
      <w:r w:rsidRPr="00806EC9">
        <w:rPr>
          <w:rFonts w:eastAsia="Times New Roman" w:cs="Times New Roman"/>
          <w:color w:val="000000"/>
        </w:rPr>
        <w:t>Sonoi</w:t>
      </w:r>
      <w:proofErr w:type="spellEnd"/>
      <w:r w:rsidRPr="00806EC9">
        <w:rPr>
          <w:rFonts w:eastAsia="Times New Roman" w:cs="Times New Roman"/>
          <w:color w:val="000000"/>
        </w:rPr>
        <w:t xml:space="preserve"> Y (1999) Charges on Graupel and Snow Crystals and the Electrical Structure of Winter Thunderstorms. J Atmos Sci 56:1561–1578. https://doi.org/10.1175/1520-0469(1999)056&lt;</w:t>
      </w:r>
      <w:proofErr w:type="gramStart"/>
      <w:r w:rsidRPr="00806EC9">
        <w:rPr>
          <w:rFonts w:eastAsia="Times New Roman" w:cs="Times New Roman"/>
          <w:color w:val="000000"/>
        </w:rPr>
        <w:t>1561:COGASC</w:t>
      </w:r>
      <w:proofErr w:type="gramEnd"/>
      <w:r w:rsidRPr="00806EC9">
        <w:rPr>
          <w:rFonts w:eastAsia="Times New Roman" w:cs="Times New Roman"/>
          <w:color w:val="000000"/>
        </w:rPr>
        <w:t>&gt;2.0.CO;2</w:t>
      </w:r>
    </w:p>
    <w:p w14:paraId="48E9BD38" w14:textId="39F027A4" w:rsidR="006E084D" w:rsidRPr="00F40A22" w:rsidRDefault="00806EC9" w:rsidP="00F40A22">
      <w:pPr>
        <w:rPr>
          <w:b/>
          <w:bCs/>
          <w:sz w:val="24"/>
        </w:rPr>
      </w:pPr>
      <w:r w:rsidRPr="00806EC9">
        <w:rPr>
          <w:rFonts w:eastAsia="Times New Roman" w:cs="Times New Roman"/>
          <w:color w:val="000000"/>
        </w:rPr>
        <w:t> </w:t>
      </w:r>
    </w:p>
    <w:sectPr w:rsidR="006E084D" w:rsidRPr="00F40A22" w:rsidSect="00DA0AB4">
      <w:footerReference w:type="default" r:id="rId15"/>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DB62" w14:textId="77777777" w:rsidR="00AE0F6D" w:rsidRDefault="00AE0F6D" w:rsidP="001F3BC6">
      <w:pPr>
        <w:spacing w:after="0"/>
      </w:pPr>
      <w:r>
        <w:separator/>
      </w:r>
    </w:p>
  </w:endnote>
  <w:endnote w:type="continuationSeparator" w:id="0">
    <w:p w14:paraId="06327065" w14:textId="77777777" w:rsidR="00AE0F6D" w:rsidRDefault="00AE0F6D" w:rsidP="001F3B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764716"/>
      <w:docPartObj>
        <w:docPartGallery w:val="Page Numbers (Bottom of Page)"/>
        <w:docPartUnique/>
      </w:docPartObj>
    </w:sdtPr>
    <w:sdtEndPr/>
    <w:sdtContent>
      <w:p w14:paraId="5C93D773" w14:textId="4DCC3230" w:rsidR="001F3BC6" w:rsidRDefault="001F3BC6">
        <w:pPr>
          <w:pStyle w:val="Rodap"/>
          <w:jc w:val="right"/>
        </w:pPr>
        <w:r>
          <w:fldChar w:fldCharType="begin"/>
        </w:r>
        <w:r>
          <w:instrText>PAGE   \* MERGEFORMAT</w:instrText>
        </w:r>
        <w:r>
          <w:fldChar w:fldCharType="separate"/>
        </w:r>
        <w:r>
          <w:rPr>
            <w:lang w:val="pt-BR"/>
          </w:rPr>
          <w:t>2</w:t>
        </w:r>
        <w:r>
          <w:fldChar w:fldCharType="end"/>
        </w:r>
      </w:p>
    </w:sdtContent>
  </w:sdt>
  <w:p w14:paraId="0A44684C" w14:textId="77777777" w:rsidR="001F3BC6" w:rsidRDefault="001F3B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664B" w14:textId="77777777" w:rsidR="00AE0F6D" w:rsidRDefault="00AE0F6D" w:rsidP="001F3BC6">
      <w:pPr>
        <w:spacing w:after="0"/>
      </w:pPr>
      <w:r>
        <w:separator/>
      </w:r>
    </w:p>
  </w:footnote>
  <w:footnote w:type="continuationSeparator" w:id="0">
    <w:p w14:paraId="2E6ABC7D" w14:textId="77777777" w:rsidR="00AE0F6D" w:rsidRDefault="00AE0F6D" w:rsidP="001F3B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11006"/>
    <w:multiLevelType w:val="hybridMultilevel"/>
    <w:tmpl w:val="D7B0F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547E82"/>
    <w:multiLevelType w:val="hybridMultilevel"/>
    <w:tmpl w:val="3F5A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306976">
    <w:abstractNumId w:val="0"/>
  </w:num>
  <w:num w:numId="2" w16cid:durableId="1317303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B4"/>
    <w:rsid w:val="000116AC"/>
    <w:rsid w:val="0002154B"/>
    <w:rsid w:val="00060670"/>
    <w:rsid w:val="000679E9"/>
    <w:rsid w:val="000A6943"/>
    <w:rsid w:val="000C2BEF"/>
    <w:rsid w:val="00116E2F"/>
    <w:rsid w:val="0012125C"/>
    <w:rsid w:val="001244E0"/>
    <w:rsid w:val="0013445A"/>
    <w:rsid w:val="00151238"/>
    <w:rsid w:val="0017413F"/>
    <w:rsid w:val="0019298B"/>
    <w:rsid w:val="001C6D8C"/>
    <w:rsid w:val="001F3BC6"/>
    <w:rsid w:val="00216B66"/>
    <w:rsid w:val="002216A2"/>
    <w:rsid w:val="00261612"/>
    <w:rsid w:val="00275354"/>
    <w:rsid w:val="00283EB5"/>
    <w:rsid w:val="002A0D41"/>
    <w:rsid w:val="002B715D"/>
    <w:rsid w:val="00304A88"/>
    <w:rsid w:val="00336525"/>
    <w:rsid w:val="003422C0"/>
    <w:rsid w:val="003448C0"/>
    <w:rsid w:val="00366092"/>
    <w:rsid w:val="003804BD"/>
    <w:rsid w:val="003A3BA6"/>
    <w:rsid w:val="003C4132"/>
    <w:rsid w:val="003D3274"/>
    <w:rsid w:val="003D3287"/>
    <w:rsid w:val="0040012A"/>
    <w:rsid w:val="00424C23"/>
    <w:rsid w:val="0043118B"/>
    <w:rsid w:val="004423A5"/>
    <w:rsid w:val="00447354"/>
    <w:rsid w:val="00482FC2"/>
    <w:rsid w:val="004A4686"/>
    <w:rsid w:val="004A645A"/>
    <w:rsid w:val="004A7122"/>
    <w:rsid w:val="004F105C"/>
    <w:rsid w:val="004F5E4D"/>
    <w:rsid w:val="004F7E93"/>
    <w:rsid w:val="00501592"/>
    <w:rsid w:val="005203A6"/>
    <w:rsid w:val="005421FC"/>
    <w:rsid w:val="00551459"/>
    <w:rsid w:val="00576FDF"/>
    <w:rsid w:val="005876EC"/>
    <w:rsid w:val="005C5374"/>
    <w:rsid w:val="005F1570"/>
    <w:rsid w:val="005F4E19"/>
    <w:rsid w:val="00613E9D"/>
    <w:rsid w:val="00622CF4"/>
    <w:rsid w:val="0062688C"/>
    <w:rsid w:val="00634408"/>
    <w:rsid w:val="006735D0"/>
    <w:rsid w:val="006B7D11"/>
    <w:rsid w:val="006E084D"/>
    <w:rsid w:val="006E4313"/>
    <w:rsid w:val="006E7DD1"/>
    <w:rsid w:val="006F57A0"/>
    <w:rsid w:val="00712C30"/>
    <w:rsid w:val="00720DB1"/>
    <w:rsid w:val="00721A8E"/>
    <w:rsid w:val="0074009E"/>
    <w:rsid w:val="007438D5"/>
    <w:rsid w:val="00757324"/>
    <w:rsid w:val="0077341A"/>
    <w:rsid w:val="0077574F"/>
    <w:rsid w:val="00775FD4"/>
    <w:rsid w:val="007A4F1F"/>
    <w:rsid w:val="007C054C"/>
    <w:rsid w:val="007C4B6F"/>
    <w:rsid w:val="007C6FED"/>
    <w:rsid w:val="007D3233"/>
    <w:rsid w:val="007E3BF8"/>
    <w:rsid w:val="00806EC9"/>
    <w:rsid w:val="00815AE7"/>
    <w:rsid w:val="008242CF"/>
    <w:rsid w:val="008450F4"/>
    <w:rsid w:val="0084725B"/>
    <w:rsid w:val="008A3EF0"/>
    <w:rsid w:val="008A4507"/>
    <w:rsid w:val="008B33EC"/>
    <w:rsid w:val="008E6136"/>
    <w:rsid w:val="008F1E50"/>
    <w:rsid w:val="009044D0"/>
    <w:rsid w:val="00907984"/>
    <w:rsid w:val="009168F7"/>
    <w:rsid w:val="0093021B"/>
    <w:rsid w:val="00944490"/>
    <w:rsid w:val="0094578F"/>
    <w:rsid w:val="00954731"/>
    <w:rsid w:val="00A000EF"/>
    <w:rsid w:val="00A40EAF"/>
    <w:rsid w:val="00A45901"/>
    <w:rsid w:val="00A6075E"/>
    <w:rsid w:val="00AA5EDC"/>
    <w:rsid w:val="00AB30C6"/>
    <w:rsid w:val="00AC2FE9"/>
    <w:rsid w:val="00AD35CD"/>
    <w:rsid w:val="00AE0F6D"/>
    <w:rsid w:val="00B01721"/>
    <w:rsid w:val="00B16DAC"/>
    <w:rsid w:val="00B365F7"/>
    <w:rsid w:val="00B436BF"/>
    <w:rsid w:val="00B47817"/>
    <w:rsid w:val="00B527E0"/>
    <w:rsid w:val="00B554A4"/>
    <w:rsid w:val="00B76B3B"/>
    <w:rsid w:val="00B914FE"/>
    <w:rsid w:val="00B92B25"/>
    <w:rsid w:val="00B94BA8"/>
    <w:rsid w:val="00BA2C26"/>
    <w:rsid w:val="00BC2FAE"/>
    <w:rsid w:val="00C06443"/>
    <w:rsid w:val="00C50EE1"/>
    <w:rsid w:val="00C66A54"/>
    <w:rsid w:val="00CA4359"/>
    <w:rsid w:val="00CA6AD5"/>
    <w:rsid w:val="00CB257E"/>
    <w:rsid w:val="00CB4D0A"/>
    <w:rsid w:val="00CC29EA"/>
    <w:rsid w:val="00CC4E1E"/>
    <w:rsid w:val="00D30481"/>
    <w:rsid w:val="00D762F4"/>
    <w:rsid w:val="00D84C24"/>
    <w:rsid w:val="00D95C4C"/>
    <w:rsid w:val="00D969DE"/>
    <w:rsid w:val="00DA0AB4"/>
    <w:rsid w:val="00DA21D8"/>
    <w:rsid w:val="00DC7123"/>
    <w:rsid w:val="00DE1837"/>
    <w:rsid w:val="00DE399A"/>
    <w:rsid w:val="00DE7907"/>
    <w:rsid w:val="00E04E0F"/>
    <w:rsid w:val="00E23236"/>
    <w:rsid w:val="00E242E6"/>
    <w:rsid w:val="00E52A93"/>
    <w:rsid w:val="00E776AA"/>
    <w:rsid w:val="00E92139"/>
    <w:rsid w:val="00EA5A2E"/>
    <w:rsid w:val="00EE48C2"/>
    <w:rsid w:val="00EF449E"/>
    <w:rsid w:val="00F31D87"/>
    <w:rsid w:val="00F32519"/>
    <w:rsid w:val="00F40A22"/>
    <w:rsid w:val="00F84319"/>
    <w:rsid w:val="00F96177"/>
    <w:rsid w:val="00FA3986"/>
    <w:rsid w:val="00FA4C2D"/>
    <w:rsid w:val="00FA7F88"/>
    <w:rsid w:val="00FC4C50"/>
    <w:rsid w:val="00FC60D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C26B"/>
  <w15:chartTrackingRefBased/>
  <w15:docId w15:val="{E1171A0C-F9B6-4912-B822-DDF0D78B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B4"/>
    <w:pPr>
      <w:spacing w:line="240" w:lineRule="auto"/>
      <w:jc w:val="both"/>
    </w:pPr>
    <w:rPr>
      <w:rFonts w:ascii="Times New Roman" w:hAnsi="Times New Roman"/>
      <w:sz w:val="20"/>
    </w:rPr>
  </w:style>
  <w:style w:type="paragraph" w:styleId="Ttulo1">
    <w:name w:val="heading 1"/>
    <w:basedOn w:val="Normal"/>
    <w:next w:val="Normal"/>
    <w:link w:val="Ttulo1Char"/>
    <w:uiPriority w:val="9"/>
    <w:qFormat/>
    <w:rsid w:val="00DA0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A0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A0AB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A0AB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A0AB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A0AB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A0AB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A0AB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A0AB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0AB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A0AB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A0AB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A0AB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A0AB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A0AB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A0AB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A0AB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A0AB4"/>
    <w:rPr>
      <w:rFonts w:eastAsiaTheme="majorEastAsia" w:cstheme="majorBidi"/>
      <w:color w:val="272727" w:themeColor="text1" w:themeTint="D8"/>
    </w:rPr>
  </w:style>
  <w:style w:type="paragraph" w:styleId="Ttulo">
    <w:name w:val="Title"/>
    <w:basedOn w:val="Normal"/>
    <w:next w:val="Normal"/>
    <w:link w:val="TtuloChar"/>
    <w:autoRedefine/>
    <w:uiPriority w:val="10"/>
    <w:qFormat/>
    <w:rsid w:val="00DA0AB4"/>
    <w:pPr>
      <w:spacing w:after="80"/>
      <w:contextualSpacing/>
      <w:jc w:val="center"/>
    </w:pPr>
    <w:rPr>
      <w:rFonts w:eastAsiaTheme="majorEastAsia" w:cstheme="majorBidi"/>
      <w:b/>
      <w:spacing w:val="-10"/>
      <w:kern w:val="28"/>
      <w:sz w:val="28"/>
      <w:szCs w:val="56"/>
    </w:rPr>
  </w:style>
  <w:style w:type="character" w:customStyle="1" w:styleId="TtuloChar">
    <w:name w:val="Título Char"/>
    <w:basedOn w:val="Fontepargpadro"/>
    <w:link w:val="Ttulo"/>
    <w:uiPriority w:val="10"/>
    <w:rsid w:val="00DA0AB4"/>
    <w:rPr>
      <w:rFonts w:ascii="Times New Roman" w:eastAsiaTheme="majorEastAsia" w:hAnsi="Times New Roman" w:cstheme="majorBidi"/>
      <w:b/>
      <w:noProof/>
      <w:spacing w:val="-10"/>
      <w:kern w:val="28"/>
      <w:sz w:val="28"/>
      <w:szCs w:val="56"/>
    </w:rPr>
  </w:style>
  <w:style w:type="paragraph" w:styleId="Subttulo">
    <w:name w:val="Subtitle"/>
    <w:basedOn w:val="Normal"/>
    <w:next w:val="Normal"/>
    <w:link w:val="SubttuloChar"/>
    <w:uiPriority w:val="11"/>
    <w:qFormat/>
    <w:rsid w:val="00DA0AB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A0AB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A0AB4"/>
    <w:pPr>
      <w:spacing w:before="160"/>
      <w:jc w:val="center"/>
    </w:pPr>
    <w:rPr>
      <w:i/>
      <w:iCs/>
      <w:color w:val="404040" w:themeColor="text1" w:themeTint="BF"/>
    </w:rPr>
  </w:style>
  <w:style w:type="character" w:customStyle="1" w:styleId="CitaoChar">
    <w:name w:val="Citação Char"/>
    <w:basedOn w:val="Fontepargpadro"/>
    <w:link w:val="Citao"/>
    <w:uiPriority w:val="29"/>
    <w:rsid w:val="00DA0AB4"/>
    <w:rPr>
      <w:i/>
      <w:iCs/>
      <w:color w:val="404040" w:themeColor="text1" w:themeTint="BF"/>
    </w:rPr>
  </w:style>
  <w:style w:type="paragraph" w:styleId="PargrafodaLista">
    <w:name w:val="List Paragraph"/>
    <w:basedOn w:val="Normal"/>
    <w:uiPriority w:val="34"/>
    <w:qFormat/>
    <w:rsid w:val="00DA0AB4"/>
    <w:pPr>
      <w:ind w:left="720"/>
      <w:contextualSpacing/>
    </w:pPr>
  </w:style>
  <w:style w:type="character" w:styleId="nfaseIntensa">
    <w:name w:val="Intense Emphasis"/>
    <w:basedOn w:val="Fontepargpadro"/>
    <w:uiPriority w:val="21"/>
    <w:qFormat/>
    <w:rsid w:val="00DA0AB4"/>
    <w:rPr>
      <w:i/>
      <w:iCs/>
      <w:color w:val="0F4761" w:themeColor="accent1" w:themeShade="BF"/>
    </w:rPr>
  </w:style>
  <w:style w:type="paragraph" w:styleId="CitaoIntensa">
    <w:name w:val="Intense Quote"/>
    <w:basedOn w:val="Normal"/>
    <w:next w:val="Normal"/>
    <w:link w:val="CitaoIntensaChar"/>
    <w:uiPriority w:val="30"/>
    <w:qFormat/>
    <w:rsid w:val="00DA0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A0AB4"/>
    <w:rPr>
      <w:i/>
      <w:iCs/>
      <w:color w:val="0F4761" w:themeColor="accent1" w:themeShade="BF"/>
    </w:rPr>
  </w:style>
  <w:style w:type="character" w:styleId="RefernciaIntensa">
    <w:name w:val="Intense Reference"/>
    <w:basedOn w:val="Fontepargpadro"/>
    <w:uiPriority w:val="32"/>
    <w:qFormat/>
    <w:rsid w:val="00DA0AB4"/>
    <w:rPr>
      <w:b/>
      <w:bCs/>
      <w:smallCaps/>
      <w:color w:val="0F4761" w:themeColor="accent1" w:themeShade="BF"/>
      <w:spacing w:val="5"/>
    </w:rPr>
  </w:style>
  <w:style w:type="character" w:styleId="Hyperlink">
    <w:name w:val="Hyperlink"/>
    <w:basedOn w:val="Fontepargpadro"/>
    <w:uiPriority w:val="99"/>
    <w:unhideWhenUsed/>
    <w:rsid w:val="00DA0AB4"/>
    <w:rPr>
      <w:color w:val="467886" w:themeColor="hyperlink"/>
      <w:u w:val="single"/>
    </w:rPr>
  </w:style>
  <w:style w:type="character" w:styleId="Nmerodelinha">
    <w:name w:val="line number"/>
    <w:basedOn w:val="Fontepargpadro"/>
    <w:uiPriority w:val="99"/>
    <w:semiHidden/>
    <w:unhideWhenUsed/>
    <w:rsid w:val="00DA0AB4"/>
  </w:style>
  <w:style w:type="paragraph" w:styleId="Legenda">
    <w:name w:val="caption"/>
    <w:basedOn w:val="Normal"/>
    <w:next w:val="Normal"/>
    <w:autoRedefine/>
    <w:uiPriority w:val="35"/>
    <w:unhideWhenUsed/>
    <w:qFormat/>
    <w:rsid w:val="00DE1837"/>
    <w:pPr>
      <w:spacing w:after="200"/>
    </w:pPr>
    <w:rPr>
      <w:iCs/>
      <w:color w:val="000000" w:themeColor="text1"/>
      <w:szCs w:val="18"/>
    </w:rPr>
  </w:style>
  <w:style w:type="paragraph" w:styleId="NormalWeb">
    <w:name w:val="Normal (Web)"/>
    <w:basedOn w:val="Normal"/>
    <w:uiPriority w:val="99"/>
    <w:semiHidden/>
    <w:unhideWhenUsed/>
    <w:rsid w:val="008B33EC"/>
    <w:rPr>
      <w:rFonts w:cs="Times New Roman"/>
      <w:sz w:val="24"/>
    </w:rPr>
  </w:style>
  <w:style w:type="paragraph" w:styleId="Cabealho">
    <w:name w:val="header"/>
    <w:basedOn w:val="Normal"/>
    <w:link w:val="CabealhoChar"/>
    <w:uiPriority w:val="99"/>
    <w:unhideWhenUsed/>
    <w:rsid w:val="001F3BC6"/>
    <w:pPr>
      <w:tabs>
        <w:tab w:val="center" w:pos="4419"/>
        <w:tab w:val="right" w:pos="8838"/>
      </w:tabs>
      <w:spacing w:after="0"/>
    </w:pPr>
  </w:style>
  <w:style w:type="character" w:customStyle="1" w:styleId="CabealhoChar">
    <w:name w:val="Cabeçalho Char"/>
    <w:basedOn w:val="Fontepargpadro"/>
    <w:link w:val="Cabealho"/>
    <w:uiPriority w:val="99"/>
    <w:rsid w:val="001F3BC6"/>
    <w:rPr>
      <w:rFonts w:ascii="Times New Roman" w:hAnsi="Times New Roman"/>
      <w:sz w:val="20"/>
    </w:rPr>
  </w:style>
  <w:style w:type="paragraph" w:styleId="Rodap">
    <w:name w:val="footer"/>
    <w:basedOn w:val="Normal"/>
    <w:link w:val="RodapChar"/>
    <w:uiPriority w:val="99"/>
    <w:unhideWhenUsed/>
    <w:rsid w:val="001F3BC6"/>
    <w:pPr>
      <w:tabs>
        <w:tab w:val="center" w:pos="4419"/>
        <w:tab w:val="right" w:pos="8838"/>
      </w:tabs>
      <w:spacing w:after="0"/>
    </w:pPr>
  </w:style>
  <w:style w:type="character" w:customStyle="1" w:styleId="RodapChar">
    <w:name w:val="Rodapé Char"/>
    <w:basedOn w:val="Fontepargpadro"/>
    <w:link w:val="Rodap"/>
    <w:uiPriority w:val="99"/>
    <w:rsid w:val="001F3BC6"/>
    <w:rPr>
      <w:rFonts w:ascii="Times New Roman" w:hAnsi="Times New Roman"/>
      <w:sz w:val="20"/>
    </w:rPr>
  </w:style>
  <w:style w:type="character" w:styleId="Refdecomentrio">
    <w:name w:val="annotation reference"/>
    <w:basedOn w:val="Fontepargpadro"/>
    <w:uiPriority w:val="99"/>
    <w:semiHidden/>
    <w:unhideWhenUsed/>
    <w:rsid w:val="0013445A"/>
    <w:rPr>
      <w:sz w:val="16"/>
      <w:szCs w:val="16"/>
    </w:rPr>
  </w:style>
  <w:style w:type="character" w:styleId="TextodoEspaoReservado">
    <w:name w:val="Placeholder Text"/>
    <w:basedOn w:val="Fontepargpadro"/>
    <w:uiPriority w:val="99"/>
    <w:semiHidden/>
    <w:rsid w:val="00BA2C26"/>
    <w:rPr>
      <w:color w:val="666666"/>
    </w:rPr>
  </w:style>
  <w:style w:type="table" w:styleId="Tabelacomgrade">
    <w:name w:val="Table Grid"/>
    <w:basedOn w:val="Tabelanormal"/>
    <w:uiPriority w:val="39"/>
    <w:rsid w:val="00FA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2330">
      <w:marLeft w:val="480"/>
      <w:marRight w:val="0"/>
      <w:marTop w:val="0"/>
      <w:marBottom w:val="0"/>
      <w:divBdr>
        <w:top w:val="none" w:sz="0" w:space="0" w:color="auto"/>
        <w:left w:val="none" w:sz="0" w:space="0" w:color="auto"/>
        <w:bottom w:val="none" w:sz="0" w:space="0" w:color="auto"/>
        <w:right w:val="none" w:sz="0" w:space="0" w:color="auto"/>
      </w:divBdr>
    </w:div>
    <w:div w:id="21133982">
      <w:marLeft w:val="480"/>
      <w:marRight w:val="0"/>
      <w:marTop w:val="0"/>
      <w:marBottom w:val="0"/>
      <w:divBdr>
        <w:top w:val="none" w:sz="0" w:space="0" w:color="auto"/>
        <w:left w:val="none" w:sz="0" w:space="0" w:color="auto"/>
        <w:bottom w:val="none" w:sz="0" w:space="0" w:color="auto"/>
        <w:right w:val="none" w:sz="0" w:space="0" w:color="auto"/>
      </w:divBdr>
    </w:div>
    <w:div w:id="45877657">
      <w:marLeft w:val="480"/>
      <w:marRight w:val="0"/>
      <w:marTop w:val="0"/>
      <w:marBottom w:val="0"/>
      <w:divBdr>
        <w:top w:val="none" w:sz="0" w:space="0" w:color="auto"/>
        <w:left w:val="none" w:sz="0" w:space="0" w:color="auto"/>
        <w:bottom w:val="none" w:sz="0" w:space="0" w:color="auto"/>
        <w:right w:val="none" w:sz="0" w:space="0" w:color="auto"/>
      </w:divBdr>
    </w:div>
    <w:div w:id="55394884">
      <w:marLeft w:val="480"/>
      <w:marRight w:val="0"/>
      <w:marTop w:val="0"/>
      <w:marBottom w:val="0"/>
      <w:divBdr>
        <w:top w:val="none" w:sz="0" w:space="0" w:color="auto"/>
        <w:left w:val="none" w:sz="0" w:space="0" w:color="auto"/>
        <w:bottom w:val="none" w:sz="0" w:space="0" w:color="auto"/>
        <w:right w:val="none" w:sz="0" w:space="0" w:color="auto"/>
      </w:divBdr>
    </w:div>
    <w:div w:id="62726702">
      <w:marLeft w:val="480"/>
      <w:marRight w:val="0"/>
      <w:marTop w:val="0"/>
      <w:marBottom w:val="0"/>
      <w:divBdr>
        <w:top w:val="none" w:sz="0" w:space="0" w:color="auto"/>
        <w:left w:val="none" w:sz="0" w:space="0" w:color="auto"/>
        <w:bottom w:val="none" w:sz="0" w:space="0" w:color="auto"/>
        <w:right w:val="none" w:sz="0" w:space="0" w:color="auto"/>
      </w:divBdr>
    </w:div>
    <w:div w:id="92286736">
      <w:marLeft w:val="480"/>
      <w:marRight w:val="0"/>
      <w:marTop w:val="0"/>
      <w:marBottom w:val="0"/>
      <w:divBdr>
        <w:top w:val="none" w:sz="0" w:space="0" w:color="auto"/>
        <w:left w:val="none" w:sz="0" w:space="0" w:color="auto"/>
        <w:bottom w:val="none" w:sz="0" w:space="0" w:color="auto"/>
        <w:right w:val="none" w:sz="0" w:space="0" w:color="auto"/>
      </w:divBdr>
    </w:div>
    <w:div w:id="98768190">
      <w:marLeft w:val="480"/>
      <w:marRight w:val="0"/>
      <w:marTop w:val="0"/>
      <w:marBottom w:val="0"/>
      <w:divBdr>
        <w:top w:val="none" w:sz="0" w:space="0" w:color="auto"/>
        <w:left w:val="none" w:sz="0" w:space="0" w:color="auto"/>
        <w:bottom w:val="none" w:sz="0" w:space="0" w:color="auto"/>
        <w:right w:val="none" w:sz="0" w:space="0" w:color="auto"/>
      </w:divBdr>
    </w:div>
    <w:div w:id="106118006">
      <w:marLeft w:val="480"/>
      <w:marRight w:val="0"/>
      <w:marTop w:val="0"/>
      <w:marBottom w:val="0"/>
      <w:divBdr>
        <w:top w:val="none" w:sz="0" w:space="0" w:color="auto"/>
        <w:left w:val="none" w:sz="0" w:space="0" w:color="auto"/>
        <w:bottom w:val="none" w:sz="0" w:space="0" w:color="auto"/>
        <w:right w:val="none" w:sz="0" w:space="0" w:color="auto"/>
      </w:divBdr>
    </w:div>
    <w:div w:id="124322263">
      <w:marLeft w:val="480"/>
      <w:marRight w:val="0"/>
      <w:marTop w:val="0"/>
      <w:marBottom w:val="0"/>
      <w:divBdr>
        <w:top w:val="none" w:sz="0" w:space="0" w:color="auto"/>
        <w:left w:val="none" w:sz="0" w:space="0" w:color="auto"/>
        <w:bottom w:val="none" w:sz="0" w:space="0" w:color="auto"/>
        <w:right w:val="none" w:sz="0" w:space="0" w:color="auto"/>
      </w:divBdr>
    </w:div>
    <w:div w:id="130052724">
      <w:marLeft w:val="480"/>
      <w:marRight w:val="0"/>
      <w:marTop w:val="0"/>
      <w:marBottom w:val="0"/>
      <w:divBdr>
        <w:top w:val="none" w:sz="0" w:space="0" w:color="auto"/>
        <w:left w:val="none" w:sz="0" w:space="0" w:color="auto"/>
        <w:bottom w:val="none" w:sz="0" w:space="0" w:color="auto"/>
        <w:right w:val="none" w:sz="0" w:space="0" w:color="auto"/>
      </w:divBdr>
    </w:div>
    <w:div w:id="192351764">
      <w:marLeft w:val="480"/>
      <w:marRight w:val="0"/>
      <w:marTop w:val="0"/>
      <w:marBottom w:val="0"/>
      <w:divBdr>
        <w:top w:val="none" w:sz="0" w:space="0" w:color="auto"/>
        <w:left w:val="none" w:sz="0" w:space="0" w:color="auto"/>
        <w:bottom w:val="none" w:sz="0" w:space="0" w:color="auto"/>
        <w:right w:val="none" w:sz="0" w:space="0" w:color="auto"/>
      </w:divBdr>
    </w:div>
    <w:div w:id="203837561">
      <w:marLeft w:val="480"/>
      <w:marRight w:val="0"/>
      <w:marTop w:val="0"/>
      <w:marBottom w:val="0"/>
      <w:divBdr>
        <w:top w:val="none" w:sz="0" w:space="0" w:color="auto"/>
        <w:left w:val="none" w:sz="0" w:space="0" w:color="auto"/>
        <w:bottom w:val="none" w:sz="0" w:space="0" w:color="auto"/>
        <w:right w:val="none" w:sz="0" w:space="0" w:color="auto"/>
      </w:divBdr>
    </w:div>
    <w:div w:id="204103855">
      <w:marLeft w:val="480"/>
      <w:marRight w:val="0"/>
      <w:marTop w:val="0"/>
      <w:marBottom w:val="0"/>
      <w:divBdr>
        <w:top w:val="none" w:sz="0" w:space="0" w:color="auto"/>
        <w:left w:val="none" w:sz="0" w:space="0" w:color="auto"/>
        <w:bottom w:val="none" w:sz="0" w:space="0" w:color="auto"/>
        <w:right w:val="none" w:sz="0" w:space="0" w:color="auto"/>
      </w:divBdr>
    </w:div>
    <w:div w:id="207575017">
      <w:marLeft w:val="480"/>
      <w:marRight w:val="0"/>
      <w:marTop w:val="0"/>
      <w:marBottom w:val="0"/>
      <w:divBdr>
        <w:top w:val="none" w:sz="0" w:space="0" w:color="auto"/>
        <w:left w:val="none" w:sz="0" w:space="0" w:color="auto"/>
        <w:bottom w:val="none" w:sz="0" w:space="0" w:color="auto"/>
        <w:right w:val="none" w:sz="0" w:space="0" w:color="auto"/>
      </w:divBdr>
    </w:div>
    <w:div w:id="209997067">
      <w:marLeft w:val="480"/>
      <w:marRight w:val="0"/>
      <w:marTop w:val="0"/>
      <w:marBottom w:val="0"/>
      <w:divBdr>
        <w:top w:val="none" w:sz="0" w:space="0" w:color="auto"/>
        <w:left w:val="none" w:sz="0" w:space="0" w:color="auto"/>
        <w:bottom w:val="none" w:sz="0" w:space="0" w:color="auto"/>
        <w:right w:val="none" w:sz="0" w:space="0" w:color="auto"/>
      </w:divBdr>
    </w:div>
    <w:div w:id="223176275">
      <w:marLeft w:val="480"/>
      <w:marRight w:val="0"/>
      <w:marTop w:val="0"/>
      <w:marBottom w:val="0"/>
      <w:divBdr>
        <w:top w:val="none" w:sz="0" w:space="0" w:color="auto"/>
        <w:left w:val="none" w:sz="0" w:space="0" w:color="auto"/>
        <w:bottom w:val="none" w:sz="0" w:space="0" w:color="auto"/>
        <w:right w:val="none" w:sz="0" w:space="0" w:color="auto"/>
      </w:divBdr>
    </w:div>
    <w:div w:id="232012693">
      <w:marLeft w:val="480"/>
      <w:marRight w:val="0"/>
      <w:marTop w:val="0"/>
      <w:marBottom w:val="0"/>
      <w:divBdr>
        <w:top w:val="none" w:sz="0" w:space="0" w:color="auto"/>
        <w:left w:val="none" w:sz="0" w:space="0" w:color="auto"/>
        <w:bottom w:val="none" w:sz="0" w:space="0" w:color="auto"/>
        <w:right w:val="none" w:sz="0" w:space="0" w:color="auto"/>
      </w:divBdr>
    </w:div>
    <w:div w:id="306514575">
      <w:marLeft w:val="480"/>
      <w:marRight w:val="0"/>
      <w:marTop w:val="0"/>
      <w:marBottom w:val="0"/>
      <w:divBdr>
        <w:top w:val="none" w:sz="0" w:space="0" w:color="auto"/>
        <w:left w:val="none" w:sz="0" w:space="0" w:color="auto"/>
        <w:bottom w:val="none" w:sz="0" w:space="0" w:color="auto"/>
        <w:right w:val="none" w:sz="0" w:space="0" w:color="auto"/>
      </w:divBdr>
    </w:div>
    <w:div w:id="316611137">
      <w:marLeft w:val="480"/>
      <w:marRight w:val="0"/>
      <w:marTop w:val="0"/>
      <w:marBottom w:val="0"/>
      <w:divBdr>
        <w:top w:val="none" w:sz="0" w:space="0" w:color="auto"/>
        <w:left w:val="none" w:sz="0" w:space="0" w:color="auto"/>
        <w:bottom w:val="none" w:sz="0" w:space="0" w:color="auto"/>
        <w:right w:val="none" w:sz="0" w:space="0" w:color="auto"/>
      </w:divBdr>
    </w:div>
    <w:div w:id="332730675">
      <w:marLeft w:val="480"/>
      <w:marRight w:val="0"/>
      <w:marTop w:val="0"/>
      <w:marBottom w:val="0"/>
      <w:divBdr>
        <w:top w:val="none" w:sz="0" w:space="0" w:color="auto"/>
        <w:left w:val="none" w:sz="0" w:space="0" w:color="auto"/>
        <w:bottom w:val="none" w:sz="0" w:space="0" w:color="auto"/>
        <w:right w:val="none" w:sz="0" w:space="0" w:color="auto"/>
      </w:divBdr>
    </w:div>
    <w:div w:id="367416223">
      <w:marLeft w:val="480"/>
      <w:marRight w:val="0"/>
      <w:marTop w:val="0"/>
      <w:marBottom w:val="0"/>
      <w:divBdr>
        <w:top w:val="none" w:sz="0" w:space="0" w:color="auto"/>
        <w:left w:val="none" w:sz="0" w:space="0" w:color="auto"/>
        <w:bottom w:val="none" w:sz="0" w:space="0" w:color="auto"/>
        <w:right w:val="none" w:sz="0" w:space="0" w:color="auto"/>
      </w:divBdr>
    </w:div>
    <w:div w:id="375858239">
      <w:marLeft w:val="480"/>
      <w:marRight w:val="0"/>
      <w:marTop w:val="0"/>
      <w:marBottom w:val="0"/>
      <w:divBdr>
        <w:top w:val="none" w:sz="0" w:space="0" w:color="auto"/>
        <w:left w:val="none" w:sz="0" w:space="0" w:color="auto"/>
        <w:bottom w:val="none" w:sz="0" w:space="0" w:color="auto"/>
        <w:right w:val="none" w:sz="0" w:space="0" w:color="auto"/>
      </w:divBdr>
    </w:div>
    <w:div w:id="398862832">
      <w:marLeft w:val="480"/>
      <w:marRight w:val="0"/>
      <w:marTop w:val="0"/>
      <w:marBottom w:val="0"/>
      <w:divBdr>
        <w:top w:val="none" w:sz="0" w:space="0" w:color="auto"/>
        <w:left w:val="none" w:sz="0" w:space="0" w:color="auto"/>
        <w:bottom w:val="none" w:sz="0" w:space="0" w:color="auto"/>
        <w:right w:val="none" w:sz="0" w:space="0" w:color="auto"/>
      </w:divBdr>
    </w:div>
    <w:div w:id="402721350">
      <w:marLeft w:val="480"/>
      <w:marRight w:val="0"/>
      <w:marTop w:val="0"/>
      <w:marBottom w:val="0"/>
      <w:divBdr>
        <w:top w:val="none" w:sz="0" w:space="0" w:color="auto"/>
        <w:left w:val="none" w:sz="0" w:space="0" w:color="auto"/>
        <w:bottom w:val="none" w:sz="0" w:space="0" w:color="auto"/>
        <w:right w:val="none" w:sz="0" w:space="0" w:color="auto"/>
      </w:divBdr>
    </w:div>
    <w:div w:id="410615156">
      <w:marLeft w:val="480"/>
      <w:marRight w:val="0"/>
      <w:marTop w:val="0"/>
      <w:marBottom w:val="0"/>
      <w:divBdr>
        <w:top w:val="none" w:sz="0" w:space="0" w:color="auto"/>
        <w:left w:val="none" w:sz="0" w:space="0" w:color="auto"/>
        <w:bottom w:val="none" w:sz="0" w:space="0" w:color="auto"/>
        <w:right w:val="none" w:sz="0" w:space="0" w:color="auto"/>
      </w:divBdr>
    </w:div>
    <w:div w:id="415202663">
      <w:marLeft w:val="480"/>
      <w:marRight w:val="0"/>
      <w:marTop w:val="0"/>
      <w:marBottom w:val="0"/>
      <w:divBdr>
        <w:top w:val="none" w:sz="0" w:space="0" w:color="auto"/>
        <w:left w:val="none" w:sz="0" w:space="0" w:color="auto"/>
        <w:bottom w:val="none" w:sz="0" w:space="0" w:color="auto"/>
        <w:right w:val="none" w:sz="0" w:space="0" w:color="auto"/>
      </w:divBdr>
    </w:div>
    <w:div w:id="420223370">
      <w:marLeft w:val="480"/>
      <w:marRight w:val="0"/>
      <w:marTop w:val="0"/>
      <w:marBottom w:val="0"/>
      <w:divBdr>
        <w:top w:val="none" w:sz="0" w:space="0" w:color="auto"/>
        <w:left w:val="none" w:sz="0" w:space="0" w:color="auto"/>
        <w:bottom w:val="none" w:sz="0" w:space="0" w:color="auto"/>
        <w:right w:val="none" w:sz="0" w:space="0" w:color="auto"/>
      </w:divBdr>
    </w:div>
    <w:div w:id="432669585">
      <w:marLeft w:val="480"/>
      <w:marRight w:val="0"/>
      <w:marTop w:val="0"/>
      <w:marBottom w:val="0"/>
      <w:divBdr>
        <w:top w:val="none" w:sz="0" w:space="0" w:color="auto"/>
        <w:left w:val="none" w:sz="0" w:space="0" w:color="auto"/>
        <w:bottom w:val="none" w:sz="0" w:space="0" w:color="auto"/>
        <w:right w:val="none" w:sz="0" w:space="0" w:color="auto"/>
      </w:divBdr>
    </w:div>
    <w:div w:id="482627533">
      <w:marLeft w:val="480"/>
      <w:marRight w:val="0"/>
      <w:marTop w:val="0"/>
      <w:marBottom w:val="0"/>
      <w:divBdr>
        <w:top w:val="none" w:sz="0" w:space="0" w:color="auto"/>
        <w:left w:val="none" w:sz="0" w:space="0" w:color="auto"/>
        <w:bottom w:val="none" w:sz="0" w:space="0" w:color="auto"/>
        <w:right w:val="none" w:sz="0" w:space="0" w:color="auto"/>
      </w:divBdr>
    </w:div>
    <w:div w:id="503515510">
      <w:marLeft w:val="480"/>
      <w:marRight w:val="0"/>
      <w:marTop w:val="0"/>
      <w:marBottom w:val="0"/>
      <w:divBdr>
        <w:top w:val="none" w:sz="0" w:space="0" w:color="auto"/>
        <w:left w:val="none" w:sz="0" w:space="0" w:color="auto"/>
        <w:bottom w:val="none" w:sz="0" w:space="0" w:color="auto"/>
        <w:right w:val="none" w:sz="0" w:space="0" w:color="auto"/>
      </w:divBdr>
    </w:div>
    <w:div w:id="504788362">
      <w:marLeft w:val="480"/>
      <w:marRight w:val="0"/>
      <w:marTop w:val="0"/>
      <w:marBottom w:val="0"/>
      <w:divBdr>
        <w:top w:val="none" w:sz="0" w:space="0" w:color="auto"/>
        <w:left w:val="none" w:sz="0" w:space="0" w:color="auto"/>
        <w:bottom w:val="none" w:sz="0" w:space="0" w:color="auto"/>
        <w:right w:val="none" w:sz="0" w:space="0" w:color="auto"/>
      </w:divBdr>
    </w:div>
    <w:div w:id="538394651">
      <w:marLeft w:val="480"/>
      <w:marRight w:val="0"/>
      <w:marTop w:val="0"/>
      <w:marBottom w:val="0"/>
      <w:divBdr>
        <w:top w:val="none" w:sz="0" w:space="0" w:color="auto"/>
        <w:left w:val="none" w:sz="0" w:space="0" w:color="auto"/>
        <w:bottom w:val="none" w:sz="0" w:space="0" w:color="auto"/>
        <w:right w:val="none" w:sz="0" w:space="0" w:color="auto"/>
      </w:divBdr>
    </w:div>
    <w:div w:id="582305080">
      <w:marLeft w:val="480"/>
      <w:marRight w:val="0"/>
      <w:marTop w:val="0"/>
      <w:marBottom w:val="0"/>
      <w:divBdr>
        <w:top w:val="none" w:sz="0" w:space="0" w:color="auto"/>
        <w:left w:val="none" w:sz="0" w:space="0" w:color="auto"/>
        <w:bottom w:val="none" w:sz="0" w:space="0" w:color="auto"/>
        <w:right w:val="none" w:sz="0" w:space="0" w:color="auto"/>
      </w:divBdr>
    </w:div>
    <w:div w:id="622421274">
      <w:marLeft w:val="480"/>
      <w:marRight w:val="0"/>
      <w:marTop w:val="0"/>
      <w:marBottom w:val="0"/>
      <w:divBdr>
        <w:top w:val="none" w:sz="0" w:space="0" w:color="auto"/>
        <w:left w:val="none" w:sz="0" w:space="0" w:color="auto"/>
        <w:bottom w:val="none" w:sz="0" w:space="0" w:color="auto"/>
        <w:right w:val="none" w:sz="0" w:space="0" w:color="auto"/>
      </w:divBdr>
    </w:div>
    <w:div w:id="635843285">
      <w:marLeft w:val="480"/>
      <w:marRight w:val="0"/>
      <w:marTop w:val="0"/>
      <w:marBottom w:val="0"/>
      <w:divBdr>
        <w:top w:val="none" w:sz="0" w:space="0" w:color="auto"/>
        <w:left w:val="none" w:sz="0" w:space="0" w:color="auto"/>
        <w:bottom w:val="none" w:sz="0" w:space="0" w:color="auto"/>
        <w:right w:val="none" w:sz="0" w:space="0" w:color="auto"/>
      </w:divBdr>
    </w:div>
    <w:div w:id="639966741">
      <w:marLeft w:val="480"/>
      <w:marRight w:val="0"/>
      <w:marTop w:val="0"/>
      <w:marBottom w:val="0"/>
      <w:divBdr>
        <w:top w:val="none" w:sz="0" w:space="0" w:color="auto"/>
        <w:left w:val="none" w:sz="0" w:space="0" w:color="auto"/>
        <w:bottom w:val="none" w:sz="0" w:space="0" w:color="auto"/>
        <w:right w:val="none" w:sz="0" w:space="0" w:color="auto"/>
      </w:divBdr>
    </w:div>
    <w:div w:id="645284400">
      <w:marLeft w:val="480"/>
      <w:marRight w:val="0"/>
      <w:marTop w:val="0"/>
      <w:marBottom w:val="0"/>
      <w:divBdr>
        <w:top w:val="none" w:sz="0" w:space="0" w:color="auto"/>
        <w:left w:val="none" w:sz="0" w:space="0" w:color="auto"/>
        <w:bottom w:val="none" w:sz="0" w:space="0" w:color="auto"/>
        <w:right w:val="none" w:sz="0" w:space="0" w:color="auto"/>
      </w:divBdr>
    </w:div>
    <w:div w:id="648486464">
      <w:marLeft w:val="480"/>
      <w:marRight w:val="0"/>
      <w:marTop w:val="0"/>
      <w:marBottom w:val="0"/>
      <w:divBdr>
        <w:top w:val="none" w:sz="0" w:space="0" w:color="auto"/>
        <w:left w:val="none" w:sz="0" w:space="0" w:color="auto"/>
        <w:bottom w:val="none" w:sz="0" w:space="0" w:color="auto"/>
        <w:right w:val="none" w:sz="0" w:space="0" w:color="auto"/>
      </w:divBdr>
    </w:div>
    <w:div w:id="730537176">
      <w:marLeft w:val="480"/>
      <w:marRight w:val="0"/>
      <w:marTop w:val="0"/>
      <w:marBottom w:val="0"/>
      <w:divBdr>
        <w:top w:val="none" w:sz="0" w:space="0" w:color="auto"/>
        <w:left w:val="none" w:sz="0" w:space="0" w:color="auto"/>
        <w:bottom w:val="none" w:sz="0" w:space="0" w:color="auto"/>
        <w:right w:val="none" w:sz="0" w:space="0" w:color="auto"/>
      </w:divBdr>
    </w:div>
    <w:div w:id="765930818">
      <w:marLeft w:val="480"/>
      <w:marRight w:val="0"/>
      <w:marTop w:val="0"/>
      <w:marBottom w:val="0"/>
      <w:divBdr>
        <w:top w:val="none" w:sz="0" w:space="0" w:color="auto"/>
        <w:left w:val="none" w:sz="0" w:space="0" w:color="auto"/>
        <w:bottom w:val="none" w:sz="0" w:space="0" w:color="auto"/>
        <w:right w:val="none" w:sz="0" w:space="0" w:color="auto"/>
      </w:divBdr>
    </w:div>
    <w:div w:id="770517398">
      <w:marLeft w:val="480"/>
      <w:marRight w:val="0"/>
      <w:marTop w:val="0"/>
      <w:marBottom w:val="0"/>
      <w:divBdr>
        <w:top w:val="none" w:sz="0" w:space="0" w:color="auto"/>
        <w:left w:val="none" w:sz="0" w:space="0" w:color="auto"/>
        <w:bottom w:val="none" w:sz="0" w:space="0" w:color="auto"/>
        <w:right w:val="none" w:sz="0" w:space="0" w:color="auto"/>
      </w:divBdr>
    </w:div>
    <w:div w:id="799617929">
      <w:marLeft w:val="480"/>
      <w:marRight w:val="0"/>
      <w:marTop w:val="0"/>
      <w:marBottom w:val="0"/>
      <w:divBdr>
        <w:top w:val="none" w:sz="0" w:space="0" w:color="auto"/>
        <w:left w:val="none" w:sz="0" w:space="0" w:color="auto"/>
        <w:bottom w:val="none" w:sz="0" w:space="0" w:color="auto"/>
        <w:right w:val="none" w:sz="0" w:space="0" w:color="auto"/>
      </w:divBdr>
    </w:div>
    <w:div w:id="846871496">
      <w:marLeft w:val="480"/>
      <w:marRight w:val="0"/>
      <w:marTop w:val="0"/>
      <w:marBottom w:val="0"/>
      <w:divBdr>
        <w:top w:val="none" w:sz="0" w:space="0" w:color="auto"/>
        <w:left w:val="none" w:sz="0" w:space="0" w:color="auto"/>
        <w:bottom w:val="none" w:sz="0" w:space="0" w:color="auto"/>
        <w:right w:val="none" w:sz="0" w:space="0" w:color="auto"/>
      </w:divBdr>
    </w:div>
    <w:div w:id="847330767">
      <w:marLeft w:val="480"/>
      <w:marRight w:val="0"/>
      <w:marTop w:val="0"/>
      <w:marBottom w:val="0"/>
      <w:divBdr>
        <w:top w:val="none" w:sz="0" w:space="0" w:color="auto"/>
        <w:left w:val="none" w:sz="0" w:space="0" w:color="auto"/>
        <w:bottom w:val="none" w:sz="0" w:space="0" w:color="auto"/>
        <w:right w:val="none" w:sz="0" w:space="0" w:color="auto"/>
      </w:divBdr>
    </w:div>
    <w:div w:id="867643326">
      <w:marLeft w:val="480"/>
      <w:marRight w:val="0"/>
      <w:marTop w:val="0"/>
      <w:marBottom w:val="0"/>
      <w:divBdr>
        <w:top w:val="none" w:sz="0" w:space="0" w:color="auto"/>
        <w:left w:val="none" w:sz="0" w:space="0" w:color="auto"/>
        <w:bottom w:val="none" w:sz="0" w:space="0" w:color="auto"/>
        <w:right w:val="none" w:sz="0" w:space="0" w:color="auto"/>
      </w:divBdr>
    </w:div>
    <w:div w:id="872612520">
      <w:marLeft w:val="480"/>
      <w:marRight w:val="0"/>
      <w:marTop w:val="0"/>
      <w:marBottom w:val="0"/>
      <w:divBdr>
        <w:top w:val="none" w:sz="0" w:space="0" w:color="auto"/>
        <w:left w:val="none" w:sz="0" w:space="0" w:color="auto"/>
        <w:bottom w:val="none" w:sz="0" w:space="0" w:color="auto"/>
        <w:right w:val="none" w:sz="0" w:space="0" w:color="auto"/>
      </w:divBdr>
    </w:div>
    <w:div w:id="896362454">
      <w:marLeft w:val="480"/>
      <w:marRight w:val="0"/>
      <w:marTop w:val="0"/>
      <w:marBottom w:val="0"/>
      <w:divBdr>
        <w:top w:val="none" w:sz="0" w:space="0" w:color="auto"/>
        <w:left w:val="none" w:sz="0" w:space="0" w:color="auto"/>
        <w:bottom w:val="none" w:sz="0" w:space="0" w:color="auto"/>
        <w:right w:val="none" w:sz="0" w:space="0" w:color="auto"/>
      </w:divBdr>
    </w:div>
    <w:div w:id="901015706">
      <w:marLeft w:val="480"/>
      <w:marRight w:val="0"/>
      <w:marTop w:val="0"/>
      <w:marBottom w:val="0"/>
      <w:divBdr>
        <w:top w:val="none" w:sz="0" w:space="0" w:color="auto"/>
        <w:left w:val="none" w:sz="0" w:space="0" w:color="auto"/>
        <w:bottom w:val="none" w:sz="0" w:space="0" w:color="auto"/>
        <w:right w:val="none" w:sz="0" w:space="0" w:color="auto"/>
      </w:divBdr>
    </w:div>
    <w:div w:id="950749580">
      <w:marLeft w:val="480"/>
      <w:marRight w:val="0"/>
      <w:marTop w:val="0"/>
      <w:marBottom w:val="0"/>
      <w:divBdr>
        <w:top w:val="none" w:sz="0" w:space="0" w:color="auto"/>
        <w:left w:val="none" w:sz="0" w:space="0" w:color="auto"/>
        <w:bottom w:val="none" w:sz="0" w:space="0" w:color="auto"/>
        <w:right w:val="none" w:sz="0" w:space="0" w:color="auto"/>
      </w:divBdr>
    </w:div>
    <w:div w:id="958489896">
      <w:marLeft w:val="480"/>
      <w:marRight w:val="0"/>
      <w:marTop w:val="0"/>
      <w:marBottom w:val="0"/>
      <w:divBdr>
        <w:top w:val="none" w:sz="0" w:space="0" w:color="auto"/>
        <w:left w:val="none" w:sz="0" w:space="0" w:color="auto"/>
        <w:bottom w:val="none" w:sz="0" w:space="0" w:color="auto"/>
        <w:right w:val="none" w:sz="0" w:space="0" w:color="auto"/>
      </w:divBdr>
    </w:div>
    <w:div w:id="1038044654">
      <w:marLeft w:val="480"/>
      <w:marRight w:val="0"/>
      <w:marTop w:val="0"/>
      <w:marBottom w:val="0"/>
      <w:divBdr>
        <w:top w:val="none" w:sz="0" w:space="0" w:color="auto"/>
        <w:left w:val="none" w:sz="0" w:space="0" w:color="auto"/>
        <w:bottom w:val="none" w:sz="0" w:space="0" w:color="auto"/>
        <w:right w:val="none" w:sz="0" w:space="0" w:color="auto"/>
      </w:divBdr>
    </w:div>
    <w:div w:id="1130318376">
      <w:marLeft w:val="480"/>
      <w:marRight w:val="0"/>
      <w:marTop w:val="0"/>
      <w:marBottom w:val="0"/>
      <w:divBdr>
        <w:top w:val="none" w:sz="0" w:space="0" w:color="auto"/>
        <w:left w:val="none" w:sz="0" w:space="0" w:color="auto"/>
        <w:bottom w:val="none" w:sz="0" w:space="0" w:color="auto"/>
        <w:right w:val="none" w:sz="0" w:space="0" w:color="auto"/>
      </w:divBdr>
    </w:div>
    <w:div w:id="1131824051">
      <w:marLeft w:val="480"/>
      <w:marRight w:val="0"/>
      <w:marTop w:val="0"/>
      <w:marBottom w:val="0"/>
      <w:divBdr>
        <w:top w:val="none" w:sz="0" w:space="0" w:color="auto"/>
        <w:left w:val="none" w:sz="0" w:space="0" w:color="auto"/>
        <w:bottom w:val="none" w:sz="0" w:space="0" w:color="auto"/>
        <w:right w:val="none" w:sz="0" w:space="0" w:color="auto"/>
      </w:divBdr>
    </w:div>
    <w:div w:id="1155412425">
      <w:marLeft w:val="480"/>
      <w:marRight w:val="0"/>
      <w:marTop w:val="0"/>
      <w:marBottom w:val="0"/>
      <w:divBdr>
        <w:top w:val="none" w:sz="0" w:space="0" w:color="auto"/>
        <w:left w:val="none" w:sz="0" w:space="0" w:color="auto"/>
        <w:bottom w:val="none" w:sz="0" w:space="0" w:color="auto"/>
        <w:right w:val="none" w:sz="0" w:space="0" w:color="auto"/>
      </w:divBdr>
    </w:div>
    <w:div w:id="1281837490">
      <w:marLeft w:val="480"/>
      <w:marRight w:val="0"/>
      <w:marTop w:val="0"/>
      <w:marBottom w:val="0"/>
      <w:divBdr>
        <w:top w:val="none" w:sz="0" w:space="0" w:color="auto"/>
        <w:left w:val="none" w:sz="0" w:space="0" w:color="auto"/>
        <w:bottom w:val="none" w:sz="0" w:space="0" w:color="auto"/>
        <w:right w:val="none" w:sz="0" w:space="0" w:color="auto"/>
      </w:divBdr>
    </w:div>
    <w:div w:id="1295138508">
      <w:marLeft w:val="480"/>
      <w:marRight w:val="0"/>
      <w:marTop w:val="0"/>
      <w:marBottom w:val="0"/>
      <w:divBdr>
        <w:top w:val="none" w:sz="0" w:space="0" w:color="auto"/>
        <w:left w:val="none" w:sz="0" w:space="0" w:color="auto"/>
        <w:bottom w:val="none" w:sz="0" w:space="0" w:color="auto"/>
        <w:right w:val="none" w:sz="0" w:space="0" w:color="auto"/>
      </w:divBdr>
    </w:div>
    <w:div w:id="1334264562">
      <w:marLeft w:val="480"/>
      <w:marRight w:val="0"/>
      <w:marTop w:val="0"/>
      <w:marBottom w:val="0"/>
      <w:divBdr>
        <w:top w:val="none" w:sz="0" w:space="0" w:color="auto"/>
        <w:left w:val="none" w:sz="0" w:space="0" w:color="auto"/>
        <w:bottom w:val="none" w:sz="0" w:space="0" w:color="auto"/>
        <w:right w:val="none" w:sz="0" w:space="0" w:color="auto"/>
      </w:divBdr>
    </w:div>
    <w:div w:id="1367176291">
      <w:marLeft w:val="480"/>
      <w:marRight w:val="0"/>
      <w:marTop w:val="0"/>
      <w:marBottom w:val="0"/>
      <w:divBdr>
        <w:top w:val="none" w:sz="0" w:space="0" w:color="auto"/>
        <w:left w:val="none" w:sz="0" w:space="0" w:color="auto"/>
        <w:bottom w:val="none" w:sz="0" w:space="0" w:color="auto"/>
        <w:right w:val="none" w:sz="0" w:space="0" w:color="auto"/>
      </w:divBdr>
    </w:div>
    <w:div w:id="1449012317">
      <w:marLeft w:val="480"/>
      <w:marRight w:val="0"/>
      <w:marTop w:val="0"/>
      <w:marBottom w:val="0"/>
      <w:divBdr>
        <w:top w:val="none" w:sz="0" w:space="0" w:color="auto"/>
        <w:left w:val="none" w:sz="0" w:space="0" w:color="auto"/>
        <w:bottom w:val="none" w:sz="0" w:space="0" w:color="auto"/>
        <w:right w:val="none" w:sz="0" w:space="0" w:color="auto"/>
      </w:divBdr>
    </w:div>
    <w:div w:id="1473905404">
      <w:marLeft w:val="480"/>
      <w:marRight w:val="0"/>
      <w:marTop w:val="0"/>
      <w:marBottom w:val="0"/>
      <w:divBdr>
        <w:top w:val="none" w:sz="0" w:space="0" w:color="auto"/>
        <w:left w:val="none" w:sz="0" w:space="0" w:color="auto"/>
        <w:bottom w:val="none" w:sz="0" w:space="0" w:color="auto"/>
        <w:right w:val="none" w:sz="0" w:space="0" w:color="auto"/>
      </w:divBdr>
    </w:div>
    <w:div w:id="1495607150">
      <w:marLeft w:val="480"/>
      <w:marRight w:val="0"/>
      <w:marTop w:val="0"/>
      <w:marBottom w:val="0"/>
      <w:divBdr>
        <w:top w:val="none" w:sz="0" w:space="0" w:color="auto"/>
        <w:left w:val="none" w:sz="0" w:space="0" w:color="auto"/>
        <w:bottom w:val="none" w:sz="0" w:space="0" w:color="auto"/>
        <w:right w:val="none" w:sz="0" w:space="0" w:color="auto"/>
      </w:divBdr>
    </w:div>
    <w:div w:id="1498880200">
      <w:marLeft w:val="480"/>
      <w:marRight w:val="0"/>
      <w:marTop w:val="0"/>
      <w:marBottom w:val="0"/>
      <w:divBdr>
        <w:top w:val="none" w:sz="0" w:space="0" w:color="auto"/>
        <w:left w:val="none" w:sz="0" w:space="0" w:color="auto"/>
        <w:bottom w:val="none" w:sz="0" w:space="0" w:color="auto"/>
        <w:right w:val="none" w:sz="0" w:space="0" w:color="auto"/>
      </w:divBdr>
    </w:div>
    <w:div w:id="1508406447">
      <w:marLeft w:val="480"/>
      <w:marRight w:val="0"/>
      <w:marTop w:val="0"/>
      <w:marBottom w:val="0"/>
      <w:divBdr>
        <w:top w:val="none" w:sz="0" w:space="0" w:color="auto"/>
        <w:left w:val="none" w:sz="0" w:space="0" w:color="auto"/>
        <w:bottom w:val="none" w:sz="0" w:space="0" w:color="auto"/>
        <w:right w:val="none" w:sz="0" w:space="0" w:color="auto"/>
      </w:divBdr>
    </w:div>
    <w:div w:id="1536234449">
      <w:marLeft w:val="480"/>
      <w:marRight w:val="0"/>
      <w:marTop w:val="0"/>
      <w:marBottom w:val="0"/>
      <w:divBdr>
        <w:top w:val="none" w:sz="0" w:space="0" w:color="auto"/>
        <w:left w:val="none" w:sz="0" w:space="0" w:color="auto"/>
        <w:bottom w:val="none" w:sz="0" w:space="0" w:color="auto"/>
        <w:right w:val="none" w:sz="0" w:space="0" w:color="auto"/>
      </w:divBdr>
    </w:div>
    <w:div w:id="1566866859">
      <w:marLeft w:val="480"/>
      <w:marRight w:val="0"/>
      <w:marTop w:val="0"/>
      <w:marBottom w:val="0"/>
      <w:divBdr>
        <w:top w:val="none" w:sz="0" w:space="0" w:color="auto"/>
        <w:left w:val="none" w:sz="0" w:space="0" w:color="auto"/>
        <w:bottom w:val="none" w:sz="0" w:space="0" w:color="auto"/>
        <w:right w:val="none" w:sz="0" w:space="0" w:color="auto"/>
      </w:divBdr>
    </w:div>
    <w:div w:id="1578828867">
      <w:marLeft w:val="480"/>
      <w:marRight w:val="0"/>
      <w:marTop w:val="0"/>
      <w:marBottom w:val="0"/>
      <w:divBdr>
        <w:top w:val="none" w:sz="0" w:space="0" w:color="auto"/>
        <w:left w:val="none" w:sz="0" w:space="0" w:color="auto"/>
        <w:bottom w:val="none" w:sz="0" w:space="0" w:color="auto"/>
        <w:right w:val="none" w:sz="0" w:space="0" w:color="auto"/>
      </w:divBdr>
    </w:div>
    <w:div w:id="1582252112">
      <w:marLeft w:val="480"/>
      <w:marRight w:val="0"/>
      <w:marTop w:val="0"/>
      <w:marBottom w:val="0"/>
      <w:divBdr>
        <w:top w:val="none" w:sz="0" w:space="0" w:color="auto"/>
        <w:left w:val="none" w:sz="0" w:space="0" w:color="auto"/>
        <w:bottom w:val="none" w:sz="0" w:space="0" w:color="auto"/>
        <w:right w:val="none" w:sz="0" w:space="0" w:color="auto"/>
      </w:divBdr>
    </w:div>
    <w:div w:id="1592009658">
      <w:marLeft w:val="480"/>
      <w:marRight w:val="0"/>
      <w:marTop w:val="0"/>
      <w:marBottom w:val="0"/>
      <w:divBdr>
        <w:top w:val="none" w:sz="0" w:space="0" w:color="auto"/>
        <w:left w:val="none" w:sz="0" w:space="0" w:color="auto"/>
        <w:bottom w:val="none" w:sz="0" w:space="0" w:color="auto"/>
        <w:right w:val="none" w:sz="0" w:space="0" w:color="auto"/>
      </w:divBdr>
    </w:div>
    <w:div w:id="1593777171">
      <w:marLeft w:val="480"/>
      <w:marRight w:val="0"/>
      <w:marTop w:val="0"/>
      <w:marBottom w:val="0"/>
      <w:divBdr>
        <w:top w:val="none" w:sz="0" w:space="0" w:color="auto"/>
        <w:left w:val="none" w:sz="0" w:space="0" w:color="auto"/>
        <w:bottom w:val="none" w:sz="0" w:space="0" w:color="auto"/>
        <w:right w:val="none" w:sz="0" w:space="0" w:color="auto"/>
      </w:divBdr>
    </w:div>
    <w:div w:id="1599632676">
      <w:marLeft w:val="480"/>
      <w:marRight w:val="0"/>
      <w:marTop w:val="0"/>
      <w:marBottom w:val="0"/>
      <w:divBdr>
        <w:top w:val="none" w:sz="0" w:space="0" w:color="auto"/>
        <w:left w:val="none" w:sz="0" w:space="0" w:color="auto"/>
        <w:bottom w:val="none" w:sz="0" w:space="0" w:color="auto"/>
        <w:right w:val="none" w:sz="0" w:space="0" w:color="auto"/>
      </w:divBdr>
    </w:div>
    <w:div w:id="1626884969">
      <w:marLeft w:val="480"/>
      <w:marRight w:val="0"/>
      <w:marTop w:val="0"/>
      <w:marBottom w:val="0"/>
      <w:divBdr>
        <w:top w:val="none" w:sz="0" w:space="0" w:color="auto"/>
        <w:left w:val="none" w:sz="0" w:space="0" w:color="auto"/>
        <w:bottom w:val="none" w:sz="0" w:space="0" w:color="auto"/>
        <w:right w:val="none" w:sz="0" w:space="0" w:color="auto"/>
      </w:divBdr>
    </w:div>
    <w:div w:id="1627201418">
      <w:marLeft w:val="480"/>
      <w:marRight w:val="0"/>
      <w:marTop w:val="0"/>
      <w:marBottom w:val="0"/>
      <w:divBdr>
        <w:top w:val="none" w:sz="0" w:space="0" w:color="auto"/>
        <w:left w:val="none" w:sz="0" w:space="0" w:color="auto"/>
        <w:bottom w:val="none" w:sz="0" w:space="0" w:color="auto"/>
        <w:right w:val="none" w:sz="0" w:space="0" w:color="auto"/>
      </w:divBdr>
    </w:div>
    <w:div w:id="1648826809">
      <w:marLeft w:val="480"/>
      <w:marRight w:val="0"/>
      <w:marTop w:val="0"/>
      <w:marBottom w:val="0"/>
      <w:divBdr>
        <w:top w:val="none" w:sz="0" w:space="0" w:color="auto"/>
        <w:left w:val="none" w:sz="0" w:space="0" w:color="auto"/>
        <w:bottom w:val="none" w:sz="0" w:space="0" w:color="auto"/>
        <w:right w:val="none" w:sz="0" w:space="0" w:color="auto"/>
      </w:divBdr>
    </w:div>
    <w:div w:id="1676764320">
      <w:marLeft w:val="480"/>
      <w:marRight w:val="0"/>
      <w:marTop w:val="0"/>
      <w:marBottom w:val="0"/>
      <w:divBdr>
        <w:top w:val="none" w:sz="0" w:space="0" w:color="auto"/>
        <w:left w:val="none" w:sz="0" w:space="0" w:color="auto"/>
        <w:bottom w:val="none" w:sz="0" w:space="0" w:color="auto"/>
        <w:right w:val="none" w:sz="0" w:space="0" w:color="auto"/>
      </w:divBdr>
    </w:div>
    <w:div w:id="1683434095">
      <w:marLeft w:val="480"/>
      <w:marRight w:val="0"/>
      <w:marTop w:val="0"/>
      <w:marBottom w:val="0"/>
      <w:divBdr>
        <w:top w:val="none" w:sz="0" w:space="0" w:color="auto"/>
        <w:left w:val="none" w:sz="0" w:space="0" w:color="auto"/>
        <w:bottom w:val="none" w:sz="0" w:space="0" w:color="auto"/>
        <w:right w:val="none" w:sz="0" w:space="0" w:color="auto"/>
      </w:divBdr>
    </w:div>
    <w:div w:id="1745879584">
      <w:marLeft w:val="480"/>
      <w:marRight w:val="0"/>
      <w:marTop w:val="0"/>
      <w:marBottom w:val="0"/>
      <w:divBdr>
        <w:top w:val="none" w:sz="0" w:space="0" w:color="auto"/>
        <w:left w:val="none" w:sz="0" w:space="0" w:color="auto"/>
        <w:bottom w:val="none" w:sz="0" w:space="0" w:color="auto"/>
        <w:right w:val="none" w:sz="0" w:space="0" w:color="auto"/>
      </w:divBdr>
    </w:div>
    <w:div w:id="1824810466">
      <w:marLeft w:val="480"/>
      <w:marRight w:val="0"/>
      <w:marTop w:val="0"/>
      <w:marBottom w:val="0"/>
      <w:divBdr>
        <w:top w:val="none" w:sz="0" w:space="0" w:color="auto"/>
        <w:left w:val="none" w:sz="0" w:space="0" w:color="auto"/>
        <w:bottom w:val="none" w:sz="0" w:space="0" w:color="auto"/>
        <w:right w:val="none" w:sz="0" w:space="0" w:color="auto"/>
      </w:divBdr>
    </w:div>
    <w:div w:id="1825196753">
      <w:marLeft w:val="480"/>
      <w:marRight w:val="0"/>
      <w:marTop w:val="0"/>
      <w:marBottom w:val="0"/>
      <w:divBdr>
        <w:top w:val="none" w:sz="0" w:space="0" w:color="auto"/>
        <w:left w:val="none" w:sz="0" w:space="0" w:color="auto"/>
        <w:bottom w:val="none" w:sz="0" w:space="0" w:color="auto"/>
        <w:right w:val="none" w:sz="0" w:space="0" w:color="auto"/>
      </w:divBdr>
    </w:div>
    <w:div w:id="1857883075">
      <w:marLeft w:val="480"/>
      <w:marRight w:val="0"/>
      <w:marTop w:val="0"/>
      <w:marBottom w:val="0"/>
      <w:divBdr>
        <w:top w:val="none" w:sz="0" w:space="0" w:color="auto"/>
        <w:left w:val="none" w:sz="0" w:space="0" w:color="auto"/>
        <w:bottom w:val="none" w:sz="0" w:space="0" w:color="auto"/>
        <w:right w:val="none" w:sz="0" w:space="0" w:color="auto"/>
      </w:divBdr>
    </w:div>
    <w:div w:id="1884439396">
      <w:marLeft w:val="480"/>
      <w:marRight w:val="0"/>
      <w:marTop w:val="0"/>
      <w:marBottom w:val="0"/>
      <w:divBdr>
        <w:top w:val="none" w:sz="0" w:space="0" w:color="auto"/>
        <w:left w:val="none" w:sz="0" w:space="0" w:color="auto"/>
        <w:bottom w:val="none" w:sz="0" w:space="0" w:color="auto"/>
        <w:right w:val="none" w:sz="0" w:space="0" w:color="auto"/>
      </w:divBdr>
    </w:div>
    <w:div w:id="1888106360">
      <w:marLeft w:val="480"/>
      <w:marRight w:val="0"/>
      <w:marTop w:val="0"/>
      <w:marBottom w:val="0"/>
      <w:divBdr>
        <w:top w:val="none" w:sz="0" w:space="0" w:color="auto"/>
        <w:left w:val="none" w:sz="0" w:space="0" w:color="auto"/>
        <w:bottom w:val="none" w:sz="0" w:space="0" w:color="auto"/>
        <w:right w:val="none" w:sz="0" w:space="0" w:color="auto"/>
      </w:divBdr>
    </w:div>
    <w:div w:id="1892495125">
      <w:marLeft w:val="480"/>
      <w:marRight w:val="0"/>
      <w:marTop w:val="0"/>
      <w:marBottom w:val="0"/>
      <w:divBdr>
        <w:top w:val="none" w:sz="0" w:space="0" w:color="auto"/>
        <w:left w:val="none" w:sz="0" w:space="0" w:color="auto"/>
        <w:bottom w:val="none" w:sz="0" w:space="0" w:color="auto"/>
        <w:right w:val="none" w:sz="0" w:space="0" w:color="auto"/>
      </w:divBdr>
    </w:div>
    <w:div w:id="1910731645">
      <w:marLeft w:val="480"/>
      <w:marRight w:val="0"/>
      <w:marTop w:val="0"/>
      <w:marBottom w:val="0"/>
      <w:divBdr>
        <w:top w:val="none" w:sz="0" w:space="0" w:color="auto"/>
        <w:left w:val="none" w:sz="0" w:space="0" w:color="auto"/>
        <w:bottom w:val="none" w:sz="0" w:space="0" w:color="auto"/>
        <w:right w:val="none" w:sz="0" w:space="0" w:color="auto"/>
      </w:divBdr>
    </w:div>
    <w:div w:id="1928926787">
      <w:marLeft w:val="480"/>
      <w:marRight w:val="0"/>
      <w:marTop w:val="0"/>
      <w:marBottom w:val="0"/>
      <w:divBdr>
        <w:top w:val="none" w:sz="0" w:space="0" w:color="auto"/>
        <w:left w:val="none" w:sz="0" w:space="0" w:color="auto"/>
        <w:bottom w:val="none" w:sz="0" w:space="0" w:color="auto"/>
        <w:right w:val="none" w:sz="0" w:space="0" w:color="auto"/>
      </w:divBdr>
    </w:div>
    <w:div w:id="1944072562">
      <w:marLeft w:val="480"/>
      <w:marRight w:val="0"/>
      <w:marTop w:val="0"/>
      <w:marBottom w:val="0"/>
      <w:divBdr>
        <w:top w:val="none" w:sz="0" w:space="0" w:color="auto"/>
        <w:left w:val="none" w:sz="0" w:space="0" w:color="auto"/>
        <w:bottom w:val="none" w:sz="0" w:space="0" w:color="auto"/>
        <w:right w:val="none" w:sz="0" w:space="0" w:color="auto"/>
      </w:divBdr>
    </w:div>
    <w:div w:id="1981033292">
      <w:marLeft w:val="480"/>
      <w:marRight w:val="0"/>
      <w:marTop w:val="0"/>
      <w:marBottom w:val="0"/>
      <w:divBdr>
        <w:top w:val="none" w:sz="0" w:space="0" w:color="auto"/>
        <w:left w:val="none" w:sz="0" w:space="0" w:color="auto"/>
        <w:bottom w:val="none" w:sz="0" w:space="0" w:color="auto"/>
        <w:right w:val="none" w:sz="0" w:space="0" w:color="auto"/>
      </w:divBdr>
    </w:div>
    <w:div w:id="2026442508">
      <w:marLeft w:val="480"/>
      <w:marRight w:val="0"/>
      <w:marTop w:val="0"/>
      <w:marBottom w:val="0"/>
      <w:divBdr>
        <w:top w:val="none" w:sz="0" w:space="0" w:color="auto"/>
        <w:left w:val="none" w:sz="0" w:space="0" w:color="auto"/>
        <w:bottom w:val="none" w:sz="0" w:space="0" w:color="auto"/>
        <w:right w:val="none" w:sz="0" w:space="0" w:color="auto"/>
      </w:divBdr>
    </w:div>
    <w:div w:id="2057004147">
      <w:marLeft w:val="480"/>
      <w:marRight w:val="0"/>
      <w:marTop w:val="0"/>
      <w:marBottom w:val="0"/>
      <w:divBdr>
        <w:top w:val="none" w:sz="0" w:space="0" w:color="auto"/>
        <w:left w:val="none" w:sz="0" w:space="0" w:color="auto"/>
        <w:bottom w:val="none" w:sz="0" w:space="0" w:color="auto"/>
        <w:right w:val="none" w:sz="0" w:space="0" w:color="auto"/>
      </w:divBdr>
    </w:div>
    <w:div w:id="2119524036">
      <w:marLeft w:val="480"/>
      <w:marRight w:val="0"/>
      <w:marTop w:val="0"/>
      <w:marBottom w:val="0"/>
      <w:divBdr>
        <w:top w:val="none" w:sz="0" w:space="0" w:color="auto"/>
        <w:left w:val="none" w:sz="0" w:space="0" w:color="auto"/>
        <w:bottom w:val="none" w:sz="0" w:space="0" w:color="auto"/>
        <w:right w:val="none" w:sz="0" w:space="0" w:color="auto"/>
      </w:divBdr>
    </w:div>
    <w:div w:id="2122913039">
      <w:marLeft w:val="480"/>
      <w:marRight w:val="0"/>
      <w:marTop w:val="0"/>
      <w:marBottom w:val="0"/>
      <w:divBdr>
        <w:top w:val="none" w:sz="0" w:space="0" w:color="auto"/>
        <w:left w:val="none" w:sz="0" w:space="0" w:color="auto"/>
        <w:bottom w:val="none" w:sz="0" w:space="0" w:color="auto"/>
        <w:right w:val="none" w:sz="0" w:space="0" w:color="auto"/>
      </w:divBdr>
    </w:div>
    <w:div w:id="2132966534">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EEC93-7DE5-457E-8576-91266C35CAD3}">
  <we:reference id="wa104382081" version="1.55.1.0" store="pt-BR" storeType="OMEX"/>
  <we:alternateReferences>
    <we:reference id="WA104382081" version="1.55.1.0" store="" storeType="OMEX"/>
  </we:alternateReferences>
  <we:properties>
    <we:property name="MENDELEY_BIBLIOGRAPHY_IS_DIRTY" value="false"/>
    <we:property name="MENDELEY_BIBLIOGRAPHY_LAST_MODIFIED" value="1782323932114"/>
    <we:property name="MENDELEY_CITATIONS" value="[{&quot;citationID&quot;:&quot;MENDELEY_CITATION_60328abe-90fa-432d-9706-1093733a4258&quot;,&quot;properties&quot;:{&quot;noteIndex&quot;:0},&quot;isEdited&quot;:false,&quot;manualOverride&quot;:{&quot;isManuallyOverridden&quot;:false,&quot;citeprocText&quot;:&quot;(Takahashi 1978; Takahashi et al. 1999)&quot;,&quot;manualOverrideText&quot;:&quot;&quot;},&quot;citationTag&quot;:&quot;MENDELEY_CITATION_v3_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&quot;,&quot;citationItems&quot;:[{&quot;id&quot;:&quot;68acbe0b-6dcd-3b8d-bed5-8f9120a98d94&quot;,&quot;itemData&quot;:{&quot;type&quot;:&quot;article-journal&quot;,&quot;id&quot;:&quot;68acbe0b-6dcd-3b8d-bed5-8f9120a98d94&quot;,&quot;title&quot;:&quot;Riming electrification as a charge generation mechanism in thunderstorms&quot;,&quot;author&quot;:[{&quot;family&quot;:&quot;Takahashi&quot;,&quot;given&quot;:&quot;Tsutomu&quot;,&quot;parse-names&quot;:false,&quot;dropping-particle&quot;:&quot;&quot;,&quot;non-dropping-particle&quot;:&quot;&quot;}],&quot;container-title&quot;:&quot;Journal of the Atmospheric Sciences&quot;,&quot;container-title-short&quot;:&quot;J. Atmos. Sci.&quot;,&quot;DOI&quot;:&quot;10.1175/1520-0469(1978)035&lt;1536:REAACG&gt;2.0.CO;2&quot;,&quot;ISSN&quot;:&quot;0022-4928&quot;,&quot;issued&quot;:{&quot;date-parts&quot;:[[1978,8]]},&quot;page&quot;:&quot;1536-1548&quot;,&quot;issue&quot;:&quot;8&quot;,&quot;volume&quot;:&quot;35&quot;},&quot;isTemporary&quot;:false},{&quot;id&quot;:&quot;85457b86-607b-3b6e-9189-6d24d018757c&quot;,&quot;itemData&quot;:{&quot;type&quot;:&quot;article-journal&quot;,&quot;id&quot;:&quot;85457b86-607b-3b6e-9189-6d24d018757c&quot;,&quot;title&quot;:&quot;Charges on Graupel and Snow Crystals and the Electrical Structure of Winter Thunderstorms&quot;,&quot;author&quot;:[{&quot;family&quot;:&quot;Takahashi&quot;,&quot;given&quot;:&quot;Tsutomu&quot;,&quot;parse-names&quot;:false,&quot;dropping-particle&quot;:&quot;&quot;,&quot;non-dropping-particle&quot;:&quot;&quot;},{&quot;family&quot;:&quot;Tajiri&quot;,&quot;given&quot;:&quot;Takuya&quot;,&quot;parse-names&quot;:false,&quot;dropping-particle&quot;:&quot;&quot;,&quot;non-dropping-particle&quot;:&quot;&quot;},{&quot;family&quot;:&quot;Sonoi&quot;,&quot;given&quot;:&quot;Yasuo&quot;,&quot;parse-names&quot;:false,&quot;dropping-particle&quot;:&quot;&quot;,&quot;non-dropping-particle&quot;:&quot;&quot;}],&quot;container-title&quot;:&quot;Journal of the Atmospheric Sciences&quot;,&quot;container-title-short&quot;:&quot;J. Atmos. Sci.&quot;,&quot;DOI&quot;:&quot;10.1175/1520-0469(1999)056&lt;1561:COGASC&gt;2.0.CO;2&quot;,&quot;ISSN&quot;:&quot;0022-4928&quot;,&quot;issued&quot;:{&quot;date-parts&quot;:[[1999,6]]},&quot;page&quot;:&quot;1561-1578&quot;,&quot;issue&quot;:&quot;11&quot;,&quot;volume&quot;:&quot;56&quot;},&quot;isTemporary&quot;:false}]},{&quot;citationID&quot;:&quot;MENDELEY_CITATION_f8859f07-e1b4-4ec5-807b-f33241ea0312&quot;,&quot;properties&quot;:{&quot;noteIndex&quot;:0},&quot;isEdited&quot;:false,&quot;manualOverride&quot;:{&quot;isManuallyOverridden&quot;:false,&quot;citeprocText&quot;:&quot;(Baker et al. 1987; Baker and Dash 1994)&quot;,&quot;manualOverrideText&quot;:&quot;&quot;},&quot;citationTag&quot;:&quot;MENDELEY_CITATION_v3_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&quot;,&quot;citationItems&quot;:[{&quot;id&quot;:&quot;30979c65-808b-3723-8ece-00d0de6bcb8b&quot;,&quot;itemData&quot;:{&quot;type&quot;:&quot;article-journal&quot;,&quot;id&quot;:&quot;30979c65-808b-3723-8ece-00d0de6bcb8b&quot;,&quot;title&quot;:&quot;The Influence of Diffusional Growth Rates On the Charge Transfer Accompanying Rebounding Collisions Between Ice Crystals and Soft Hailstones&quot;,&quot;author&quot;:[{&quot;family&quot;:&quot;Baker&quot;,&quot;given&quot;:&quot;B.&quot;,&quot;parse-names&quot;:false,&quot;dropping-particle&quot;:&quot;&quot;,&quot;non-dropping-particle&quot;:&quot;&quot;},{&quot;family&quot;:&quot;Baker&quot;,&quot;given&quot;:&quot;M. B.&quot;,&quot;parse-names&quot;:false,&quot;dropping-particle&quot;:&quot;&quot;,&quot;non-dropping-particle&quot;:&quot;&quot;},{&quot;family&quot;:&quot;Jayaratne&quot;,&quot;given&quot;:&quot;E. R.&quot;,&quot;parse-names&quot;:false,&quot;dropping-particle&quot;:&quot;&quot;,&quot;non-dropping-particle&quot;:&quot;&quot;},{&quot;family&quot;:&quot;Latham&quot;,&quot;given&quot;:&quot;J.&quot;,&quot;parse-names&quot;:false,&quot;dropping-particle&quot;:&quot;&quot;,&quot;non-dropping-particle&quot;:&quot;&quot;},{&quot;family&quot;:&quot;Saunders&quot;,&quot;given&quot;:&quot;C. P. R.&quot;,&quot;parse-names&quot;:false,&quot;dropping-particle&quot;:&quot;&quot;,&quot;non-dropping-particle&quot;:&quot;&quot;}],&quot;container-title&quot;:&quot;Quarterly Journal of the Royal Meteorological Society&quot;,&quot;DOI&quot;:&quot;10.1002/qj.49711347807&quot;,&quot;ISSN&quot;:&quot;0035-9009&quot;,&quot;issued&quot;:{&quot;date-parts&quot;:[[1987,10,6]]},&quot;page&quot;:&quot;1193-1215&quot;,&quot;abstract&quot;:&quot;&lt;p&gt; Laboratory experiments designed to investigate the charge transfer accompanying rebounding collisions between ice crystals and soft hailstones were performed inside a cold room. They constitute an extension of those conducted with the same apparatus, reported in 1983 by Jayaratne &lt;italic&gt;et al.&lt;/italic&gt; In particular, the range of temperature was extended (to cover −1.5°C to −35°C) and specific tests were performed in an effort to establish relationships between the sign and magnitude of the charging and the growth characteristics of both types of hydrometeor. &lt;/p&gt;&quot;,&quot;issue&quot;:&quot;478&quot;,&quot;volume&quot;:&quot;113&quot;,&quot;container-title-short&quot;:&quot;&quot;},&quot;isTemporary&quot;:false},{&quot;id&quot;:&quot;bbb63f8a-641a-3488-bc0e-9a174a059f88&quot;,&quot;itemData&quot;:{&quot;type&quot;:&quot;article-journal&quot;,&quot;id&quot;:&quot;bbb63f8a-641a-3488-bc0e-9a174a059f88&quot;,&quot;title&quot;:&quot;Mechanism of charge transfer between colliding ice particles in thunderstorms&quot;,&quot;author&quot;:[{&quot;family&quot;:&quot;Baker&quot;,&quot;given&quot;:&quot;M. B.&quot;,&quot;parse-names&quot;:false,&quot;dropping-particle&quot;:&quot;&quot;,&quot;non-dropping-particle&quot;:&quot;&quot;},{&quot;family&quot;:&quot;Dash&quot;,&quot;given&quot;:&quot;J. G.&quot;,&quot;parse-names&quot;:false,&quot;dropping-particle&quot;:&quot;&quot;,&quot;non-dropping-particle&quot;:&quot;&quot;}],&quot;container-title&quot;:&quot;Journal of Geophysical Research: Atmospheres&quot;,&quot;DOI&quot;:&quot;https://doi.org/10.1029/93JD01633&quot;,&quot;URL&quot;:&quot;https://agupubs.onlinelibrary.wiley.com/doi/abs/10.1029/93JD01633&quot;,&quot;issued&quot;:{&quot;date-parts&quot;:[[1994]]},&quot;page&quot;:&quot;10621-10626&quot;,&quot;abstract&quot;:&quot;We derive a theoretical mechanism for the charge transfer between colliding ice and soft hail particles, based on current ideas of surface melting. According to this theory, each of the ice surfaces is covered with a film of quasi-liquid water, whose thickness can be estimated as a function of temperature and local curvature. We show that during contact of two particles, fluid will flow from the thicker to the thinner layer, and we estimate the volume transferred in atmospherically relevant situations. We postulate a charge structure within the surface-melted layer based on observations on similar systems and show that this leads to estimated charge transfers consistent in approximate magnitude and sign with trends observed in the laboratory.&quot;,&quot;issue&quot;:&quot;D5&quot;,&quot;volume&quot;:&quot;99&quot;,&quot;container-title-short&quot;:&quot;&quot;},&quot;isTemporary&quot;:false}]},{&quot;citationID&quot;:&quot;MENDELEY_CITATION_b855c6e9-a062-41ac-862b-50ae33b8a765&quot;,&quot;properties&quot;:{&quot;noteIndex&quot;:0},&quot;isEdited&quot;:false,&quot;manualOverride&quot;:{&quot;isManuallyOverridden&quot;:false,&quot;citeprocText&quot;:&quot;(Shi et al. 2016)&quot;,&quot;manualOverrideText&quot;:&quot;&quot;},&quot;citationTag&quot;:&quot;MENDELEY_CITATION_v3_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&quot;,&quot;citationItems&quot;:[{&quot;id&quot;:&quot;5689bb07-13d1-3e8b-be6b-51808415b3c9&quot;,&quot;itemData&quot;:{&quot;type&quot;:&quot;article-journal&quot;,&quot;id&quot;:&quot;5689bb07-13d1-3e8b-be6b-51808415b3c9&quot;,&quot;title&quot;:&quot;Effects of the Inductive Charging on the Electrification and Lightning Discharges in Thunderstorms&quot;,&quot;author&quot;:[{&quot;family&quot;:&quot;Shi&quot;,&quot;given&quot;:&quot;Zheng&quot;,&quot;parse-names&quot;:false,&quot;dropping-particle&quot;:&quot;&quot;,&quot;non-dropping-particle&quot;:&quot;&quot;},{&quot;family&quot;:&quot;Tang&quot;,&quot;given&quot;:&quot;Hui-Qiang&quot;,&quot;parse-names&quot;:false,&quot;dropping-particle&quot;:&quot;&quot;,&quot;non-dropping-particle&quot;:&quot;&quot;},{&quot;family&quot;:&quot;Tan&quot;,&quot;given&quot;:&quot;Yong-Bo&quot;,&quot;parse-names&quot;:false,&quot;dropping-particle&quot;:&quot;&quot;,&quot;non-dropping-particle&quot;:&quot;&quot;}],&quot;container-title&quot;:&quot;Terrestrial, Atmospheric and Oceanic Sciences&quot;,&quot;DOI&quot;:&quot;10.3319/TAO.2015.12.10.01(A)&quot;,&quot;ISSN&quot;:&quot;1017-0839&quot;,&quot;issued&quot;:{&quot;date-parts&quot;:[[2016]]},&quot;page&quot;:&quot;241-251&quot;,&quot;issue&quot;:&quot;2&quot;,&quot;volume&quot;:&quot;27&quot;,&quot;container-title-short&quot;:&quot;&quot;},&quot;isTemporary&quot;:false}]},{&quot;citationID&quot;:&quot;MENDELEY_CITATION_cc73dab5-2ad4-42a8-b001-1f434184a1b3&quot;,&quot;properties&quot;:{&quot;noteIndex&quot;:0},&quot;isEdited&quot;:false,&quot;manualOverride&quot;:{&quot;isManuallyOverridden&quot;:false,&quot;citeprocText&quot;:&quot;(Hutchins et al. 2012)&quot;,&quot;manualOverrideText&quot;:&quot;&quot;},&quot;citationTag&quot;:&quot;MENDELEY_CITATION_v3_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&quot;,&quot;citationItems&quot;:[{&quot;id&quot;:&quot;83e8b27b-7f91-3631-a706-d60884f33f51&quot;,&quot;itemData&quot;:{&quot;type&quot;:&quot;article-journal&quot;,&quot;id&quot;:&quot;83e8b27b-7f91-3631-a706-d60884f33f51&quot;,&quot;title&quot;:&quot;Relative detection efficiency of the World Wide Lightning Location Network&quot;,&quot;author&quot;:[{&quot;family&quot;:&quot;Hutchins&quot;,&quot;given&quot;:&quot;M. L.&quot;,&quot;parse-names&quot;:false,&quot;dropping-particle&quot;:&quot;&quot;,&quot;non-dropping-particle&quot;:&quot;&quot;},{&quot;family&quot;:&quot;Holzworth&quot;,&quot;given&quot;:&quot;R. H.&quot;,&quot;parse-names&quot;:false,&quot;dropping-particle&quot;:&quot;&quot;,&quot;non-dropping-particle&quot;:&quot;&quot;},{&quot;family&quot;:&quot;Brundell&quot;,&quot;given&quot;:&quot;J. B.&quot;,&quot;parse-names&quot;:false,&quot;dropping-particle&quot;:&quot;&quot;,&quot;non-dropping-particle&quot;:&quot;&quot;},{&quot;family&quot;:&quot;Rodger&quot;,&quot;given&quot;:&quot;C. J.&quot;,&quot;parse-names&quot;:false,&quot;dropping-particle&quot;:&quot;&quot;,&quot;non-dropping-particle&quot;:&quot;&quot;}],&quot;container-title&quot;:&quot;Radio Science&quot;,&quot;container-title-short&quot;:&quot;Radio Sci.&quot;,&quot;DOI&quot;:&quot;10.1029/2012RS005049&quot;,&quot;ISSN&quot;:&quot;0048-6604&quot;,&quot;issued&quot;:{&quot;date-parts&quot;:[[2012,12,13]]},&quot;abstract&quot;:&quot;&lt;p&gt;Using the detected energy per strokes of the World Wide Lightning Location Network (WWLLN) we calculate the relative detection efficiency for the network as if it had a uniform detection efficiency. The model uses the energy statistics of located strokes to determine which stations are sensitive to what stroke energies. We are then able to estimate the number of strokes that may be missing from any given regions as compared to the best, most sensitive regions of the WWLLN network. Stroke density maps can be corrected with the knowledge of how sensitive various regions of the network are operating. This new model for the relative WWLLN detection efficiency compensates for the uneven global coverage of the network sensors as well as variations in very low frequency (VLF) propagation. The model gives a way to represent the global distribution of strokes as if observed by a globally uniform network. The model results are analyzed in spatial and temporal regimes, and the effects of a single VLF detector going offline are investigated in areas of sparse and dense detector coverage. The results are also used to show spatial, temporal and energy distributions as seen by the detection efficiency corrected WWLLN.&lt;/p&gt;&quot;,&quot;issue&quot;:&quot;6&quot;,&quot;volume&quot;:&quot;47&quot;},&quot;isTemporary&quot;:false}]},{&quot;citationID&quot;:&quot;MENDELEY_CITATION_b006bdb7-db2f-4889-87fd-dbdfb326fb78&quot;,&quot;properties&quot;:{&quot;noteIndex&quot;:0},&quot;isEdited&quot;:false,&quot;manualOverride&quot;:{&quot;isManuallyOverridden&quot;:false,&quot;citeprocText&quot;:&quot;(Beucler et al. 2024)&quot;,&quot;manualOverrideText&quot;:&quot;&quot;},&quot;citationTag&quot;:&quot;MENDELEY_CITATION_v3_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&quot;,&quot;citationItems&quot;:[{&quot;id&quot;:&quot;0333c03e-7ccb-3d39-aae0-03c1c02f79ea&quot;,&quot;itemData&quot;:{&quot;type&quot;:&quot;article-journal&quot;,&quot;id&quot;:&quot;0333c03e-7ccb-3d39-aae0-03c1c02f79ea&quot;,&quot;title&quot;:&quot;Climate-invariant machine learning&quot;,&quot;author&quot;:[{&quot;family&quot;:&quot;Beucler&quot;,&quot;given&quot;:&quot;Tom&quot;,&quot;parse-names&quot;:false,&quot;dropping-particle&quot;:&quot;&quot;,&quot;non-dropping-particle&quot;:&quot;&quot;},{&quot;family&quot;:&quot;Gentine&quot;,&quot;given&quot;:&quot;Pierre&quot;,&quot;parse-names&quot;:false,&quot;dropping-particle&quot;:&quot;&quot;,&quot;non-dropping-particle&quot;:&quot;&quot;},{&quot;family&quot;:&quot;Yuval&quot;,&quot;given&quot;:&quot;Janni&quot;,&quot;parse-names&quot;:false,&quot;dropping-particle&quot;:&quot;&quot;,&quot;non-dropping-particle&quot;:&quot;&quot;},{&quot;family&quot;:&quot;Gupta&quot;,&quot;given&quot;:&quot;Ankitesh&quot;,&quot;parse-names&quot;:false,&quot;dropping-particle&quot;:&quot;&quot;,&quot;non-dropping-particle&quot;:&quot;&quot;},{&quot;family&quot;:&quot;Peng&quot;,&quot;given&quot;:&quot;Liran&quot;,&quot;parse-names&quot;:false,&quot;dropping-particle&quot;:&quot;&quot;,&quot;non-dropping-particle&quot;:&quot;&quot;},{&quot;family&quot;:&quot;Lin&quot;,&quot;given&quot;:&quot;Jerry&quot;,&quot;parse-names&quot;:false,&quot;dropping-particle&quot;:&quot;&quot;,&quot;non-dropping-particle&quot;:&quot;&quot;},{&quot;family&quot;:&quot;Yu&quot;,&quot;given&quot;:&quot;Sungduk&quot;,&quot;parse-names&quot;:false,&quot;dropping-particle&quot;:&quot;&quot;,&quot;non-dropping-particle&quot;:&quot;&quot;},{&quot;family&quot;:&quot;Rasp&quot;,&quot;given&quot;:&quot;Stephan&quot;,&quot;parse-names&quot;:false,&quot;dropping-particle&quot;:&quot;&quot;,&quot;non-dropping-particle&quot;:&quot;&quot;},{&quot;family&quot;:&quot;Ahmed&quot;,&quot;given&quot;:&quot;Fiaz&quot;,&quot;parse-names&quot;:false,&quot;dropping-particle&quot;:&quot;&quot;,&quot;non-dropping-particle&quot;:&quot;&quot;},{&quot;family&quot;:&quot;O’Gorman&quot;,&quot;given&quot;:&quot;Paul A.&quot;,&quot;parse-names&quot;:false,&quot;dropping-particle&quot;:&quot;&quot;,&quot;non-dropping-particle&quot;:&quot;&quot;},{&quot;family&quot;:&quot;Neelin&quot;,&quot;given&quot;:&quot;J. David&quot;,&quot;parse-names&quot;:false,&quot;dropping-particle&quot;:&quot;&quot;,&quot;non-dropping-particle&quot;:&quot;&quot;},{&quot;family&quot;:&quot;Lutsko&quot;,&quot;given&quot;:&quot;Nicholas J.&quot;,&quot;parse-names&quot;:false,&quot;dropping-particle&quot;:&quot;&quot;,&quot;non-dropping-particle&quot;:&quot;&quot;},{&quot;family&quot;:&quot;Pritchard&quot;,&quot;given&quot;:&quot;Michael&quot;,&quot;parse-names&quot;:false,&quot;dropping-particle&quot;:&quot;&quot;,&quot;non-dropping-particle&quot;:&quot;&quot;}],&quot;container-title&quot;:&quot;Science Advances&quot;,&quot;container-title-short&quot;:&quot;Sci. Adv.&quot;,&quot;DOI&quot;:&quot;10.1126/sciadv.adj7250&quot;,&quot;ISSN&quot;:&quot;2375-2548&quot;,&quot;issued&quot;:{&quot;date-parts&quot;:[[2024,2,9]]},&quot;abstract&quot;:&quot;&lt;p&gt;Projecting climate change is a generalization problem: We extrapolate the recent past using physical models across past, present, and future climates. Current climate models require representations of processes that occur at scales smaller than model grid size, which have been the main source of model projection uncertainty. Recent machine learning (ML) algorithms hold promise to improve such process representations but tend to extrapolate poorly to climate regimes that they were not trained on. To get the best of the physical and statistical worlds, we propose a framework, termed “climate-invariant” ML, incorporating knowledge of climate processes into ML algorithms, and show that it can maintain high offline accuracy across a wide range of climate conditions and configurations in three distinct atmospheric models. Our results suggest that explicitly incorporating physical knowledge into data-driven models of Earth system processes can improve their consistency, data efficiency, and generalizability across climate regimes.&lt;/p&gt;&quot;,&quot;issue&quot;:&quot;6&quot;,&quot;volume&quot;:&quot;10&quot;},&quot;isTemporary&quot;:false}]},{&quot;citationID&quot;:&quot;MENDELEY_CITATION_2e21c5ac-76b7-40b2-a39a-fc15ba85891f&quot;,&quot;properties&quot;:{&quot;noteIndex&quot;:0},&quot;isEdited&quot;:false,&quot;manualOverride&quot;:{&quot;isManuallyOverridden&quot;:false,&quot;citeprocText&quot;:&quot;(Finney et al. 2020)&quot;,&quot;manualOverrideText&quot;:&quot;&quot;},&quot;citationTag&quot;:&quot;MENDELEY_CITATION_v3_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&quot;,&quot;citationItems&quot;:[{&quot;id&quot;:&quot;b976fe4d-2e54-3737-b5f1-334f9e66dde1&quot;,&quot;itemData&quot;:{&quot;type&quot;:&quot;article-journal&quot;,&quot;id&quot;:&quot;b976fe4d-2e54-3737-b5f1-334f9e66dde1&quot;,&quot;title&quot;:&quot;African lightning and its relation to rainfall and climate change in a convection‐permitting model&quot;,&quot;author&quot;:[{&quot;family&quot;:&quot;Finney&quot;,&quot;given&quot;:&quot;D. L&quot;,&quot;parse-names&quot;:false,&quot;dropping-particle&quot;:&quot;&quot;,&quot;non-dropping-particle&quot;:&quot;&quot;},{&quot;family&quot;:&quot;Marsham&quot;,&quot;given&quot;:&quot;J. H&quot;,&quot;parse-names&quot;:false,&quot;dropping-particle&quot;:&quot;&quot;,&quot;non-dropping-particle&quot;:&quot;&quot;},{&quot;family&quot;:&quot;Wilkinson&quot;,&quot;given&quot;:&quot;J. M&quot;,&quot;parse-names&quot;:false,&quot;dropping-particle&quot;:&quot;&quot;,&quot;non-dropping-particle&quot;:&quot;&quot;},{&quot;family&quot;:&quot;Field&quot;,&quot;given&quot;:&quot;P. R&quot;,&quot;parse-names&quot;:false,&quot;dropping-particle&quot;:&quot;&quot;,&quot;non-dropping-particle&quot;:&quot;&quot;},{&quot;family&quot;:&quot;Blyth&quot;,&quot;given&quot;:&quot;A. M&quot;,&quot;parse-names&quot;:false,&quot;dropping-particle&quot;:&quot;&quot;,&quot;non-dropping-particle&quot;:&quot;&quot;},{&quot;family&quot;:&quot;Jackson&quot;,&quot;given&quot;:&quot;L. S&quot;,&quot;parse-names&quot;:false,&quot;dropping-particle&quot;:&quot;&quot;,&quot;non-dropping-particle&quot;:&quot;&quot;},{&quot;family&quot;:&quot;Kendon&quot;,&quot;given&quot;:&quot;E. J&quot;,&quot;parse-names&quot;:false,&quot;dropping-particle&quot;:&quot;&quot;,&quot;non-dropping-particle&quot;:&quot;&quot;},{&quot;family&quot;:&quot;Tucker&quot;,&quot;given&quot;:&quot;S. O&quot;,&quot;parse-names&quot;:false,&quot;dropping-particle&quot;:&quot;&quot;,&quot;non-dropping-particle&quot;:&quot;&quot;},{&quot;family&quot;:&quot;Stratton&quot;,&quot;given&quot;:&quot;R. A&quot;,&quot;parse-names&quot;:false,&quot;dropping-particle&quot;:&quot;&quot;,&quot;non-dropping-particle&quot;:&quot;&quot;}],&quot;container-title&quot;:&quot;Geophysical Research Letters&quot;,&quot;container-title-short&quot;:&quot;Geophys. Res. Lett.&quot;,&quot;DOI&quot;:&quot;10.1029/2020GL088163&quot;,&quot;ISSN&quot;:&quot;0094-8276&quot;,&quot;issued&quot;:{&quot;date-parts&quot;:[[2020,12,16]]},&quot;abstract&quot;:&quot;&lt;p&gt; Global climate models struggle to simulate both the convection and cloud ice fundamental to lightning formation. We use the first convection‐permitting, future climate simulations for the lightning hot spot of Africa, at the same time utilizing an ice‐based lightning parametrization. Both the model and observations show that lightning over Africa's drier areas, as well as the moist Congo, have more lightning per rainfall than other regions. Contrary to results in the literature, the future projection shows little increase in total lightning (~10 &lt;sup&gt;7&lt;/sup&gt; flashes (or 2%) per degree warming). This is a consequence of increased stability reducing the number of lightning days, largely offsetting the increased graupel and updraft velocity driving an increase in lightning per lightning day. The next step is to establish if these results are robust across other models and, if combined with parametrized‐convection models, whether ensemble‐based information on the possible responses of lightning to climate change can be investigated. &lt;/p&gt;&quot;,&quot;issue&quot;:&quot;23&quot;,&quot;volume&quot;:&quot;47&quot;},&quot;isTemporary&quot;:false}]},{&quot;citationID&quot;:&quot;MENDELEY_CITATION_804ec13a-c9db-4e82-94c6-4ca28f8a355a&quot;,&quot;properties&quot;:{&quot;noteIndex&quot;:0},&quot;isEdited&quot;:false,&quot;manualOverride&quot;:{&quot;isManuallyOverridden&quot;:false,&quot;citeprocText&quot;:&quot;(Kalashnikov et al. 2024)&quot;,&quot;manualOverrideText&quot;:&quot;&quot;},&quot;citationTag&quot;:&quot;MENDELEY_CITATION_v3_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&quot;,&quot;citationItems&quot;:[{&quot;id&quot;:&quot;0bfda06e-d68f-3719-8ac1-d6b59054850a&quot;,&quot;itemData&quot;:{&quot;type&quot;:&quot;article-journal&quot;,&quot;id&quot;:&quot;0bfda06e-d68f-3719-8ac1-d6b59054850a&quot;,&quot;title&quot;:&quot;Predicting Cloud‐To‐Ground Lightning in the Western United States From the Large‐Scale Environment Using Explainable Neural Networks&quot;,&quot;author&quot;:[{&quot;family&quot;:&quot;Kalashnikov&quot;,&quot;given&quot;:&quot;Dmitri A.&quot;,&quot;parse-names&quot;:false,&quot;dropping-particle&quot;:&quot;&quot;,&quot;non-dropping-particle&quot;:&quot;&quot;},{&quot;family&quot;:&quot;Davenport&quot;,&quot;given&quot;:&quot;Frances&quot;,&quot;parse-names&quot;:false,&quot;dropping-particle&quot;:&quot;V.&quot;,&quot;non-dropping-particle&quot;:&quot;&quot;},{&quot;family&quot;:&quot;Labe&quot;,&quot;given&quot;:&quot;Zachary M.&quot;,&quot;parse-names&quot;:false,&quot;dropping-particle&quot;:&quot;&quot;,&quot;non-dropping-particle&quot;:&quot;&quot;},{&quot;family&quot;:&quot;Loikith&quot;,&quot;given&quot;:&quot;Paul C.&quot;,&quot;parse-names&quot;:false,&quot;dropping-particle&quot;:&quot;&quot;,&quot;non-dropping-particle&quot;:&quot;&quot;},{&quot;family&quot;:&quot;Abatzoglou&quot;,&quot;given&quot;:&quot;John T.&quot;,&quot;parse-names&quot;:false,&quot;dropping-particle&quot;:&quot;&quot;,&quot;non-dropping-particle&quot;:&quot;&quot;},{&quot;family&quot;:&quot;Singh&quot;,&quot;given&quot;:&quot;Deepti&quot;,&quot;parse-names&quot;:false,&quot;dropping-particle&quot;:&quot;&quot;,&quot;non-dropping-particle&quot;:&quot;&quot;}],&quot;container-title&quot;:&quot;Journal of Geophysical Research: Atmospheres&quot;,&quot;DOI&quot;:&quot;10.1029/2024JD042147&quot;,&quot;ISSN&quot;:&quot;2169-897X&quot;,&quot;issued&quot;:{&quot;date-parts&quot;:[[2024,11,28]]},&quot;abstract&quot;:&quot;&lt;p&gt; Lightning is a major source of wildfire ignition in the western United States (WUS). We build and train convolutional neural networks (CNNs) to predict the occurrence of cloud‐to‐ground (CG) lightning across the WUS during June–September from the spatial patterns of seven large‐scale meteorological variables from reanalysis (1995–2022). Individually trained CNN models at each 1° × 1° grid cell ( &lt;italic&gt;n&lt;/italic&gt;  = 285 CNNs) show high skill at predicting CG lightning days across the WUS (median AUC = 0.8) and perform best in parts of the interior Southwest where summertime CG lightning is most common. Further, interannual correlation between observed and predicted CG lightning days is high (median &lt;italic&gt;r&lt;/italic&gt;  = 0.87), demonstrating that locally trained CNNs realistically capture year‐to‐year variation in CG lightning activity across the WUS. We then use layer‐wise relevance propagation (LRP) to investigate the relevance of predictor variables to successful CG lightning prediction in each grid cell. Using maximum LRP values, our results show that two thermodynamic variables—ratio of surface moist static energy to free‐tropospheric saturation moist static energy, and the 700–500 hPa lapse rate—are the most relevant CG lightning predictors for 93%–96% of CNNs depending on the LRP variant used. As lightning is not directly simulated by global climate models, these CNNs could be used to parameterize CG lightning in climate models to assess changes in future CG lightning occurrence with projected climate change. Understanding changes in CG lightning risk and consequently lightning‐caused wildfire risk across the WUS could inform fire management, planning, and disaster preparedness. &lt;/p&gt;&quot;,&quot;issue&quot;:&quot;22&quot;,&quot;volume&quot;:&quot;129&quot;,&quot;container-title-short&quot;:&quot;&quot;},&quot;isTemporary&quot;:false}]},{&quot;citationID&quot;:&quot;MENDELEY_CITATION_fa80ac86-99a6-4e93-a949-c2d9655003e2&quot;,&quot;properties&quot;:{&quot;noteIndex&quot;:0},&quot;isEdited&quot;:false,&quot;manualOverride&quot;:{&quot;isManuallyOverridden&quot;:true,&quot;citeprocText&quot;:&quot;(Romps et al. 2014; Finney et al. 2018)&quot;,&quot;manualOverrideText&quot;:&quot;Romps et al. 2014; Finney et al. 2018)&quot;},&quot;citationTag&quot;:&quot;MENDELEY_CITATION_v3_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&quot;,&quot;citationItems&quot;:[{&quot;id&quot;:&quot;6229ab25-0705-375c-bbda-cedefba64791&quot;,&quot;itemData&quot;:{&quot;type&quot;:&quot;article-journal&quot;,&quot;id&quot;:&quot;6229ab25-0705-375c-bbda-cedefba64791&quot;,&quot;title&quot;:&quot;Projected increase in lightning strikes in the United States due to global warming&quot;,&quot;author&quot;:[{&quot;family&quot;:&quot;Romps&quot;,&quot;given&quot;:&quot;David M.&quot;,&quot;parse-names&quot;:false,&quot;dropping-particle&quot;:&quot;&quot;,&quot;non-dropping-particle&quot;:&quot;&quot;},{&quot;family&quot;:&quot;Seeley&quot;,&quot;given&quot;:&quot;Jacob T.&quot;,&quot;parse-names&quot;:false,&quot;dropping-particle&quot;:&quot;&quot;,&quot;non-dropping-particle&quot;:&quot;&quot;},{&quot;family&quot;:&quot;Vollaro&quot;,&quot;given&quot;:&quot;David&quot;,&quot;parse-names&quot;:false,&quot;dropping-particle&quot;:&quot;&quot;,&quot;non-dropping-particle&quot;:&quot;&quot;},{&quot;family&quot;:&quot;Molinari&quot;,&quot;given&quot;:&quot;John&quot;,&quot;parse-names&quot;:false,&quot;dropping-particle&quot;:&quot;&quot;,&quot;non-dropping-particle&quot;:&quot;&quot;}],&quot;container-title&quot;:&quot;Science&quot;,&quot;container-title-short&quot;:&quot;Science (1979).&quot;,&quot;DOI&quot;:&quot;10.1126/science.1259100&quot;,&quot;ISSN&quot;:&quot;0036-8075&quot;,&quot;URL&quot;:&quot;https://www.science.org/doi/10.1126/science.1259100&quot;,&quot;issued&quot;:{&quot;date-parts&quot;:[[2014,11,14]]},&quot;page&quot;:&quot;851-854&quot;,&quot;abstract&quot;:&quot;&lt;p&gt;Lightning plays an important role in atmospheric chemistry and in the initiation of wildfires, but the impact of global warming on lightning rates is poorly constrained. Here we propose that the lightning flash rate is proportional to the convective available potential energy (CAPE) times the precipitation rate. Using observations, the product of CAPE and precipitation explains 77% of the variance in the time series of total cloud-to-ground lightning flashes over the contiguous United States (CONUS). Storms convert CAPE times precipitated water mass to discharged lightning energy with an efficiency of 1%. When this proxy is applied to 11 climate models, CONUS lightning strikes are predicted to increase 12 ± 5% per degree Celsius of global warming and about 50% over this century.&lt;/p&gt;&quot;,&quot;issue&quot;:&quot;6211&quot;,&quot;volume&quot;:&quot;346&quot;},&quot;isTemporary&quot;:false},{&quot;id&quot;:&quot;6f15f402-a3bd-3513-97d8-ac373078eb5d&quot;,&quot;itemData&quot;:{&quot;type&quot;:&quot;article-journal&quot;,&quot;id&quot;:&quot;6f15f402-a3bd-3513-97d8-ac373078eb5d&quot;,&quot;title&quot;:&quot;A projected decrease in lightning under climate change&quot;,&quot;author&quot;:[{&quot;family&quot;:&quot;Finney&quot;,&quot;given&quot;:&quot;Declan L&quot;,&quot;parse-names&quot;:false,&quot;dropping-particle&quot;:&quot;&quot;,&quot;non-dropping-particle&quot;:&quot;&quot;},{&quot;family&quot;:&quot;Doherty&quot;,&quot;given&quot;:&quot;Ruth M&quot;,&quot;parse-names&quot;:false,&quot;dropping-particle&quot;:&quot;&quot;,&quot;non-dropping-particle&quot;:&quot;&quot;},{&quot;family&quot;:&quot;Wild&quot;,&quot;given&quot;:&quot;Oliver&quot;,&quot;parse-names&quot;:false,&quot;dropping-particle&quot;:&quot;&quot;,&quot;non-dropping-particle&quot;:&quot;&quot;},{&quot;family&quot;:&quot;Stevenson&quot;,&quot;given&quot;:&quot;David S&quot;,&quot;parse-names&quot;:false,&quot;dropping-particle&quot;:&quot;&quot;,&quot;non-dropping-particle&quot;:&quot;&quot;},{&quot;family&quot;:&quot;MacKenzie&quot;,&quot;given&quot;:&quot;Ian A&quot;,&quot;parse-names&quot;:false,&quot;dropping-particle&quot;:&quot;&quot;,&quot;non-dropping-particle&quot;:&quot;&quot;},{&quot;family&quot;:&quot;Blyth&quot;,&quot;given&quot;:&quot;Alan M&quot;,&quot;parse-names&quot;:false,&quot;dropping-particle&quot;:&quot;&quot;,&quot;non-dropping-particle&quot;:&quot;&quot;}],&quot;container-title&quot;:&quot;Nature Climate Change&quot;,&quot;container-title-short&quot;:&quot;Nat. Clim. Chang.&quot;,&quot;issued&quot;:{&quot;date-parts&quot;:[[2018]]},&quot;page&quot;:&quot;210-213&quot;,&quot;publisher&quot;:&quot;Nature Publishing Group UK London&quot;,&quot;issue&quot;:&quot;3&quot;,&quot;volume&quot;:&quot;8&quot;},&quot;isTemporary&quot;:false}]}]"/>
    <we:property name="MENDELEY_CITATIONS_LOCALE_CODE" value="&quot;en-US&quot;"/>
    <we:property name="MENDELEY_CITATIONS_STYLE" value="{&quot;id&quot;:&quot;https://www.zotero.org/styles/springer-basic-author-date-no-et-al&quot;,&quot;title&quot;:&quot;Springer - Basic (author-date, no \&quot;et al.\&quo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C50B0C34-05A5-47F1-B74D-C845CF531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12</Pages>
  <Words>2520</Words>
  <Characters>14365</Characters>
  <Application>Microsoft Office Word</Application>
  <DocSecurity>0</DocSecurity>
  <Lines>119</Lines>
  <Paragraphs>33</Paragraphs>
  <ScaleCrop>false</ScaleCrop>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Caio Lucas Teixeira Ferraz de Oliveira</dc:creator>
  <cp:keywords/>
  <dc:description/>
  <cp:lastModifiedBy>Caio Lucas Teixeira Ferraz de Oliveira</cp:lastModifiedBy>
  <cp:revision>124</cp:revision>
  <dcterms:created xsi:type="dcterms:W3CDTF">2026-04-09T00:43:00Z</dcterms:created>
  <dcterms:modified xsi:type="dcterms:W3CDTF">2026-06-27T19:48:00Z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07ca755c-a0b8-4204-a229-4ad41c7fc0e2</vt:lpwstr>
  </property>
</Properties>
</file>