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D9F1" w14:textId="77777777" w:rsidR="00A27873" w:rsidRDefault="000C6254">
      <w:pPr>
        <w:rPr>
          <w:rFonts w:ascii="Times New Roman" w:hAnsi="Times New Roman" w:cs="Times New Roman"/>
          <w:b/>
          <w:bCs/>
          <w:sz w:val="24"/>
          <w:szCs w:val="24"/>
        </w:rPr>
      </w:pPr>
      <w:r>
        <w:rPr>
          <w:rFonts w:ascii="Times New Roman" w:hAnsi="Times New Roman" w:cs="Times New Roman"/>
          <w:b/>
          <w:bCs/>
          <w:sz w:val="24"/>
          <w:szCs w:val="24"/>
        </w:rPr>
        <w:t>Table 1: Characteristics of Included Studies</w:t>
      </w:r>
    </w:p>
    <w:p w14:paraId="31D199AA" w14:textId="77777777" w:rsidR="00A27873" w:rsidRDefault="00A27873">
      <w:pPr>
        <w:rPr>
          <w:rFonts w:ascii="Times New Roman" w:hAnsi="Times New Roman" w:cs="Times New Roman"/>
          <w:b/>
          <w:bCs/>
          <w:sz w:val="24"/>
          <w:szCs w:val="24"/>
        </w:rPr>
      </w:pPr>
    </w:p>
    <w:tbl>
      <w:tblPr>
        <w:tblW w:w="10054" w:type="dxa"/>
        <w:jc w:val="center"/>
        <w:tblCellSpacing w:w="15" w:type="dxa"/>
        <w:tblBorders>
          <w:top w:val="single" w:sz="4" w:space="0" w:color="auto"/>
          <w:bottom w:val="single" w:sz="4" w:space="0" w:color="auto"/>
        </w:tblBorders>
        <w:tblLayout w:type="fixed"/>
        <w:tblLook w:val="04A0" w:firstRow="1" w:lastRow="0" w:firstColumn="1" w:lastColumn="0" w:noHBand="0" w:noVBand="1"/>
      </w:tblPr>
      <w:tblGrid>
        <w:gridCol w:w="543"/>
        <w:gridCol w:w="565"/>
        <w:gridCol w:w="600"/>
        <w:gridCol w:w="894"/>
        <w:gridCol w:w="1126"/>
        <w:gridCol w:w="971"/>
        <w:gridCol w:w="1171"/>
        <w:gridCol w:w="1000"/>
        <w:gridCol w:w="972"/>
        <w:gridCol w:w="1077"/>
        <w:gridCol w:w="1135"/>
      </w:tblGrid>
      <w:tr w:rsidR="00A27873" w14:paraId="15F32F64" w14:textId="77777777">
        <w:trPr>
          <w:tblHeader/>
          <w:tblCellSpacing w:w="15" w:type="dxa"/>
          <w:jc w:val="center"/>
        </w:trPr>
        <w:tc>
          <w:tcPr>
            <w:tcW w:w="498" w:type="dxa"/>
            <w:shd w:val="clear" w:color="auto" w:fill="538135" w:themeFill="accent6" w:themeFillShade="BF"/>
            <w:tcMar>
              <w:top w:w="15" w:type="dxa"/>
              <w:left w:w="15" w:type="dxa"/>
              <w:bottom w:w="15" w:type="dxa"/>
              <w:right w:w="15" w:type="dxa"/>
            </w:tcMar>
            <w:vAlign w:val="center"/>
          </w:tcPr>
          <w:p w14:paraId="25409275"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Author (Year)</w:t>
            </w:r>
          </w:p>
        </w:tc>
        <w:tc>
          <w:tcPr>
            <w:tcW w:w="535" w:type="dxa"/>
            <w:shd w:val="clear" w:color="auto" w:fill="538135" w:themeFill="accent6" w:themeFillShade="BF"/>
            <w:tcMar>
              <w:top w:w="15" w:type="dxa"/>
              <w:left w:w="15" w:type="dxa"/>
              <w:bottom w:w="15" w:type="dxa"/>
              <w:right w:w="15" w:type="dxa"/>
            </w:tcMar>
            <w:vAlign w:val="center"/>
          </w:tcPr>
          <w:p w14:paraId="017D39EA"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Country</w:t>
            </w:r>
          </w:p>
        </w:tc>
        <w:tc>
          <w:tcPr>
            <w:tcW w:w="570" w:type="dxa"/>
            <w:shd w:val="clear" w:color="auto" w:fill="538135" w:themeFill="accent6" w:themeFillShade="BF"/>
            <w:tcMar>
              <w:top w:w="15" w:type="dxa"/>
              <w:left w:w="15" w:type="dxa"/>
              <w:bottom w:w="15" w:type="dxa"/>
              <w:right w:w="15" w:type="dxa"/>
            </w:tcMar>
            <w:vAlign w:val="center"/>
          </w:tcPr>
          <w:p w14:paraId="4D70EF3B"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LMIC Category</w:t>
            </w:r>
          </w:p>
        </w:tc>
        <w:tc>
          <w:tcPr>
            <w:tcW w:w="864" w:type="dxa"/>
            <w:shd w:val="clear" w:color="auto" w:fill="538135" w:themeFill="accent6" w:themeFillShade="BF"/>
            <w:tcMar>
              <w:top w:w="15" w:type="dxa"/>
              <w:left w:w="15" w:type="dxa"/>
              <w:bottom w:w="15" w:type="dxa"/>
              <w:right w:w="15" w:type="dxa"/>
            </w:tcMar>
            <w:vAlign w:val="center"/>
          </w:tcPr>
          <w:p w14:paraId="1B7D107D"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Study Design</w:t>
            </w:r>
          </w:p>
        </w:tc>
        <w:tc>
          <w:tcPr>
            <w:tcW w:w="1096" w:type="dxa"/>
            <w:shd w:val="clear" w:color="auto" w:fill="538135" w:themeFill="accent6" w:themeFillShade="BF"/>
            <w:tcMar>
              <w:top w:w="15" w:type="dxa"/>
              <w:left w:w="15" w:type="dxa"/>
              <w:bottom w:w="15" w:type="dxa"/>
              <w:right w:w="15" w:type="dxa"/>
            </w:tcMar>
            <w:vAlign w:val="center"/>
          </w:tcPr>
          <w:p w14:paraId="2C0C3A41"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Population/Sample</w:t>
            </w:r>
          </w:p>
        </w:tc>
        <w:tc>
          <w:tcPr>
            <w:tcW w:w="941" w:type="dxa"/>
            <w:shd w:val="clear" w:color="auto" w:fill="538135" w:themeFill="accent6" w:themeFillShade="BF"/>
            <w:tcMar>
              <w:top w:w="15" w:type="dxa"/>
              <w:left w:w="15" w:type="dxa"/>
              <w:bottom w:w="15" w:type="dxa"/>
              <w:right w:w="15" w:type="dxa"/>
            </w:tcMar>
            <w:vAlign w:val="center"/>
          </w:tcPr>
          <w:p w14:paraId="13AF69BD"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Health Domain</w:t>
            </w:r>
          </w:p>
        </w:tc>
        <w:tc>
          <w:tcPr>
            <w:tcW w:w="1141" w:type="dxa"/>
            <w:shd w:val="clear" w:color="auto" w:fill="538135" w:themeFill="accent6" w:themeFillShade="BF"/>
            <w:tcMar>
              <w:top w:w="15" w:type="dxa"/>
              <w:left w:w="15" w:type="dxa"/>
              <w:bottom w:w="15" w:type="dxa"/>
              <w:right w:w="15" w:type="dxa"/>
            </w:tcMar>
            <w:vAlign w:val="center"/>
          </w:tcPr>
          <w:p w14:paraId="568D0148"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Chatbot Type</w:t>
            </w:r>
          </w:p>
        </w:tc>
        <w:tc>
          <w:tcPr>
            <w:tcW w:w="970" w:type="dxa"/>
            <w:shd w:val="clear" w:color="auto" w:fill="538135" w:themeFill="accent6" w:themeFillShade="BF"/>
            <w:tcMar>
              <w:top w:w="15" w:type="dxa"/>
              <w:left w:w="15" w:type="dxa"/>
              <w:bottom w:w="15" w:type="dxa"/>
              <w:right w:w="15" w:type="dxa"/>
            </w:tcMar>
            <w:vAlign w:val="center"/>
          </w:tcPr>
          <w:p w14:paraId="2B51FF32"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Education Function</w:t>
            </w:r>
          </w:p>
        </w:tc>
        <w:tc>
          <w:tcPr>
            <w:tcW w:w="942" w:type="dxa"/>
            <w:shd w:val="clear" w:color="auto" w:fill="538135" w:themeFill="accent6" w:themeFillShade="BF"/>
            <w:tcMar>
              <w:top w:w="15" w:type="dxa"/>
              <w:left w:w="15" w:type="dxa"/>
              <w:bottom w:w="15" w:type="dxa"/>
              <w:right w:w="15" w:type="dxa"/>
            </w:tcMar>
            <w:vAlign w:val="center"/>
          </w:tcPr>
          <w:p w14:paraId="12746D0D"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Communication Function</w:t>
            </w:r>
          </w:p>
        </w:tc>
        <w:tc>
          <w:tcPr>
            <w:tcW w:w="1047" w:type="dxa"/>
            <w:shd w:val="clear" w:color="auto" w:fill="538135" w:themeFill="accent6" w:themeFillShade="BF"/>
            <w:tcMar>
              <w:top w:w="15" w:type="dxa"/>
              <w:left w:w="15" w:type="dxa"/>
              <w:bottom w:w="15" w:type="dxa"/>
              <w:right w:w="15" w:type="dxa"/>
            </w:tcMar>
            <w:vAlign w:val="center"/>
          </w:tcPr>
          <w:p w14:paraId="0ED126DB"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Platform/Delivery</w:t>
            </w:r>
          </w:p>
        </w:tc>
        <w:tc>
          <w:tcPr>
            <w:tcW w:w="1090" w:type="dxa"/>
            <w:shd w:val="clear" w:color="auto" w:fill="538135" w:themeFill="accent6" w:themeFillShade="BF"/>
            <w:tcMar>
              <w:top w:w="15" w:type="dxa"/>
              <w:left w:w="15" w:type="dxa"/>
              <w:bottom w:w="15" w:type="dxa"/>
              <w:right w:w="15" w:type="dxa"/>
            </w:tcMar>
            <w:vAlign w:val="center"/>
          </w:tcPr>
          <w:p w14:paraId="77178CE2" w14:textId="77777777" w:rsidR="00A27873" w:rsidRDefault="000C6254">
            <w:pPr>
              <w:spacing w:afterLines="50" w:after="120"/>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lang w:bidi="ar"/>
              </w:rPr>
              <w:t>Outcomes Reported</w:t>
            </w:r>
          </w:p>
        </w:tc>
      </w:tr>
      <w:tr w:rsidR="00A27873" w14:paraId="02E9C882" w14:textId="77777777">
        <w:trPr>
          <w:trHeight w:val="10593"/>
          <w:tblCellSpacing w:w="15" w:type="dxa"/>
          <w:jc w:val="center"/>
        </w:trPr>
        <w:tc>
          <w:tcPr>
            <w:tcW w:w="498" w:type="dxa"/>
            <w:shd w:val="clear" w:color="auto" w:fill="EBF1DD"/>
            <w:tcMar>
              <w:top w:w="15" w:type="dxa"/>
              <w:left w:w="15" w:type="dxa"/>
              <w:bottom w:w="15" w:type="dxa"/>
              <w:right w:w="15" w:type="dxa"/>
            </w:tcMar>
            <w:vAlign w:val="center"/>
          </w:tcPr>
          <w:p w14:paraId="04424FD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Wang et al. (2021)</w:t>
            </w:r>
          </w:p>
        </w:tc>
        <w:tc>
          <w:tcPr>
            <w:tcW w:w="535" w:type="dxa"/>
            <w:shd w:val="clear" w:color="auto" w:fill="EBF1DD"/>
            <w:tcMar>
              <w:top w:w="15" w:type="dxa"/>
              <w:left w:w="15" w:type="dxa"/>
              <w:bottom w:w="15" w:type="dxa"/>
              <w:right w:w="15" w:type="dxa"/>
            </w:tcMar>
            <w:vAlign w:val="center"/>
          </w:tcPr>
          <w:p w14:paraId="41F2362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India</w:t>
            </w:r>
          </w:p>
        </w:tc>
        <w:tc>
          <w:tcPr>
            <w:tcW w:w="570" w:type="dxa"/>
            <w:shd w:val="clear" w:color="auto" w:fill="EBF1DD"/>
            <w:tcMar>
              <w:top w:w="15" w:type="dxa"/>
              <w:left w:w="15" w:type="dxa"/>
              <w:bottom w:w="15" w:type="dxa"/>
              <w:right w:w="15" w:type="dxa"/>
            </w:tcMar>
            <w:vAlign w:val="center"/>
          </w:tcPr>
          <w:p w14:paraId="3DC22525"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Lower-Middle-Income Country</w:t>
            </w:r>
          </w:p>
        </w:tc>
        <w:tc>
          <w:tcPr>
            <w:tcW w:w="864" w:type="dxa"/>
            <w:shd w:val="clear" w:color="auto" w:fill="EBF1DD"/>
            <w:tcMar>
              <w:top w:w="15" w:type="dxa"/>
              <w:left w:w="15" w:type="dxa"/>
              <w:bottom w:w="15" w:type="dxa"/>
              <w:right w:w="15" w:type="dxa"/>
            </w:tcMar>
            <w:vAlign w:val="center"/>
          </w:tcPr>
          <w:p w14:paraId="12C93B8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Mixed-methods case study using stakeholder interviews and chatbot user data.</w:t>
            </w:r>
          </w:p>
        </w:tc>
        <w:tc>
          <w:tcPr>
            <w:tcW w:w="1096" w:type="dxa"/>
            <w:shd w:val="clear" w:color="auto" w:fill="EBF1DD"/>
            <w:tcMar>
              <w:top w:w="15" w:type="dxa"/>
              <w:left w:w="15" w:type="dxa"/>
              <w:bottom w:w="15" w:type="dxa"/>
              <w:right w:w="15" w:type="dxa"/>
            </w:tcMar>
            <w:vAlign w:val="center"/>
          </w:tcPr>
          <w:p w14:paraId="46CA582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135,263 chatbot users; 93% were male, 6.8% female, and 0.2% unknown. The study also analysed 15,000 free-text queries and included institutional stakeholders.</w:t>
            </w:r>
          </w:p>
        </w:tc>
        <w:tc>
          <w:tcPr>
            <w:tcW w:w="941" w:type="dxa"/>
            <w:shd w:val="clear" w:color="auto" w:fill="EBF1DD"/>
            <w:tcMar>
              <w:top w:w="15" w:type="dxa"/>
              <w:left w:w="15" w:type="dxa"/>
              <w:bottom w:w="15" w:type="dxa"/>
              <w:right w:w="15" w:type="dxa"/>
            </w:tcMar>
            <w:vAlign w:val="center"/>
          </w:tcPr>
          <w:p w14:paraId="6E7FDB64"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Adolescent sexual and reproductive health, family planning, female reproductive health, adolescent mental health, and social issues such as child marriage and gender equality.</w:t>
            </w:r>
          </w:p>
        </w:tc>
        <w:tc>
          <w:tcPr>
            <w:tcW w:w="1141" w:type="dxa"/>
            <w:shd w:val="clear" w:color="auto" w:fill="EBF1DD"/>
            <w:tcMar>
              <w:top w:w="15" w:type="dxa"/>
              <w:left w:w="15" w:type="dxa"/>
              <w:bottom w:w="15" w:type="dxa"/>
              <w:right w:w="15" w:type="dxa"/>
            </w:tcMar>
            <w:vAlign w:val="center"/>
          </w:tcPr>
          <w:p w14:paraId="6135457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Hybrid AI chatbot using NLP through Microsoft Azure LUIS and Regular Expressions. It was bilingual and used “Hinglish.”</w:t>
            </w:r>
          </w:p>
        </w:tc>
        <w:tc>
          <w:tcPr>
            <w:tcW w:w="970" w:type="dxa"/>
            <w:shd w:val="clear" w:color="auto" w:fill="EBF1DD"/>
            <w:tcMar>
              <w:top w:w="15" w:type="dxa"/>
              <w:left w:w="15" w:type="dxa"/>
              <w:bottom w:w="15" w:type="dxa"/>
              <w:right w:w="15" w:type="dxa"/>
            </w:tcMar>
            <w:vAlign w:val="center"/>
          </w:tcPr>
          <w:p w14:paraId="52C72ADC"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Provided health education through text, audio, videos, stories, quizzes, and games.</w:t>
            </w:r>
          </w:p>
        </w:tc>
        <w:tc>
          <w:tcPr>
            <w:tcW w:w="942" w:type="dxa"/>
            <w:shd w:val="clear" w:color="auto" w:fill="EBF1DD"/>
            <w:tcMar>
              <w:top w:w="15" w:type="dxa"/>
              <w:left w:w="15" w:type="dxa"/>
              <w:bottom w:w="15" w:type="dxa"/>
              <w:right w:w="15" w:type="dxa"/>
            </w:tcMar>
            <w:vAlign w:val="center"/>
          </w:tcPr>
          <w:p w14:paraId="3F1E96E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Allowed private free-text questions and structured quick replies. It also directed users to national health and gender-based violence helplines.</w:t>
            </w:r>
          </w:p>
        </w:tc>
        <w:tc>
          <w:tcPr>
            <w:tcW w:w="1047" w:type="dxa"/>
            <w:shd w:val="clear" w:color="auto" w:fill="EBF1DD"/>
            <w:tcMar>
              <w:top w:w="15" w:type="dxa"/>
              <w:left w:w="15" w:type="dxa"/>
              <w:bottom w:w="15" w:type="dxa"/>
              <w:right w:w="15" w:type="dxa"/>
            </w:tcMar>
            <w:vAlign w:val="center"/>
          </w:tcPr>
          <w:p w14:paraId="303580B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Facebook Messenger</w:t>
            </w:r>
          </w:p>
        </w:tc>
        <w:tc>
          <w:tcPr>
            <w:tcW w:w="1090" w:type="dxa"/>
            <w:shd w:val="clear" w:color="auto" w:fill="EBF1DD"/>
            <w:tcMar>
              <w:top w:w="15" w:type="dxa"/>
              <w:left w:w="15" w:type="dxa"/>
              <w:bottom w:w="15" w:type="dxa"/>
              <w:right w:w="15" w:type="dxa"/>
            </w:tcMar>
            <w:vAlign w:val="center"/>
          </w:tcPr>
          <w:p w14:paraId="573CB3E3"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The chatbot recorded 8,170,879 messages over 5 months. Users exchanged an average of 56.2 messages and spent 7.6 minutes on the chatbot. Most queries were about safe sex, adolescent sexual health, female reproductive health, family planning, social determinants, and mental health. The user base was mostly male. The chatbot showed useful features such as accessibility, interactivity, scalability, inclusivity, and connectivity.</w:t>
            </w:r>
          </w:p>
        </w:tc>
      </w:tr>
      <w:tr w:rsidR="00A27873" w14:paraId="2FE182B1" w14:textId="77777777">
        <w:trPr>
          <w:tblCellSpacing w:w="15" w:type="dxa"/>
          <w:jc w:val="center"/>
        </w:trPr>
        <w:tc>
          <w:tcPr>
            <w:tcW w:w="498" w:type="dxa"/>
            <w:shd w:val="clear" w:color="auto" w:fill="FFFFFF"/>
            <w:tcMar>
              <w:top w:w="15" w:type="dxa"/>
              <w:left w:w="15" w:type="dxa"/>
              <w:bottom w:w="15" w:type="dxa"/>
              <w:right w:w="15" w:type="dxa"/>
            </w:tcMar>
            <w:vAlign w:val="center"/>
          </w:tcPr>
          <w:p w14:paraId="3B32B47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Pupong et al. (2022)</w:t>
            </w:r>
          </w:p>
        </w:tc>
        <w:tc>
          <w:tcPr>
            <w:tcW w:w="535" w:type="dxa"/>
            <w:shd w:val="clear" w:color="auto" w:fill="FFFFFF"/>
            <w:tcMar>
              <w:top w:w="15" w:type="dxa"/>
              <w:left w:w="15" w:type="dxa"/>
              <w:bottom w:w="15" w:type="dxa"/>
              <w:right w:w="15" w:type="dxa"/>
            </w:tcMar>
            <w:vAlign w:val="center"/>
          </w:tcPr>
          <w:p w14:paraId="0F00C5E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Thailand</w:t>
            </w:r>
          </w:p>
        </w:tc>
        <w:tc>
          <w:tcPr>
            <w:tcW w:w="570" w:type="dxa"/>
            <w:shd w:val="clear" w:color="auto" w:fill="FFFFFF"/>
            <w:tcMar>
              <w:top w:w="15" w:type="dxa"/>
              <w:left w:w="15" w:type="dxa"/>
              <w:bottom w:w="15" w:type="dxa"/>
              <w:right w:w="15" w:type="dxa"/>
            </w:tcMar>
            <w:vAlign w:val="center"/>
          </w:tcPr>
          <w:p w14:paraId="7FAF944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Upper-Middle-Income Country</w:t>
            </w:r>
          </w:p>
        </w:tc>
        <w:tc>
          <w:tcPr>
            <w:tcW w:w="864" w:type="dxa"/>
            <w:shd w:val="clear" w:color="auto" w:fill="FFFFFF"/>
            <w:tcMar>
              <w:top w:w="15" w:type="dxa"/>
              <w:left w:w="15" w:type="dxa"/>
              <w:bottom w:w="15" w:type="dxa"/>
              <w:right w:w="15" w:type="dxa"/>
            </w:tcMar>
            <w:vAlign w:val="center"/>
          </w:tcPr>
          <w:p w14:paraId="0FA188F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Mixed-methods evaluation using pre-post assessment, chatbot logfiles, </w:t>
            </w:r>
            <w:r>
              <w:rPr>
                <w:rFonts w:ascii="Times New Roman" w:eastAsia="Times New Roman" w:hAnsi="Times New Roman" w:cs="Times New Roman"/>
                <w:color w:val="000000"/>
                <w:sz w:val="18"/>
                <w:szCs w:val="18"/>
                <w:lang w:bidi="ar"/>
              </w:rPr>
              <w:lastRenderedPageBreak/>
              <w:t>feedback, and interviews.</w:t>
            </w:r>
          </w:p>
        </w:tc>
        <w:tc>
          <w:tcPr>
            <w:tcW w:w="1096" w:type="dxa"/>
            <w:shd w:val="clear" w:color="auto" w:fill="FFFFFF"/>
            <w:tcMar>
              <w:top w:w="15" w:type="dxa"/>
              <w:left w:w="15" w:type="dxa"/>
              <w:bottom w:w="15" w:type="dxa"/>
              <w:right w:w="15" w:type="dxa"/>
            </w:tcMar>
            <w:vAlign w:val="center"/>
          </w:tcPr>
          <w:p w14:paraId="2C07CBA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58 caregivers were evaluated after 66 were initially enrolled. Most were mothers. The mean </w:t>
            </w:r>
            <w:r>
              <w:rPr>
                <w:rFonts w:ascii="Times New Roman" w:eastAsia="Times New Roman" w:hAnsi="Times New Roman" w:cs="Times New Roman"/>
                <w:color w:val="000000"/>
                <w:sz w:val="18"/>
                <w:szCs w:val="18"/>
                <w:lang w:bidi="ar"/>
              </w:rPr>
              <w:lastRenderedPageBreak/>
              <w:t>caregiver age was 34.5 years, and the mean child age was 20.9 months. Fifteen caregivers were interviewed.</w:t>
            </w:r>
          </w:p>
        </w:tc>
        <w:tc>
          <w:tcPr>
            <w:tcW w:w="941" w:type="dxa"/>
            <w:shd w:val="clear" w:color="auto" w:fill="FFFFFF"/>
            <w:tcMar>
              <w:top w:w="15" w:type="dxa"/>
              <w:left w:w="15" w:type="dxa"/>
              <w:bottom w:w="15" w:type="dxa"/>
              <w:right w:w="15" w:type="dxa"/>
            </w:tcMar>
            <w:vAlign w:val="center"/>
          </w:tcPr>
          <w:p w14:paraId="62F36A9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Pediatric oral health, prevention of early childhood dental caries, tooth-</w:t>
            </w:r>
            <w:r>
              <w:rPr>
                <w:rFonts w:ascii="Times New Roman" w:eastAsia="Times New Roman" w:hAnsi="Times New Roman" w:cs="Times New Roman"/>
                <w:color w:val="000000"/>
                <w:sz w:val="18"/>
                <w:szCs w:val="18"/>
                <w:lang w:bidi="ar"/>
              </w:rPr>
              <w:lastRenderedPageBreak/>
              <w:t>brushing practices, and dietary sugar control.</w:t>
            </w:r>
          </w:p>
        </w:tc>
        <w:tc>
          <w:tcPr>
            <w:tcW w:w="1141" w:type="dxa"/>
            <w:shd w:val="clear" w:color="auto" w:fill="FFFFFF"/>
            <w:tcMar>
              <w:top w:w="15" w:type="dxa"/>
              <w:left w:w="15" w:type="dxa"/>
              <w:bottom w:w="15" w:type="dxa"/>
              <w:right w:w="15" w:type="dxa"/>
            </w:tcMar>
            <w:vAlign w:val="center"/>
          </w:tcPr>
          <w:p w14:paraId="72033EE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Frame-based AI behaviour change chatbot called “30-Day FunDee,” with an animated dentist avatar named “Dr. </w:t>
            </w:r>
            <w:r>
              <w:rPr>
                <w:rFonts w:ascii="Times New Roman" w:eastAsia="Times New Roman" w:hAnsi="Times New Roman" w:cs="Times New Roman"/>
                <w:color w:val="000000"/>
                <w:sz w:val="18"/>
                <w:szCs w:val="18"/>
                <w:lang w:bidi="ar"/>
              </w:rPr>
              <w:lastRenderedPageBreak/>
              <w:t>Pin.”</w:t>
            </w:r>
          </w:p>
        </w:tc>
        <w:tc>
          <w:tcPr>
            <w:tcW w:w="970" w:type="dxa"/>
            <w:shd w:val="clear" w:color="auto" w:fill="FFFFFF"/>
            <w:tcMar>
              <w:top w:w="15" w:type="dxa"/>
              <w:left w:w="15" w:type="dxa"/>
              <w:bottom w:w="15" w:type="dxa"/>
              <w:right w:w="15" w:type="dxa"/>
            </w:tcMar>
            <w:vAlign w:val="center"/>
          </w:tcPr>
          <w:p w14:paraId="3BD9F1F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Delivered a 30-day oral health curriculum using simple text, images, infographics, animations, </w:t>
            </w:r>
            <w:r>
              <w:rPr>
                <w:rFonts w:ascii="Times New Roman" w:eastAsia="Times New Roman" w:hAnsi="Times New Roman" w:cs="Times New Roman"/>
                <w:color w:val="000000"/>
                <w:sz w:val="18"/>
                <w:szCs w:val="18"/>
                <w:lang w:bidi="ar"/>
              </w:rPr>
              <w:lastRenderedPageBreak/>
              <w:t>songs, and videos.</w:t>
            </w:r>
          </w:p>
        </w:tc>
        <w:tc>
          <w:tcPr>
            <w:tcW w:w="942" w:type="dxa"/>
            <w:shd w:val="clear" w:color="auto" w:fill="FFFFFF"/>
            <w:tcMar>
              <w:top w:w="15" w:type="dxa"/>
              <w:left w:w="15" w:type="dxa"/>
              <w:bottom w:w="15" w:type="dxa"/>
              <w:right w:w="15" w:type="dxa"/>
            </w:tcMar>
            <w:vAlign w:val="center"/>
          </w:tcPr>
          <w:p w14:paraId="6B8F3A6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Sent automated messages, used friendly and supportive dialogue, remembered </w:t>
            </w:r>
            <w:r>
              <w:rPr>
                <w:rFonts w:ascii="Times New Roman" w:eastAsia="Times New Roman" w:hAnsi="Times New Roman" w:cs="Times New Roman"/>
                <w:color w:val="000000"/>
                <w:sz w:val="18"/>
                <w:szCs w:val="18"/>
                <w:lang w:bidi="ar"/>
              </w:rPr>
              <w:lastRenderedPageBreak/>
              <w:t>user details, and supported child dental plaque self-assessment.</w:t>
            </w:r>
          </w:p>
        </w:tc>
        <w:tc>
          <w:tcPr>
            <w:tcW w:w="1047" w:type="dxa"/>
            <w:shd w:val="clear" w:color="auto" w:fill="FFFFFF"/>
            <w:tcMar>
              <w:top w:w="15" w:type="dxa"/>
              <w:left w:w="15" w:type="dxa"/>
              <w:bottom w:w="15" w:type="dxa"/>
              <w:right w:w="15" w:type="dxa"/>
            </w:tcMar>
            <w:vAlign w:val="center"/>
          </w:tcPr>
          <w:p w14:paraId="19915ED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Facebook Messenger, developed with Chatfuel.</w:t>
            </w:r>
          </w:p>
        </w:tc>
        <w:tc>
          <w:tcPr>
            <w:tcW w:w="1090" w:type="dxa"/>
            <w:shd w:val="clear" w:color="auto" w:fill="FFFFFF"/>
            <w:tcMar>
              <w:top w:w="15" w:type="dxa"/>
              <w:left w:w="15" w:type="dxa"/>
              <w:bottom w:w="15" w:type="dxa"/>
              <w:right w:w="15" w:type="dxa"/>
            </w:tcMar>
            <w:vAlign w:val="center"/>
          </w:tcPr>
          <w:p w14:paraId="75515D2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Oral health behaviours improved after 2 months, including caregiver tooth </w:t>
            </w:r>
            <w:r>
              <w:rPr>
                <w:rFonts w:ascii="Times New Roman" w:eastAsia="Times New Roman" w:hAnsi="Times New Roman" w:cs="Times New Roman"/>
                <w:color w:val="000000"/>
                <w:sz w:val="18"/>
                <w:szCs w:val="18"/>
                <w:lang w:bidi="ar"/>
              </w:rPr>
              <w:lastRenderedPageBreak/>
              <w:t>brushing, brushing twice daily, fluoride toothpaste use, and correct toothpaste amount. Protection Motivation Theory scores also improved, especially perceived severity, response efficacy, and self-efficacy. Usability and satisfaction were high, with an overall satisfaction score of 4.7/5. About 32.8% completed the full programme. Users liked the empathetic dialogue and multimedia content, but the 30-day duration and platform messaging were reported as barriers.</w:t>
            </w:r>
          </w:p>
        </w:tc>
      </w:tr>
      <w:tr w:rsidR="00A27873" w14:paraId="65D48BEB" w14:textId="77777777">
        <w:trPr>
          <w:tblCellSpacing w:w="15" w:type="dxa"/>
          <w:jc w:val="center"/>
        </w:trPr>
        <w:tc>
          <w:tcPr>
            <w:tcW w:w="498" w:type="dxa"/>
            <w:shd w:val="clear" w:color="auto" w:fill="EBF1DD"/>
            <w:tcMar>
              <w:top w:w="15" w:type="dxa"/>
              <w:left w:w="15" w:type="dxa"/>
              <w:bottom w:w="15" w:type="dxa"/>
              <w:right w:w="15" w:type="dxa"/>
            </w:tcMar>
            <w:vAlign w:val="center"/>
          </w:tcPr>
          <w:p w14:paraId="2B953ACB"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Mudzengi et al. (2023–2025)</w:t>
            </w:r>
          </w:p>
        </w:tc>
        <w:tc>
          <w:tcPr>
            <w:tcW w:w="535" w:type="dxa"/>
            <w:shd w:val="clear" w:color="auto" w:fill="EBF1DD"/>
            <w:tcMar>
              <w:top w:w="15" w:type="dxa"/>
              <w:left w:w="15" w:type="dxa"/>
              <w:bottom w:w="15" w:type="dxa"/>
              <w:right w:w="15" w:type="dxa"/>
            </w:tcMar>
            <w:vAlign w:val="center"/>
          </w:tcPr>
          <w:p w14:paraId="2318E68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South Africa</w:t>
            </w:r>
          </w:p>
        </w:tc>
        <w:tc>
          <w:tcPr>
            <w:tcW w:w="570" w:type="dxa"/>
            <w:shd w:val="clear" w:color="auto" w:fill="EBF1DD"/>
            <w:tcMar>
              <w:top w:w="15" w:type="dxa"/>
              <w:left w:w="15" w:type="dxa"/>
              <w:bottom w:w="15" w:type="dxa"/>
              <w:right w:w="15" w:type="dxa"/>
            </w:tcMar>
            <w:vAlign w:val="center"/>
          </w:tcPr>
          <w:p w14:paraId="5756E48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Upper-Middle-Income Country</w:t>
            </w:r>
          </w:p>
        </w:tc>
        <w:tc>
          <w:tcPr>
            <w:tcW w:w="864" w:type="dxa"/>
            <w:shd w:val="clear" w:color="auto" w:fill="EBF1DD"/>
            <w:tcMar>
              <w:top w:w="15" w:type="dxa"/>
              <w:left w:w="15" w:type="dxa"/>
              <w:bottom w:w="15" w:type="dxa"/>
              <w:right w:w="15" w:type="dxa"/>
            </w:tcMar>
            <w:vAlign w:val="center"/>
          </w:tcPr>
          <w:p w14:paraId="657ABE5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Digital health design and development study using a 7-phase Design Thinking framework. The chatbot was part of the CUT-TB trial.</w:t>
            </w:r>
          </w:p>
        </w:tc>
        <w:tc>
          <w:tcPr>
            <w:tcW w:w="1096" w:type="dxa"/>
            <w:shd w:val="clear" w:color="auto" w:fill="EBF1DD"/>
            <w:tcMar>
              <w:top w:w="15" w:type="dxa"/>
              <w:left w:w="15" w:type="dxa"/>
              <w:bottom w:w="15" w:type="dxa"/>
              <w:right w:w="15" w:type="dxa"/>
            </w:tcMar>
            <w:vAlign w:val="center"/>
          </w:tcPr>
          <w:p w14:paraId="6284A33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Household contacts of TB patients in Ekurhuleni District, Gauteng Province. By May 2024, 51 users had been onboarded; after excluding 5 internal testers, 46 were included in the survey pool.</w:t>
            </w:r>
          </w:p>
        </w:tc>
        <w:tc>
          <w:tcPr>
            <w:tcW w:w="941" w:type="dxa"/>
            <w:shd w:val="clear" w:color="auto" w:fill="EBF1DD"/>
            <w:tcMar>
              <w:top w:w="15" w:type="dxa"/>
              <w:left w:w="15" w:type="dxa"/>
              <w:bottom w:w="15" w:type="dxa"/>
              <w:right w:w="15" w:type="dxa"/>
            </w:tcMar>
            <w:vAlign w:val="center"/>
          </w:tcPr>
          <w:p w14:paraId="212BA3BB"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TB test result notification, linkage to care, Tuberculosis Preventive Treatment initiation, and adherence support.</w:t>
            </w:r>
          </w:p>
        </w:tc>
        <w:tc>
          <w:tcPr>
            <w:tcW w:w="1141" w:type="dxa"/>
            <w:shd w:val="clear" w:color="auto" w:fill="EBF1DD"/>
            <w:tcMar>
              <w:top w:w="15" w:type="dxa"/>
              <w:left w:w="15" w:type="dxa"/>
              <w:bottom w:w="15" w:type="dxa"/>
              <w:right w:w="15" w:type="dxa"/>
            </w:tcMar>
            <w:vAlign w:val="center"/>
          </w:tcPr>
          <w:p w14:paraId="1F99B09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Rule-based automated chatbot called “Shesha,” formerly “eCase Manager,” based on the Health Belief Model.</w:t>
            </w:r>
          </w:p>
        </w:tc>
        <w:tc>
          <w:tcPr>
            <w:tcW w:w="970" w:type="dxa"/>
            <w:shd w:val="clear" w:color="auto" w:fill="EBF1DD"/>
            <w:tcMar>
              <w:top w:w="15" w:type="dxa"/>
              <w:left w:w="15" w:type="dxa"/>
              <w:bottom w:w="15" w:type="dxa"/>
              <w:right w:w="15" w:type="dxa"/>
            </w:tcMar>
            <w:vAlign w:val="center"/>
          </w:tcPr>
          <w:p w14:paraId="690B161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Provided text-based TB education tailored by age and gender. It addressed perceived TB risk, severity, and benefits of preventive treatment.</w:t>
            </w:r>
          </w:p>
        </w:tc>
        <w:tc>
          <w:tcPr>
            <w:tcW w:w="942" w:type="dxa"/>
            <w:shd w:val="clear" w:color="auto" w:fill="EBF1DD"/>
            <w:tcMar>
              <w:top w:w="15" w:type="dxa"/>
              <w:left w:w="15" w:type="dxa"/>
              <w:bottom w:w="15" w:type="dxa"/>
              <w:right w:w="15" w:type="dxa"/>
            </w:tcMar>
            <w:vAlign w:val="center"/>
          </w:tcPr>
          <w:p w14:paraId="700DB13B"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Sent and received automated messages, delivered test results, tracked clinic scheduling, used PIN protection for privacy, and alerted a human case manager after 3 nonresponses.</w:t>
            </w:r>
          </w:p>
        </w:tc>
        <w:tc>
          <w:tcPr>
            <w:tcW w:w="1047" w:type="dxa"/>
            <w:shd w:val="clear" w:color="auto" w:fill="EBF1DD"/>
            <w:tcMar>
              <w:top w:w="15" w:type="dxa"/>
              <w:left w:w="15" w:type="dxa"/>
              <w:bottom w:w="15" w:type="dxa"/>
              <w:right w:w="15" w:type="dxa"/>
            </w:tcMar>
            <w:vAlign w:val="center"/>
          </w:tcPr>
          <w:p w14:paraId="019E34BC"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WhatsApp Business API, built with TextIt and connected through Turn.io. It was delivered in English and isiZulu.</w:t>
            </w:r>
          </w:p>
        </w:tc>
        <w:tc>
          <w:tcPr>
            <w:tcW w:w="1090" w:type="dxa"/>
            <w:shd w:val="clear" w:color="auto" w:fill="EBF1DD"/>
            <w:tcMar>
              <w:top w:w="15" w:type="dxa"/>
              <w:left w:w="15" w:type="dxa"/>
              <w:bottom w:w="15" w:type="dxa"/>
              <w:right w:w="15" w:type="dxa"/>
            </w:tcMar>
            <w:vAlign w:val="center"/>
          </w:tcPr>
          <w:p w14:paraId="668DC2A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Most respondents found the messages clear and the menus easy to use. All respondents who completed the relevant survey item said they would recommend it. However, survey dropout was high. Users reported reduced </w:t>
            </w:r>
            <w:r>
              <w:rPr>
                <w:rFonts w:ascii="Times New Roman" w:eastAsia="Times New Roman" w:hAnsi="Times New Roman" w:cs="Times New Roman"/>
                <w:color w:val="000000"/>
                <w:sz w:val="18"/>
                <w:szCs w:val="18"/>
                <w:lang w:bidi="ar"/>
              </w:rPr>
              <w:lastRenderedPageBreak/>
              <w:t>anxiety about clinic visits and treatment initiation. Some technical issues occurred during rollout, including workflow freezes, duplicate messages, missing prompts, and missing alert details. Economic costing estimated a 19-month cost of US$142,754 and annual operating costs of US$90,160.</w:t>
            </w:r>
          </w:p>
        </w:tc>
      </w:tr>
      <w:tr w:rsidR="00A27873" w14:paraId="49451367" w14:textId="77777777">
        <w:trPr>
          <w:tblCellSpacing w:w="15" w:type="dxa"/>
          <w:jc w:val="center"/>
        </w:trPr>
        <w:tc>
          <w:tcPr>
            <w:tcW w:w="498" w:type="dxa"/>
            <w:shd w:val="clear" w:color="auto" w:fill="FFFFFF"/>
            <w:tcMar>
              <w:top w:w="15" w:type="dxa"/>
              <w:left w:w="15" w:type="dxa"/>
              <w:bottom w:w="15" w:type="dxa"/>
              <w:right w:w="15" w:type="dxa"/>
            </w:tcMar>
            <w:vAlign w:val="center"/>
          </w:tcPr>
          <w:p w14:paraId="4932520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Mash et al. (2022)</w:t>
            </w:r>
          </w:p>
        </w:tc>
        <w:tc>
          <w:tcPr>
            <w:tcW w:w="535" w:type="dxa"/>
            <w:shd w:val="clear" w:color="auto" w:fill="FFFFFF"/>
            <w:tcMar>
              <w:top w:w="15" w:type="dxa"/>
              <w:left w:w="15" w:type="dxa"/>
              <w:bottom w:w="15" w:type="dxa"/>
              <w:right w:w="15" w:type="dxa"/>
            </w:tcMar>
            <w:vAlign w:val="center"/>
          </w:tcPr>
          <w:p w14:paraId="65CBD33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South Africa</w:t>
            </w:r>
          </w:p>
        </w:tc>
        <w:tc>
          <w:tcPr>
            <w:tcW w:w="570" w:type="dxa"/>
            <w:shd w:val="clear" w:color="auto" w:fill="FFFFFF"/>
            <w:tcMar>
              <w:top w:w="15" w:type="dxa"/>
              <w:left w:w="15" w:type="dxa"/>
              <w:bottom w:w="15" w:type="dxa"/>
              <w:right w:w="15" w:type="dxa"/>
            </w:tcMar>
            <w:vAlign w:val="center"/>
          </w:tcPr>
          <w:p w14:paraId="1845906B"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Upper-Middle-Income Country</w:t>
            </w:r>
          </w:p>
        </w:tc>
        <w:tc>
          <w:tcPr>
            <w:tcW w:w="864" w:type="dxa"/>
            <w:shd w:val="clear" w:color="auto" w:fill="FFFFFF"/>
            <w:tcMar>
              <w:top w:w="15" w:type="dxa"/>
              <w:left w:w="15" w:type="dxa"/>
              <w:bottom w:w="15" w:type="dxa"/>
              <w:right w:w="15" w:type="dxa"/>
            </w:tcMar>
            <w:vAlign w:val="center"/>
          </w:tcPr>
          <w:p w14:paraId="738D233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Mixed-methods implementation evaluation using chatbot data, user surveys, and interviews with healthcare stakeholders.</w:t>
            </w:r>
          </w:p>
        </w:tc>
        <w:tc>
          <w:tcPr>
            <w:tcW w:w="1096" w:type="dxa"/>
            <w:shd w:val="clear" w:color="auto" w:fill="FFFFFF"/>
            <w:tcMar>
              <w:top w:w="15" w:type="dxa"/>
              <w:left w:w="15" w:type="dxa"/>
              <w:bottom w:w="15" w:type="dxa"/>
              <w:right w:w="15" w:type="dxa"/>
            </w:tcMar>
            <w:vAlign w:val="center"/>
          </w:tcPr>
          <w:p w14:paraId="7E364A5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Public-sector users in the Northern Tygerberg Substructure, Cape Town. A total of 8,158 users landed on the platform, 4,577 proceeded to interactive messages, and 533–575 completed active programme endpoints. Twenty-three stakeholders were interviewed.</w:t>
            </w:r>
          </w:p>
        </w:tc>
        <w:tc>
          <w:tcPr>
            <w:tcW w:w="941" w:type="dxa"/>
            <w:shd w:val="clear" w:color="auto" w:fill="FFFFFF"/>
            <w:tcMar>
              <w:top w:w="15" w:type="dxa"/>
              <w:left w:w="15" w:type="dxa"/>
              <w:bottom w:w="15" w:type="dxa"/>
              <w:right w:w="15" w:type="dxa"/>
            </w:tcMar>
            <w:vAlign w:val="center"/>
          </w:tcPr>
          <w:p w14:paraId="527E96F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Type 2 diabetes self-management, lifestyle coaching, and COVID-19 prevention during lockdowns.</w:t>
            </w:r>
          </w:p>
        </w:tc>
        <w:tc>
          <w:tcPr>
            <w:tcW w:w="1141" w:type="dxa"/>
            <w:shd w:val="clear" w:color="auto" w:fill="FFFFFF"/>
            <w:tcMar>
              <w:top w:w="15" w:type="dxa"/>
              <w:left w:w="15" w:type="dxa"/>
              <w:bottom w:w="15" w:type="dxa"/>
              <w:right w:w="15" w:type="dxa"/>
            </w:tcMar>
            <w:vAlign w:val="center"/>
          </w:tcPr>
          <w:p w14:paraId="1A51B05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Rule-based sequential chatbot called “GREAT4Diabetes,” adapted from the national GREAT diabetes education curriculum.</w:t>
            </w:r>
          </w:p>
        </w:tc>
        <w:tc>
          <w:tcPr>
            <w:tcW w:w="970" w:type="dxa"/>
            <w:shd w:val="clear" w:color="auto" w:fill="FFFFFF"/>
            <w:tcMar>
              <w:top w:w="15" w:type="dxa"/>
              <w:left w:w="15" w:type="dxa"/>
              <w:bottom w:w="15" w:type="dxa"/>
              <w:right w:w="15" w:type="dxa"/>
            </w:tcMar>
            <w:vAlign w:val="center"/>
          </w:tcPr>
          <w:p w14:paraId="57BD8E5F"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Delivered 16 audio-based diabetes education messages with supporting images and simple text. Content covered diabetes, diet, medication, complications, foot care, and mental health. It was delivered in English, Afrikaans, and isiXhosa.</w:t>
            </w:r>
          </w:p>
        </w:tc>
        <w:tc>
          <w:tcPr>
            <w:tcW w:w="942" w:type="dxa"/>
            <w:shd w:val="clear" w:color="auto" w:fill="FFFFFF"/>
            <w:tcMar>
              <w:top w:w="15" w:type="dxa"/>
              <w:left w:w="15" w:type="dxa"/>
              <w:bottom w:w="15" w:type="dxa"/>
              <w:right w:w="15" w:type="dxa"/>
            </w:tcMar>
            <w:vAlign w:val="center"/>
          </w:tcPr>
          <w:p w14:paraId="4A7ADD7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Used automated push-pull messaging. Users had to respond after each message before receiving the next one. The system also collected user feedback and opt-out reasons.</w:t>
            </w:r>
          </w:p>
        </w:tc>
        <w:tc>
          <w:tcPr>
            <w:tcW w:w="1047" w:type="dxa"/>
            <w:shd w:val="clear" w:color="auto" w:fill="FFFFFF"/>
            <w:tcMar>
              <w:top w:w="15" w:type="dxa"/>
              <w:left w:w="15" w:type="dxa"/>
              <w:bottom w:w="15" w:type="dxa"/>
              <w:right w:w="15" w:type="dxa"/>
            </w:tcMar>
            <w:vAlign w:val="center"/>
          </w:tcPr>
          <w:p w14:paraId="54CFAA25"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WhatsApp Business Interface API, built using Aviro Health. It was promoted through clinics, community health workers, home visits, radio, and television.</w:t>
            </w:r>
          </w:p>
        </w:tc>
        <w:tc>
          <w:tcPr>
            <w:tcW w:w="1090" w:type="dxa"/>
            <w:shd w:val="clear" w:color="auto" w:fill="FFFFFF"/>
            <w:tcMar>
              <w:top w:w="15" w:type="dxa"/>
              <w:left w:w="15" w:type="dxa"/>
              <w:bottom w:w="15" w:type="dxa"/>
              <w:right w:w="15" w:type="dxa"/>
            </w:tcMar>
            <w:vAlign w:val="center"/>
          </w:tcPr>
          <w:p w14:paraId="53DFC28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Of 8,158 users who landed on the platform, 4,577 consented to use it. Only 12.56% received all 16 messages. More than 90% of active users rated the messages as useful. Among active responders, 87.6% reported improved self-management confidence. Many users reported changes in diet, physical activity, medication adherence, stress management, and foot care. Technical problems occurred during large </w:t>
            </w:r>
            <w:r>
              <w:rPr>
                <w:rFonts w:ascii="Times New Roman" w:eastAsia="Times New Roman" w:hAnsi="Times New Roman" w:cs="Times New Roman"/>
                <w:color w:val="000000"/>
                <w:sz w:val="18"/>
                <w:szCs w:val="18"/>
                <w:lang w:bidi="ar"/>
              </w:rPr>
              <w:lastRenderedPageBreak/>
              <w:t>television-related user spikes. The total setup cost was US$16,876, and 6-month operational costs were US$30,607.</w:t>
            </w:r>
          </w:p>
        </w:tc>
      </w:tr>
      <w:tr w:rsidR="00A27873" w14:paraId="2EA8423E" w14:textId="77777777">
        <w:trPr>
          <w:tblCellSpacing w:w="15" w:type="dxa"/>
          <w:jc w:val="center"/>
        </w:trPr>
        <w:tc>
          <w:tcPr>
            <w:tcW w:w="498" w:type="dxa"/>
            <w:shd w:val="clear" w:color="auto" w:fill="EBF1DD"/>
            <w:tcMar>
              <w:top w:w="15" w:type="dxa"/>
              <w:left w:w="15" w:type="dxa"/>
              <w:bottom w:w="15" w:type="dxa"/>
              <w:right w:w="15" w:type="dxa"/>
            </w:tcMar>
            <w:vAlign w:val="center"/>
          </w:tcPr>
          <w:p w14:paraId="43D9844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Antia et al. (2025)</w:t>
            </w:r>
          </w:p>
        </w:tc>
        <w:tc>
          <w:tcPr>
            <w:tcW w:w="535" w:type="dxa"/>
            <w:shd w:val="clear" w:color="auto" w:fill="EBF1DD"/>
            <w:tcMar>
              <w:top w:w="15" w:type="dxa"/>
              <w:left w:w="15" w:type="dxa"/>
              <w:bottom w:w="15" w:type="dxa"/>
              <w:right w:w="15" w:type="dxa"/>
            </w:tcMar>
            <w:vAlign w:val="center"/>
          </w:tcPr>
          <w:p w14:paraId="72B3BEB3"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Nigeria</w:t>
            </w:r>
          </w:p>
        </w:tc>
        <w:tc>
          <w:tcPr>
            <w:tcW w:w="570" w:type="dxa"/>
            <w:shd w:val="clear" w:color="auto" w:fill="EBF1DD"/>
            <w:tcMar>
              <w:top w:w="15" w:type="dxa"/>
              <w:left w:w="15" w:type="dxa"/>
              <w:bottom w:w="15" w:type="dxa"/>
              <w:right w:w="15" w:type="dxa"/>
            </w:tcMar>
            <w:vAlign w:val="center"/>
          </w:tcPr>
          <w:p w14:paraId="0027A5E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Lower-Middle-Income Country</w:t>
            </w:r>
          </w:p>
        </w:tc>
        <w:tc>
          <w:tcPr>
            <w:tcW w:w="864" w:type="dxa"/>
            <w:shd w:val="clear" w:color="auto" w:fill="EBF1DD"/>
            <w:tcMar>
              <w:top w:w="15" w:type="dxa"/>
              <w:left w:w="15" w:type="dxa"/>
              <w:bottom w:w="15" w:type="dxa"/>
              <w:right w:w="15" w:type="dxa"/>
            </w:tcMar>
            <w:vAlign w:val="center"/>
          </w:tcPr>
          <w:p w14:paraId="4F8A888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Single-arm, non-blinded proof-of-concept clinical trial comparing baseline and 30-day follow-up outcomes.</w:t>
            </w:r>
          </w:p>
        </w:tc>
        <w:tc>
          <w:tcPr>
            <w:tcW w:w="1096" w:type="dxa"/>
            <w:shd w:val="clear" w:color="auto" w:fill="EBF1DD"/>
            <w:tcMar>
              <w:top w:w="15" w:type="dxa"/>
              <w:left w:w="15" w:type="dxa"/>
              <w:bottom w:w="15" w:type="dxa"/>
              <w:right w:w="15" w:type="dxa"/>
            </w:tcMar>
            <w:vAlign w:val="center"/>
          </w:tcPr>
          <w:p w14:paraId="00C2E23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50 adults receiving treatment for hypertension were recruited from 200 hypertensive clinic attendees. Two participants were lost to follow-up, leaving 48 evaluable participants. The mean age was 47.4 years. Age distribution was 25% below 40 years, 54.2% between 40 and 60 years, and 21.8% above 60 years. Most participants were male, with a male-to-female ratio of 3:2. Among the 48 evaluable participants, 60.4% were male, 39.6% were female, 18.8% were single, 81.3% were married, 83.3% had tertiary education, </w:t>
            </w:r>
            <w:r>
              <w:rPr>
                <w:rFonts w:ascii="Times New Roman" w:eastAsia="Times New Roman" w:hAnsi="Times New Roman" w:cs="Times New Roman"/>
                <w:color w:val="000000"/>
                <w:sz w:val="18"/>
                <w:szCs w:val="18"/>
                <w:lang w:bidi="ar"/>
              </w:rPr>
              <w:t xml:space="preserve">and 39.6% were on health insurance. Mean duration of hypertension diagnosis was 6.1 years, and </w:t>
            </w:r>
            <w:r>
              <w:rPr>
                <w:rFonts w:ascii="Times New Roman" w:eastAsia="Times New Roman" w:hAnsi="Times New Roman" w:cs="Times New Roman"/>
                <w:color w:val="000000"/>
                <w:sz w:val="18"/>
                <w:szCs w:val="18"/>
                <w:lang w:bidi="ar"/>
              </w:rPr>
              <w:lastRenderedPageBreak/>
              <w:t>70% had been diagnosed less than 10 years before the study.</w:t>
            </w:r>
          </w:p>
        </w:tc>
        <w:tc>
          <w:tcPr>
            <w:tcW w:w="941" w:type="dxa"/>
            <w:shd w:val="clear" w:color="auto" w:fill="EBF1DD"/>
            <w:tcMar>
              <w:top w:w="15" w:type="dxa"/>
              <w:left w:w="15" w:type="dxa"/>
              <w:bottom w:w="15" w:type="dxa"/>
              <w:right w:w="15" w:type="dxa"/>
            </w:tcMar>
            <w:vAlign w:val="center"/>
          </w:tcPr>
          <w:p w14:paraId="045A131C"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Hypertension self-care, cardiovascular risk reduction, lifestyle modification, medication adherence, and patient education.</w:t>
            </w:r>
          </w:p>
        </w:tc>
        <w:tc>
          <w:tcPr>
            <w:tcW w:w="1141" w:type="dxa"/>
            <w:shd w:val="clear" w:color="auto" w:fill="EBF1DD"/>
            <w:tcMar>
              <w:top w:w="15" w:type="dxa"/>
              <w:left w:w="15" w:type="dxa"/>
              <w:bottom w:w="15" w:type="dxa"/>
              <w:right w:w="15" w:type="dxa"/>
            </w:tcMar>
            <w:vAlign w:val="center"/>
          </w:tcPr>
          <w:p w14:paraId="735BCC2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Generative AI conversational chatbot called “Healthy Heart Assistant” (HHA), built using OpenAI’s GPT architecture.</w:t>
            </w:r>
          </w:p>
        </w:tc>
        <w:tc>
          <w:tcPr>
            <w:tcW w:w="970" w:type="dxa"/>
            <w:shd w:val="clear" w:color="auto" w:fill="EBF1DD"/>
            <w:tcMar>
              <w:top w:w="15" w:type="dxa"/>
              <w:left w:w="15" w:type="dxa"/>
              <w:bottom w:w="15" w:type="dxa"/>
              <w:right w:w="15" w:type="dxa"/>
            </w:tcMar>
            <w:vAlign w:val="center"/>
          </w:tcPr>
          <w:p w14:paraId="0353D69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Provided hypertension education, lifestyle coaching, symptom tracking, medication adherence support, and risk-based referral advice in English.</w:t>
            </w:r>
          </w:p>
        </w:tc>
        <w:tc>
          <w:tcPr>
            <w:tcW w:w="942" w:type="dxa"/>
            <w:shd w:val="clear" w:color="auto" w:fill="EBF1DD"/>
            <w:tcMar>
              <w:top w:w="15" w:type="dxa"/>
              <w:left w:w="15" w:type="dxa"/>
              <w:bottom w:w="15" w:type="dxa"/>
              <w:right w:w="15" w:type="dxa"/>
            </w:tcMar>
            <w:vAlign w:val="center"/>
          </w:tcPr>
          <w:p w14:paraId="28C230A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Supported two-way chatbot interaction, nurse-led onboarding, medication reminders, and outpatient appointment reminders.</w:t>
            </w:r>
          </w:p>
        </w:tc>
        <w:tc>
          <w:tcPr>
            <w:tcW w:w="1047" w:type="dxa"/>
            <w:shd w:val="clear" w:color="auto" w:fill="EBF1DD"/>
            <w:tcMar>
              <w:top w:w="15" w:type="dxa"/>
              <w:left w:w="15" w:type="dxa"/>
              <w:bottom w:w="15" w:type="dxa"/>
              <w:right w:w="15" w:type="dxa"/>
            </w:tcMar>
            <w:vAlign w:val="center"/>
          </w:tcPr>
          <w:p w14:paraId="42E3BD2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WhatsApp interface integration.</w:t>
            </w:r>
          </w:p>
        </w:tc>
        <w:tc>
          <w:tcPr>
            <w:tcW w:w="1090" w:type="dxa"/>
            <w:shd w:val="clear" w:color="auto" w:fill="EBF1DD"/>
            <w:tcMar>
              <w:top w:w="15" w:type="dxa"/>
              <w:left w:w="15" w:type="dxa"/>
              <w:bottom w:w="15" w:type="dxa"/>
              <w:right w:w="15" w:type="dxa"/>
            </w:tcMar>
            <w:vAlign w:val="center"/>
          </w:tcPr>
          <w:p w14:paraId="5EEECA8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Only 35% (70/200) of screened clinic attendees had internet-enabled, bot-compatible phones, and 85.7% (60/70) of those were active internet users. Of the 70 eligible patients, 50 were selected, and none declined participation. None of the participants had used a chatbot before. Mean training time was 5.7 minutes; 70.8% learned to use the chatbot within 5 minutes, and 90% could interact with it within 10 minutes. Median engagement was 51 chats over 30 days, with an IQR of 68.25 chats, equal to about 1.5 chat</w:t>
            </w:r>
            <w:r>
              <w:rPr>
                <w:rFonts w:ascii="Times New Roman" w:eastAsia="Times New Roman" w:hAnsi="Times New Roman" w:cs="Times New Roman"/>
                <w:color w:val="000000"/>
                <w:sz w:val="18"/>
                <w:szCs w:val="18"/>
                <w:lang w:bidi="ar"/>
              </w:rPr>
              <w:t xml:space="preserve">s per day. Most chats occurred in the first week. Usability was 69.5% using the Chatbot Usability Questionnaire, while </w:t>
            </w:r>
            <w:r>
              <w:rPr>
                <w:rFonts w:ascii="Times New Roman" w:eastAsia="Times New Roman" w:hAnsi="Times New Roman" w:cs="Times New Roman"/>
                <w:color w:val="000000"/>
                <w:sz w:val="18"/>
                <w:szCs w:val="18"/>
                <w:lang w:bidi="ar"/>
              </w:rPr>
              <w:lastRenderedPageBreak/>
              <w:t>satisfaction was 90% using the Healthy Heart Assistant Satisfaction Questionnaire. Hypertension knowledge improved from 60.25% to 64.10% (P&lt;.05), and medication adherence improved from 60% to 82.17% on the Visual Analog Scale (P&lt;.001). Mean systolic blood pressure decreased from 138.21 mmHg to 133.98 mmHg, while diastolic blood pressure decreased by about 1 mmHg; these blood pressure reduct</w:t>
            </w:r>
            <w:r>
              <w:rPr>
                <w:rFonts w:ascii="Times New Roman" w:eastAsia="Times New Roman" w:hAnsi="Times New Roman" w:cs="Times New Roman"/>
                <w:color w:val="000000"/>
                <w:sz w:val="18"/>
                <w:szCs w:val="18"/>
                <w:lang w:bidi="ar"/>
              </w:rPr>
              <w:t>ions were not statistically significant. Internet phone use was associated with younger age, urban residence, and tertiary education. Chat frequency was not associated with age, years since hypertension diagnosis, HKT score, CUQ score, blood pressure, or time to adapt to the chatbot.</w:t>
            </w:r>
          </w:p>
        </w:tc>
      </w:tr>
      <w:tr w:rsidR="00A27873" w14:paraId="62563083" w14:textId="77777777">
        <w:trPr>
          <w:tblCellSpacing w:w="15" w:type="dxa"/>
          <w:jc w:val="center"/>
        </w:trPr>
        <w:tc>
          <w:tcPr>
            <w:tcW w:w="498" w:type="dxa"/>
            <w:shd w:val="clear" w:color="auto" w:fill="FFFFFF"/>
            <w:tcMar>
              <w:top w:w="15" w:type="dxa"/>
              <w:left w:w="15" w:type="dxa"/>
              <w:bottom w:w="15" w:type="dxa"/>
              <w:right w:w="15" w:type="dxa"/>
            </w:tcMar>
            <w:vAlign w:val="center"/>
          </w:tcPr>
          <w:p w14:paraId="6531EFC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Ni et al. (2024)</w:t>
            </w:r>
          </w:p>
        </w:tc>
        <w:tc>
          <w:tcPr>
            <w:tcW w:w="535" w:type="dxa"/>
            <w:shd w:val="clear" w:color="auto" w:fill="FFFFFF"/>
            <w:tcMar>
              <w:top w:w="15" w:type="dxa"/>
              <w:left w:w="15" w:type="dxa"/>
              <w:bottom w:w="15" w:type="dxa"/>
              <w:right w:w="15" w:type="dxa"/>
            </w:tcMar>
            <w:vAlign w:val="center"/>
          </w:tcPr>
          <w:p w14:paraId="73AF4967"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Malaysia</w:t>
            </w:r>
          </w:p>
        </w:tc>
        <w:tc>
          <w:tcPr>
            <w:tcW w:w="570" w:type="dxa"/>
            <w:shd w:val="clear" w:color="auto" w:fill="FFFFFF"/>
            <w:tcMar>
              <w:top w:w="15" w:type="dxa"/>
              <w:left w:w="15" w:type="dxa"/>
              <w:bottom w:w="15" w:type="dxa"/>
              <w:right w:w="15" w:type="dxa"/>
            </w:tcMar>
            <w:vAlign w:val="center"/>
          </w:tcPr>
          <w:p w14:paraId="44C3EEEF"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Upper-Middle-Income </w:t>
            </w:r>
            <w:r>
              <w:rPr>
                <w:rFonts w:ascii="Times New Roman" w:eastAsia="Times New Roman" w:hAnsi="Times New Roman" w:cs="Times New Roman"/>
                <w:color w:val="000000"/>
                <w:sz w:val="18"/>
                <w:szCs w:val="18"/>
                <w:lang w:bidi="ar"/>
              </w:rPr>
              <w:lastRenderedPageBreak/>
              <w:t>Country</w:t>
            </w:r>
          </w:p>
        </w:tc>
        <w:tc>
          <w:tcPr>
            <w:tcW w:w="864" w:type="dxa"/>
            <w:shd w:val="clear" w:color="auto" w:fill="FFFFFF"/>
            <w:tcMar>
              <w:top w:w="15" w:type="dxa"/>
              <w:left w:w="15" w:type="dxa"/>
              <w:bottom w:w="15" w:type="dxa"/>
              <w:right w:w="15" w:type="dxa"/>
            </w:tcMar>
            <w:vAlign w:val="center"/>
          </w:tcPr>
          <w:p w14:paraId="7044AD0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National observational study evaluating </w:t>
            </w:r>
            <w:r>
              <w:rPr>
                <w:rFonts w:ascii="Times New Roman" w:eastAsia="Times New Roman" w:hAnsi="Times New Roman" w:cs="Times New Roman"/>
                <w:color w:val="000000"/>
                <w:sz w:val="18"/>
                <w:szCs w:val="18"/>
                <w:lang w:bidi="ar"/>
              </w:rPr>
              <w:lastRenderedPageBreak/>
              <w:t>the usability of a web-based AI chatbot.</w:t>
            </w:r>
          </w:p>
        </w:tc>
        <w:tc>
          <w:tcPr>
            <w:tcW w:w="1096" w:type="dxa"/>
            <w:shd w:val="clear" w:color="auto" w:fill="FFFFFF"/>
            <w:tcMar>
              <w:top w:w="15" w:type="dxa"/>
              <w:left w:w="15" w:type="dxa"/>
              <w:bottom w:w="15" w:type="dxa"/>
              <w:right w:w="15" w:type="dxa"/>
            </w:tcMar>
            <w:vAlign w:val="center"/>
          </w:tcPr>
          <w:p w14:paraId="6B2652FF"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334 men who have sex with men (MSM) living in </w:t>
            </w:r>
            <w:r>
              <w:rPr>
                <w:rFonts w:ascii="Times New Roman" w:eastAsia="Times New Roman" w:hAnsi="Times New Roman" w:cs="Times New Roman"/>
                <w:color w:val="000000"/>
                <w:sz w:val="18"/>
                <w:szCs w:val="18"/>
                <w:lang w:bidi="ar"/>
              </w:rPr>
              <w:lastRenderedPageBreak/>
              <w:t>Malaysia. Participants were recruited from August 28, 2023, to March 9, 2024, through community outreach and social-networking apps. Eligibility criteria included being older than 18 years, able to speak and read Bahasa Malaysia or English, and self-identifying as MSM. Participants living outside Malaysia were excluded.</w:t>
            </w:r>
          </w:p>
        </w:tc>
        <w:tc>
          <w:tcPr>
            <w:tcW w:w="941" w:type="dxa"/>
            <w:shd w:val="clear" w:color="auto" w:fill="FFFFFF"/>
            <w:tcMar>
              <w:top w:w="15" w:type="dxa"/>
              <w:left w:w="15" w:type="dxa"/>
              <w:bottom w:w="15" w:type="dxa"/>
              <w:right w:w="15" w:type="dxa"/>
            </w:tcMar>
            <w:vAlign w:val="center"/>
          </w:tcPr>
          <w:p w14:paraId="71BC1FB3"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HIV prevention, HIV self-testing, </w:t>
            </w:r>
            <w:r>
              <w:rPr>
                <w:rFonts w:ascii="Times New Roman" w:eastAsia="Times New Roman" w:hAnsi="Times New Roman" w:cs="Times New Roman"/>
                <w:color w:val="000000"/>
                <w:sz w:val="18"/>
                <w:szCs w:val="18"/>
                <w:lang w:bidi="ar"/>
              </w:rPr>
              <w:lastRenderedPageBreak/>
              <w:t>PrEP information, mental health support, depression screening, and access to MSM-friendly clinics.</w:t>
            </w:r>
          </w:p>
        </w:tc>
        <w:tc>
          <w:tcPr>
            <w:tcW w:w="1141" w:type="dxa"/>
            <w:shd w:val="clear" w:color="auto" w:fill="FFFFFF"/>
            <w:tcMar>
              <w:top w:w="15" w:type="dxa"/>
              <w:left w:w="15" w:type="dxa"/>
              <w:bottom w:w="15" w:type="dxa"/>
              <w:right w:w="15" w:type="dxa"/>
            </w:tcMar>
            <w:vAlign w:val="center"/>
          </w:tcPr>
          <w:p w14:paraId="096D5335"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Web-based AI chatbot embedded into the </w:t>
            </w:r>
            <w:r>
              <w:rPr>
                <w:rFonts w:ascii="Times New Roman" w:eastAsia="Times New Roman" w:hAnsi="Times New Roman" w:cs="Times New Roman"/>
                <w:color w:val="000000"/>
                <w:sz w:val="18"/>
                <w:szCs w:val="18"/>
                <w:lang w:bidi="ar"/>
              </w:rPr>
              <w:lastRenderedPageBreak/>
              <w:t>MYHIV365 website.</w:t>
            </w:r>
          </w:p>
        </w:tc>
        <w:tc>
          <w:tcPr>
            <w:tcW w:w="970" w:type="dxa"/>
            <w:shd w:val="clear" w:color="auto" w:fill="FFFFFF"/>
            <w:tcMar>
              <w:top w:w="15" w:type="dxa"/>
              <w:left w:w="15" w:type="dxa"/>
              <w:bottom w:w="15" w:type="dxa"/>
              <w:right w:w="15" w:type="dxa"/>
            </w:tcMar>
            <w:vAlign w:val="center"/>
          </w:tcPr>
          <w:p w14:paraId="6AE25C94"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Provided information on HIV, PrEP, and </w:t>
            </w:r>
            <w:r>
              <w:rPr>
                <w:rFonts w:ascii="Times New Roman" w:eastAsia="Times New Roman" w:hAnsi="Times New Roman" w:cs="Times New Roman"/>
                <w:color w:val="000000"/>
                <w:sz w:val="18"/>
                <w:szCs w:val="18"/>
                <w:lang w:bidi="ar"/>
              </w:rPr>
              <w:lastRenderedPageBreak/>
              <w:t>mental health. It also helped users access free HIV self-testing kits and provided details of MSM-friendly HIV, PrEP, and mental health clinics.</w:t>
            </w:r>
          </w:p>
        </w:tc>
        <w:tc>
          <w:tcPr>
            <w:tcW w:w="942" w:type="dxa"/>
            <w:shd w:val="clear" w:color="auto" w:fill="FFFFFF"/>
            <w:tcMar>
              <w:top w:w="15" w:type="dxa"/>
              <w:left w:w="15" w:type="dxa"/>
              <w:bottom w:w="15" w:type="dxa"/>
              <w:right w:w="15" w:type="dxa"/>
            </w:tcMar>
            <w:vAlign w:val="center"/>
          </w:tcPr>
          <w:p w14:paraId="1055AFC3"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Supported user-initiated chatbot </w:t>
            </w:r>
            <w:r>
              <w:rPr>
                <w:rFonts w:ascii="Times New Roman" w:eastAsia="Times New Roman" w:hAnsi="Times New Roman" w:cs="Times New Roman"/>
                <w:color w:val="000000"/>
                <w:sz w:val="18"/>
                <w:szCs w:val="18"/>
                <w:lang w:bidi="ar"/>
              </w:rPr>
              <w:lastRenderedPageBreak/>
              <w:t>interactions, HIV self-test kit ordering, clinic searching, depression screening, and questions on HIV and PrEP. The chatbot also recorded satisfaction, recommendation scores, speech bubbles, unanswered questions, interaction time, contact frequency, topic selection, HIV self-testing kit orders, depression screening, and clinic searches.</w:t>
            </w:r>
          </w:p>
        </w:tc>
        <w:tc>
          <w:tcPr>
            <w:tcW w:w="1047" w:type="dxa"/>
            <w:shd w:val="clear" w:color="auto" w:fill="FFFFFF"/>
            <w:tcMar>
              <w:top w:w="15" w:type="dxa"/>
              <w:left w:w="15" w:type="dxa"/>
              <w:bottom w:w="15" w:type="dxa"/>
              <w:right w:w="15" w:type="dxa"/>
            </w:tcMar>
            <w:vAlign w:val="center"/>
          </w:tcPr>
          <w:p w14:paraId="55A44375"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MYHIV365 website. Participants were </w:t>
            </w:r>
            <w:r>
              <w:rPr>
                <w:rFonts w:ascii="Times New Roman" w:eastAsia="Times New Roman" w:hAnsi="Times New Roman" w:cs="Times New Roman"/>
                <w:color w:val="000000"/>
                <w:sz w:val="18"/>
                <w:szCs w:val="18"/>
                <w:lang w:bidi="ar"/>
              </w:rPr>
              <w:lastRenderedPageBreak/>
              <w:t>recruited through community outreach and social-networking platforms including WhatsApp, Twitter, Telegram, Facebook, TikTok, Grindr, and Instagram.</w:t>
            </w:r>
          </w:p>
        </w:tc>
        <w:tc>
          <w:tcPr>
            <w:tcW w:w="1090" w:type="dxa"/>
            <w:shd w:val="clear" w:color="auto" w:fill="FFFFFF"/>
            <w:tcMar>
              <w:top w:w="15" w:type="dxa"/>
              <w:left w:w="15" w:type="dxa"/>
              <w:bottom w:w="15" w:type="dxa"/>
              <w:right w:w="15" w:type="dxa"/>
            </w:tcMar>
            <w:vAlign w:val="center"/>
          </w:tcPr>
          <w:p w14:paraId="28B29AF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 xml:space="preserve">The chatbot interacted with 334 participants </w:t>
            </w:r>
            <w:r>
              <w:rPr>
                <w:rFonts w:ascii="Times New Roman" w:eastAsia="Times New Roman" w:hAnsi="Times New Roman" w:cs="Times New Roman"/>
                <w:color w:val="000000"/>
                <w:sz w:val="18"/>
                <w:szCs w:val="18"/>
                <w:lang w:bidi="ar"/>
              </w:rPr>
              <w:lastRenderedPageBreak/>
              <w:t>and recorded 393 human-chatbot interactions. Most participants, 91% (304/334), interacted with the chatbot once, while 9% (30/334) interacted 2 or more times. Four participants interacted 3 times, and 2 participants interacted 4 times. Interaction time ranged from 1 to 31 minutes. The most selected topics were HIV testing (79.6%), PrEP (25.7%), and mental health (12.5%). A total of 260 HIV self-test kit orders were submitted, representing 66.2% of interactions. The chatbot correctly addressed 92.1% (362/393</w:t>
            </w:r>
            <w:r>
              <w:rPr>
                <w:rFonts w:ascii="Times New Roman" w:eastAsia="Times New Roman" w:hAnsi="Times New Roman" w:cs="Times New Roman"/>
                <w:color w:val="000000"/>
                <w:sz w:val="18"/>
                <w:szCs w:val="18"/>
                <w:lang w:bidi="ar"/>
              </w:rPr>
              <w:t xml:space="preserve">) of HIV and PrEP-related questions, while 31 interactions involved questions not included in the chatbot algorithm. Only 27 participants, 6.9%, were assessed for depression, with a mean PHQ-9 score of 13.4 ± 7.8; </w:t>
            </w:r>
            <w:r>
              <w:rPr>
                <w:rFonts w:ascii="Times New Roman" w:eastAsia="Times New Roman" w:hAnsi="Times New Roman" w:cs="Times New Roman"/>
                <w:color w:val="000000"/>
                <w:sz w:val="18"/>
                <w:szCs w:val="18"/>
                <w:lang w:bidi="ar"/>
              </w:rPr>
              <w:lastRenderedPageBreak/>
              <w:t>among them, 6 had mild depression, 2 moderate depression, 2 moderately severe depression, and 8 severe depression. Clinic information was requested in 93 interactions, representing 23.7% of all interactions. Of the 393 interactions, 65 requested PrEP clinic information, 25 requested HIV testing cl</w:t>
            </w:r>
            <w:r>
              <w:rPr>
                <w:rFonts w:ascii="Times New Roman" w:eastAsia="Times New Roman" w:hAnsi="Times New Roman" w:cs="Times New Roman"/>
                <w:color w:val="000000"/>
                <w:sz w:val="18"/>
                <w:szCs w:val="18"/>
                <w:lang w:bidi="ar"/>
              </w:rPr>
              <w:t xml:space="preserve">inic information, and 16 requested mental health counsellor information. The chatbot provided information on clinic addresses, phone numbers, and operating hours. The mean satisfaction score was 1.3 (SD 1.1), and the mean recommendation score was 8.4 (SD 2.3). The authors concluded that the chatbot showed high usability for HIV self-testing and service information, but needed more personalized responses, a more precise algorithm, </w:t>
            </w:r>
            <w:r>
              <w:rPr>
                <w:rFonts w:ascii="Times New Roman" w:eastAsia="Times New Roman" w:hAnsi="Times New Roman" w:cs="Times New Roman"/>
                <w:color w:val="000000"/>
                <w:sz w:val="18"/>
                <w:szCs w:val="18"/>
                <w:lang w:bidi="ar"/>
              </w:rPr>
              <w:lastRenderedPageBreak/>
              <w:t>stronger machine-learning capacity, and clearer linkage with healthcare system</w:t>
            </w:r>
            <w:r>
              <w:rPr>
                <w:rFonts w:ascii="Times New Roman" w:eastAsia="Times New Roman" w:hAnsi="Times New Roman" w:cs="Times New Roman"/>
                <w:color w:val="000000"/>
                <w:sz w:val="18"/>
                <w:szCs w:val="18"/>
                <w:lang w:bidi="ar"/>
              </w:rPr>
              <w:t>s.</w:t>
            </w:r>
          </w:p>
        </w:tc>
      </w:tr>
      <w:tr w:rsidR="00A27873" w14:paraId="5EE11177" w14:textId="77777777">
        <w:trPr>
          <w:tblCellSpacing w:w="15" w:type="dxa"/>
          <w:jc w:val="center"/>
        </w:trPr>
        <w:tc>
          <w:tcPr>
            <w:tcW w:w="498" w:type="dxa"/>
            <w:shd w:val="clear" w:color="auto" w:fill="EBF1DD"/>
            <w:tcMar>
              <w:top w:w="15" w:type="dxa"/>
              <w:left w:w="15" w:type="dxa"/>
              <w:bottom w:w="15" w:type="dxa"/>
              <w:right w:w="15" w:type="dxa"/>
            </w:tcMar>
            <w:vAlign w:val="center"/>
          </w:tcPr>
          <w:p w14:paraId="42EFC1BF"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Author (Year)</w:t>
            </w:r>
          </w:p>
        </w:tc>
        <w:tc>
          <w:tcPr>
            <w:tcW w:w="535" w:type="dxa"/>
            <w:shd w:val="clear" w:color="auto" w:fill="EBF1DD"/>
            <w:tcMar>
              <w:top w:w="15" w:type="dxa"/>
              <w:left w:w="15" w:type="dxa"/>
              <w:bottom w:w="15" w:type="dxa"/>
              <w:right w:w="15" w:type="dxa"/>
            </w:tcMar>
            <w:vAlign w:val="center"/>
          </w:tcPr>
          <w:p w14:paraId="5F1917A4"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Country</w:t>
            </w:r>
          </w:p>
        </w:tc>
        <w:tc>
          <w:tcPr>
            <w:tcW w:w="570" w:type="dxa"/>
            <w:shd w:val="clear" w:color="auto" w:fill="EBF1DD"/>
            <w:tcMar>
              <w:top w:w="15" w:type="dxa"/>
              <w:left w:w="15" w:type="dxa"/>
              <w:bottom w:w="15" w:type="dxa"/>
              <w:right w:w="15" w:type="dxa"/>
            </w:tcMar>
            <w:vAlign w:val="center"/>
          </w:tcPr>
          <w:p w14:paraId="201EADB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LMIC Category</w:t>
            </w:r>
          </w:p>
        </w:tc>
        <w:tc>
          <w:tcPr>
            <w:tcW w:w="864" w:type="dxa"/>
            <w:shd w:val="clear" w:color="auto" w:fill="EBF1DD"/>
            <w:tcMar>
              <w:top w:w="15" w:type="dxa"/>
              <w:left w:w="15" w:type="dxa"/>
              <w:bottom w:w="15" w:type="dxa"/>
              <w:right w:w="15" w:type="dxa"/>
            </w:tcMar>
            <w:vAlign w:val="center"/>
          </w:tcPr>
          <w:p w14:paraId="75DEC75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Study Design</w:t>
            </w:r>
          </w:p>
        </w:tc>
        <w:tc>
          <w:tcPr>
            <w:tcW w:w="1096" w:type="dxa"/>
            <w:shd w:val="clear" w:color="auto" w:fill="EBF1DD"/>
            <w:tcMar>
              <w:top w:w="15" w:type="dxa"/>
              <w:left w:w="15" w:type="dxa"/>
              <w:bottom w:w="15" w:type="dxa"/>
              <w:right w:w="15" w:type="dxa"/>
            </w:tcMar>
            <w:vAlign w:val="center"/>
          </w:tcPr>
          <w:p w14:paraId="480282FF"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Population/Sample</w:t>
            </w:r>
          </w:p>
        </w:tc>
        <w:tc>
          <w:tcPr>
            <w:tcW w:w="941" w:type="dxa"/>
            <w:shd w:val="clear" w:color="auto" w:fill="EBF1DD"/>
            <w:tcMar>
              <w:top w:w="15" w:type="dxa"/>
              <w:left w:w="15" w:type="dxa"/>
              <w:bottom w:w="15" w:type="dxa"/>
              <w:right w:w="15" w:type="dxa"/>
            </w:tcMar>
            <w:vAlign w:val="center"/>
          </w:tcPr>
          <w:p w14:paraId="5A43F524"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Health Domain</w:t>
            </w:r>
          </w:p>
        </w:tc>
        <w:tc>
          <w:tcPr>
            <w:tcW w:w="1141" w:type="dxa"/>
            <w:shd w:val="clear" w:color="auto" w:fill="EBF1DD"/>
            <w:tcMar>
              <w:top w:w="15" w:type="dxa"/>
              <w:left w:w="15" w:type="dxa"/>
              <w:bottom w:w="15" w:type="dxa"/>
              <w:right w:w="15" w:type="dxa"/>
            </w:tcMar>
            <w:vAlign w:val="center"/>
          </w:tcPr>
          <w:p w14:paraId="5CCA5E14"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Chatbot Type</w:t>
            </w:r>
          </w:p>
        </w:tc>
        <w:tc>
          <w:tcPr>
            <w:tcW w:w="970" w:type="dxa"/>
            <w:shd w:val="clear" w:color="auto" w:fill="EBF1DD"/>
            <w:tcMar>
              <w:top w:w="15" w:type="dxa"/>
              <w:left w:w="15" w:type="dxa"/>
              <w:bottom w:w="15" w:type="dxa"/>
              <w:right w:w="15" w:type="dxa"/>
            </w:tcMar>
            <w:vAlign w:val="center"/>
          </w:tcPr>
          <w:p w14:paraId="439321A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Education Function</w:t>
            </w:r>
          </w:p>
        </w:tc>
        <w:tc>
          <w:tcPr>
            <w:tcW w:w="942" w:type="dxa"/>
            <w:shd w:val="clear" w:color="auto" w:fill="EBF1DD"/>
            <w:tcMar>
              <w:top w:w="15" w:type="dxa"/>
              <w:left w:w="15" w:type="dxa"/>
              <w:bottom w:w="15" w:type="dxa"/>
              <w:right w:w="15" w:type="dxa"/>
            </w:tcMar>
            <w:vAlign w:val="center"/>
          </w:tcPr>
          <w:p w14:paraId="2FA8CC7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Communication Function</w:t>
            </w:r>
          </w:p>
        </w:tc>
        <w:tc>
          <w:tcPr>
            <w:tcW w:w="1047" w:type="dxa"/>
            <w:shd w:val="clear" w:color="auto" w:fill="EBF1DD"/>
            <w:tcMar>
              <w:top w:w="15" w:type="dxa"/>
              <w:left w:w="15" w:type="dxa"/>
              <w:bottom w:w="15" w:type="dxa"/>
              <w:right w:w="15" w:type="dxa"/>
            </w:tcMar>
            <w:vAlign w:val="center"/>
          </w:tcPr>
          <w:p w14:paraId="6176922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Platform/Delivery</w:t>
            </w:r>
          </w:p>
        </w:tc>
        <w:tc>
          <w:tcPr>
            <w:tcW w:w="1090" w:type="dxa"/>
            <w:shd w:val="clear" w:color="auto" w:fill="EBF1DD"/>
            <w:tcMar>
              <w:top w:w="15" w:type="dxa"/>
              <w:left w:w="15" w:type="dxa"/>
              <w:bottom w:w="15" w:type="dxa"/>
              <w:right w:w="15" w:type="dxa"/>
            </w:tcMar>
            <w:vAlign w:val="center"/>
          </w:tcPr>
          <w:p w14:paraId="0300847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Outcomes Reported</w:t>
            </w:r>
          </w:p>
        </w:tc>
      </w:tr>
      <w:tr w:rsidR="00A27873" w14:paraId="37B9A44F" w14:textId="77777777">
        <w:trPr>
          <w:tblCellSpacing w:w="15" w:type="dxa"/>
          <w:jc w:val="center"/>
        </w:trPr>
        <w:tc>
          <w:tcPr>
            <w:tcW w:w="498" w:type="dxa"/>
            <w:shd w:val="clear" w:color="auto" w:fill="FFFFFF"/>
            <w:tcMar>
              <w:top w:w="15" w:type="dxa"/>
              <w:left w:w="15" w:type="dxa"/>
              <w:bottom w:w="15" w:type="dxa"/>
              <w:right w:w="15" w:type="dxa"/>
            </w:tcMar>
            <w:vAlign w:val="center"/>
          </w:tcPr>
          <w:p w14:paraId="45237A87"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Ntinga et al. (2022)</w:t>
            </w:r>
          </w:p>
        </w:tc>
        <w:tc>
          <w:tcPr>
            <w:tcW w:w="535" w:type="dxa"/>
            <w:shd w:val="clear" w:color="auto" w:fill="FFFFFF"/>
            <w:tcMar>
              <w:top w:w="15" w:type="dxa"/>
              <w:left w:w="15" w:type="dxa"/>
              <w:bottom w:w="15" w:type="dxa"/>
              <w:right w:w="15" w:type="dxa"/>
            </w:tcMar>
            <w:vAlign w:val="center"/>
          </w:tcPr>
          <w:p w14:paraId="57A40FD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South Africa</w:t>
            </w:r>
          </w:p>
        </w:tc>
        <w:tc>
          <w:tcPr>
            <w:tcW w:w="570" w:type="dxa"/>
            <w:shd w:val="clear" w:color="auto" w:fill="FFFFFF"/>
            <w:tcMar>
              <w:top w:w="15" w:type="dxa"/>
              <w:left w:w="15" w:type="dxa"/>
              <w:bottom w:w="15" w:type="dxa"/>
              <w:right w:w="15" w:type="dxa"/>
            </w:tcMar>
            <w:vAlign w:val="center"/>
          </w:tcPr>
          <w:p w14:paraId="295E795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Upper-Middle-Income Country</w:t>
            </w:r>
          </w:p>
        </w:tc>
        <w:tc>
          <w:tcPr>
            <w:tcW w:w="864" w:type="dxa"/>
            <w:shd w:val="clear" w:color="auto" w:fill="FFFFFF"/>
            <w:tcMar>
              <w:top w:w="15" w:type="dxa"/>
              <w:left w:w="15" w:type="dxa"/>
              <w:bottom w:w="15" w:type="dxa"/>
              <w:right w:w="15" w:type="dxa"/>
            </w:tcMar>
            <w:vAlign w:val="center"/>
          </w:tcPr>
          <w:p w14:paraId="3276DF6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Cross-sectional pilot study assessing the feasibility and acceptability of a chatbot-supported HIV self-testing intervention.</w:t>
            </w:r>
          </w:p>
        </w:tc>
        <w:tc>
          <w:tcPr>
            <w:tcW w:w="1096" w:type="dxa"/>
            <w:shd w:val="clear" w:color="auto" w:fill="FFFFFF"/>
            <w:tcMar>
              <w:top w:w="15" w:type="dxa"/>
              <w:left w:w="15" w:type="dxa"/>
              <w:bottom w:w="15" w:type="dxa"/>
              <w:right w:w="15" w:type="dxa"/>
            </w:tcMar>
            <w:vAlign w:val="center"/>
          </w:tcPr>
          <w:p w14:paraId="1226826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120 consenting adults recruited from the Vulindlela sub-district, KwaZulu-Natal, South Africa. Participants were aged 18–47 years, with a median age of 24 years. The sample included 61 males (50.8%) and 59 females (49.2%). Most participants had secondary/high school education (67.5%), and 111 participants (92.5%) had previously tested for HIV more than once with a human counsellor.</w:t>
            </w:r>
          </w:p>
        </w:tc>
        <w:tc>
          <w:tcPr>
            <w:tcW w:w="941" w:type="dxa"/>
            <w:shd w:val="clear" w:color="auto" w:fill="FFFFFF"/>
            <w:tcMar>
              <w:top w:w="15" w:type="dxa"/>
              <w:left w:w="15" w:type="dxa"/>
              <w:bottom w:w="15" w:type="dxa"/>
              <w:right w:w="15" w:type="dxa"/>
            </w:tcMar>
            <w:vAlign w:val="center"/>
          </w:tcPr>
          <w:p w14:paraId="35B92DC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HIV self-testing, HIV counselling, HIV testing support, linkage to care, and PrEP information.</w:t>
            </w:r>
          </w:p>
        </w:tc>
        <w:tc>
          <w:tcPr>
            <w:tcW w:w="1141" w:type="dxa"/>
            <w:shd w:val="clear" w:color="auto" w:fill="FFFFFF"/>
            <w:tcMar>
              <w:top w:w="15" w:type="dxa"/>
              <w:left w:w="15" w:type="dxa"/>
              <w:bottom w:w="15" w:type="dxa"/>
              <w:right w:w="15" w:type="dxa"/>
            </w:tcMar>
            <w:vAlign w:val="center"/>
          </w:tcPr>
          <w:p w14:paraId="337C4A0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IsiZulu-speaking mHealth conversational agent chatbot called “Nolwazi_bot.” It was built on SnatchBot and designed with four counsellor personalities: younger male, younger female, older male, and older female.</w:t>
            </w:r>
          </w:p>
        </w:tc>
        <w:tc>
          <w:tcPr>
            <w:tcW w:w="970" w:type="dxa"/>
            <w:shd w:val="clear" w:color="auto" w:fill="FFFFFF"/>
            <w:tcMar>
              <w:top w:w="15" w:type="dxa"/>
              <w:left w:w="15" w:type="dxa"/>
              <w:bottom w:w="15" w:type="dxa"/>
              <w:right w:w="15" w:type="dxa"/>
            </w:tcMar>
            <w:vAlign w:val="center"/>
          </w:tcPr>
          <w:p w14:paraId="6A13979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Guided participants through HIV self-testing using isiZulu instructions. It provided counselling support, HIV self-test guidance, result interpretation support, PrEP information for HIV-negative participants, and linkage-to-care guidance for those with positive results.</w:t>
            </w:r>
          </w:p>
        </w:tc>
        <w:tc>
          <w:tcPr>
            <w:tcW w:w="942" w:type="dxa"/>
            <w:shd w:val="clear" w:color="auto" w:fill="FFFFFF"/>
            <w:tcMar>
              <w:top w:w="15" w:type="dxa"/>
              <w:left w:w="15" w:type="dxa"/>
              <w:bottom w:w="15" w:type="dxa"/>
              <w:right w:w="15" w:type="dxa"/>
            </w:tcMar>
            <w:vAlign w:val="center"/>
          </w:tcPr>
          <w:p w14:paraId="3DEE23C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Supported chatbot-guided HIV self-testing through Telegram. Participants could choose a preferred chatbot counsellor personality and could request a human counsellor at any point by typing “help,” “I need help,” or “please help.”</w:t>
            </w:r>
          </w:p>
        </w:tc>
        <w:tc>
          <w:tcPr>
            <w:tcW w:w="1047" w:type="dxa"/>
            <w:shd w:val="clear" w:color="auto" w:fill="FFFFFF"/>
            <w:tcMar>
              <w:top w:w="15" w:type="dxa"/>
              <w:left w:w="15" w:type="dxa"/>
              <w:bottom w:w="15" w:type="dxa"/>
              <w:right w:w="15" w:type="dxa"/>
            </w:tcMar>
            <w:vAlign w:val="center"/>
          </w:tcPr>
          <w:p w14:paraId="3F840D69"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Telegram messaging app on a Samsung J4 smartphone.</w:t>
            </w:r>
          </w:p>
        </w:tc>
        <w:tc>
          <w:tcPr>
            <w:tcW w:w="1090" w:type="dxa"/>
            <w:shd w:val="clear" w:color="auto" w:fill="FFFFFF"/>
            <w:tcMar>
              <w:top w:w="15" w:type="dxa"/>
              <w:left w:w="15" w:type="dxa"/>
              <w:bottom w:w="15" w:type="dxa"/>
              <w:right w:w="15" w:type="dxa"/>
            </w:tcMar>
            <w:vAlign w:val="center"/>
          </w:tcPr>
          <w:p w14:paraId="16ECAE4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Of 126 screened participants, 120 completed HIV self-testing with the Nolwazi chatbot. Twenty-one participants (17.5%) tested positive and were referred for confirmatory testing and linkage to care. Among those who tested negative, 82 participants wanted to know more about PrEP. Most participants, 95 (79.2%), rated the chatbot testing experience as much better than testing with a human counsellor, while 93 (77.5%) felt like they were talking to a real person. The most selected counsellor personality was the</w:t>
            </w:r>
            <w:r>
              <w:rPr>
                <w:rFonts w:ascii="Times New Roman" w:eastAsia="Times New Roman" w:hAnsi="Times New Roman" w:cs="Times New Roman"/>
                <w:color w:val="000000"/>
                <w:sz w:val="18"/>
                <w:szCs w:val="18"/>
                <w:lang w:bidi="ar"/>
              </w:rPr>
              <w:t xml:space="preserve"> 18–25-year-old female chatbot personality, </w:t>
            </w:r>
            <w:r>
              <w:rPr>
                <w:rFonts w:ascii="Times New Roman" w:eastAsia="Times New Roman" w:hAnsi="Times New Roman" w:cs="Times New Roman"/>
                <w:color w:val="000000"/>
                <w:sz w:val="18"/>
                <w:szCs w:val="18"/>
                <w:lang w:bidi="ar"/>
              </w:rPr>
              <w:lastRenderedPageBreak/>
              <w:t>chosen by 45 participants (37.5%). The average chatbot-supported HIV testing experience score was 9.32/10. Reported advantages included safe space, confidentiality, functionality, efficiency, and ease of use. Reported disadvantages included limited empathy, one-directional conversation, and possible risk of user error in following instructions or interpreting results.</w:t>
            </w:r>
          </w:p>
        </w:tc>
      </w:tr>
      <w:tr w:rsidR="00A27873" w14:paraId="1DA0D383" w14:textId="77777777">
        <w:trPr>
          <w:tblCellSpacing w:w="15" w:type="dxa"/>
          <w:jc w:val="center"/>
        </w:trPr>
        <w:tc>
          <w:tcPr>
            <w:tcW w:w="498" w:type="dxa"/>
            <w:shd w:val="clear" w:color="auto" w:fill="EBF1DD"/>
            <w:tcMar>
              <w:top w:w="15" w:type="dxa"/>
              <w:left w:w="15" w:type="dxa"/>
              <w:bottom w:w="15" w:type="dxa"/>
              <w:right w:w="15" w:type="dxa"/>
            </w:tcMar>
            <w:vAlign w:val="center"/>
          </w:tcPr>
          <w:p w14:paraId="1AF34A4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Mathur et al. (2025)</w:t>
            </w:r>
          </w:p>
        </w:tc>
        <w:tc>
          <w:tcPr>
            <w:tcW w:w="535" w:type="dxa"/>
            <w:shd w:val="clear" w:color="auto" w:fill="EBF1DD"/>
            <w:tcMar>
              <w:top w:w="15" w:type="dxa"/>
              <w:left w:w="15" w:type="dxa"/>
              <w:bottom w:w="15" w:type="dxa"/>
              <w:right w:w="15" w:type="dxa"/>
            </w:tcMar>
            <w:vAlign w:val="center"/>
          </w:tcPr>
          <w:p w14:paraId="4350FD5C"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Nigeria</w:t>
            </w:r>
          </w:p>
        </w:tc>
        <w:tc>
          <w:tcPr>
            <w:tcW w:w="570" w:type="dxa"/>
            <w:shd w:val="clear" w:color="auto" w:fill="EBF1DD"/>
            <w:tcMar>
              <w:top w:w="15" w:type="dxa"/>
              <w:left w:w="15" w:type="dxa"/>
              <w:bottom w:w="15" w:type="dxa"/>
              <w:right w:w="15" w:type="dxa"/>
            </w:tcMar>
            <w:vAlign w:val="center"/>
          </w:tcPr>
          <w:p w14:paraId="4CFB5603"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Lower-Middle-Income Country</w:t>
            </w:r>
          </w:p>
        </w:tc>
        <w:tc>
          <w:tcPr>
            <w:tcW w:w="864" w:type="dxa"/>
            <w:shd w:val="clear" w:color="auto" w:fill="EBF1DD"/>
            <w:tcMar>
              <w:top w:w="15" w:type="dxa"/>
              <w:left w:w="15" w:type="dxa"/>
              <w:bottom w:w="15" w:type="dxa"/>
              <w:right w:w="15" w:type="dxa"/>
            </w:tcMar>
            <w:vAlign w:val="center"/>
          </w:tcPr>
          <w:p w14:paraId="38016E3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Pilot study assessing the acceptability and feasibility of an HIV prevention chatbot decision-support tool.</w:t>
            </w:r>
          </w:p>
        </w:tc>
        <w:tc>
          <w:tcPr>
            <w:tcW w:w="1096" w:type="dxa"/>
            <w:shd w:val="clear" w:color="auto" w:fill="EBF1DD"/>
            <w:tcMar>
              <w:top w:w="15" w:type="dxa"/>
              <w:left w:w="15" w:type="dxa"/>
              <w:bottom w:w="15" w:type="dxa"/>
              <w:right w:w="15" w:type="dxa"/>
            </w:tcMar>
            <w:vAlign w:val="center"/>
          </w:tcPr>
          <w:p w14:paraId="512BE5CE"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150 participants recruited from public health facilities and community health clinics in Lagos, Nigeria. The sample included 132 cisgender women and 18 transgender men. Most participants were aged 25–34 years or older, 56.4% were married, and 54.0% had some tertiary education or higher. About half of the participants waited less than one hour to see their healthcare </w:t>
            </w:r>
            <w:r>
              <w:rPr>
                <w:rFonts w:ascii="Times New Roman" w:eastAsia="Times New Roman" w:hAnsi="Times New Roman" w:cs="Times New Roman"/>
                <w:color w:val="000000"/>
                <w:sz w:val="18"/>
                <w:szCs w:val="18"/>
                <w:lang w:bidi="ar"/>
              </w:rPr>
              <w:lastRenderedPageBreak/>
              <w:t>provider.</w:t>
            </w:r>
          </w:p>
        </w:tc>
        <w:tc>
          <w:tcPr>
            <w:tcW w:w="941" w:type="dxa"/>
            <w:shd w:val="clear" w:color="auto" w:fill="EBF1DD"/>
            <w:tcMar>
              <w:top w:w="15" w:type="dxa"/>
              <w:left w:w="15" w:type="dxa"/>
              <w:bottom w:w="15" w:type="dxa"/>
              <w:right w:w="15" w:type="dxa"/>
            </w:tcMar>
            <w:vAlign w:val="center"/>
          </w:tcPr>
          <w:p w14:paraId="38FF2A2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HIV prevention, PrEP awareness, HIV risk/vulnerability self-assessment, HIV prevention education, and client-provider discussion support.</w:t>
            </w:r>
          </w:p>
        </w:tc>
        <w:tc>
          <w:tcPr>
            <w:tcW w:w="1141" w:type="dxa"/>
            <w:shd w:val="clear" w:color="auto" w:fill="EBF1DD"/>
            <w:tcMar>
              <w:top w:w="15" w:type="dxa"/>
              <w:left w:w="15" w:type="dxa"/>
              <w:bottom w:w="15" w:type="dxa"/>
              <w:right w:w="15" w:type="dxa"/>
            </w:tcMar>
            <w:vAlign w:val="center"/>
          </w:tcPr>
          <w:p w14:paraId="2C9C71C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Digital HIV prevention chatbot decision-support tool tailored for cisgender women and transgender men in the Nigerian healthcare context.</w:t>
            </w:r>
          </w:p>
        </w:tc>
        <w:tc>
          <w:tcPr>
            <w:tcW w:w="970" w:type="dxa"/>
            <w:shd w:val="clear" w:color="auto" w:fill="EBF1DD"/>
            <w:tcMar>
              <w:top w:w="15" w:type="dxa"/>
              <w:left w:w="15" w:type="dxa"/>
              <w:bottom w:w="15" w:type="dxa"/>
              <w:right w:w="15" w:type="dxa"/>
            </w:tcMar>
            <w:vAlign w:val="center"/>
          </w:tcPr>
          <w:p w14:paraId="35CB633B"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Provided information on HIV prevention, PrEP, HIV risk and vulnerabilities, and self-assessment guidance. The chatbot used conversational prompts to help participants reflect on their HIV vulnerability and prevention needs in a non-stigmatizing way.</w:t>
            </w:r>
          </w:p>
        </w:tc>
        <w:tc>
          <w:tcPr>
            <w:tcW w:w="942" w:type="dxa"/>
            <w:shd w:val="clear" w:color="auto" w:fill="EBF1DD"/>
            <w:tcMar>
              <w:top w:w="15" w:type="dxa"/>
              <w:left w:w="15" w:type="dxa"/>
              <w:bottom w:w="15" w:type="dxa"/>
              <w:right w:w="15" w:type="dxa"/>
            </w:tcMar>
            <w:vAlign w:val="center"/>
          </w:tcPr>
          <w:p w14:paraId="2FE7958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Offered confidential, interactive, and guided communication while participants waited to see healthcare providers. It used structured prompts and response options, supported private reflection on sensitive HIV-related issues, and could help prepare clients for discussions with healthcare providers.</w:t>
            </w:r>
          </w:p>
        </w:tc>
        <w:tc>
          <w:tcPr>
            <w:tcW w:w="1047" w:type="dxa"/>
            <w:shd w:val="clear" w:color="auto" w:fill="EBF1DD"/>
            <w:tcMar>
              <w:top w:w="15" w:type="dxa"/>
              <w:left w:w="15" w:type="dxa"/>
              <w:bottom w:w="15" w:type="dxa"/>
              <w:right w:w="15" w:type="dxa"/>
            </w:tcMar>
            <w:vAlign w:val="center"/>
          </w:tcPr>
          <w:p w14:paraId="5D5BFCF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Digital chatbot administered in clinic waiting areas; exact platform not stated in the provided text.</w:t>
            </w:r>
          </w:p>
        </w:tc>
        <w:tc>
          <w:tcPr>
            <w:tcW w:w="1090" w:type="dxa"/>
            <w:shd w:val="clear" w:color="auto" w:fill="EBF1DD"/>
            <w:tcMar>
              <w:top w:w="15" w:type="dxa"/>
              <w:left w:w="15" w:type="dxa"/>
              <w:bottom w:w="15" w:type="dxa"/>
              <w:right w:w="15" w:type="dxa"/>
            </w:tcMar>
            <w:vAlign w:val="center"/>
          </w:tcPr>
          <w:p w14:paraId="5BF598E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The chatbot was highly acceptable to participants. Most used it in English (98.7%), felt it was a good use of waiting time (97.3%), found the content easy to understand (97.3%), considered digital chatbots a good way to learn health information (99.3%), and said they learned new information about HIV prevention (92.0%). Most participants would recommend it to others </w:t>
            </w:r>
            <w:r>
              <w:rPr>
                <w:rFonts w:ascii="Times New Roman" w:eastAsia="Times New Roman" w:hAnsi="Times New Roman" w:cs="Times New Roman"/>
                <w:color w:val="000000"/>
                <w:sz w:val="18"/>
                <w:szCs w:val="18"/>
                <w:lang w:bidi="ar"/>
              </w:rPr>
              <w:lastRenderedPageBreak/>
              <w:t>waiting to see a provider (95.9%). Opinions were mixed on whether chatbot responses should be shared with healthcare providers: 66.2% agreed, while 33.8% disagreed. Qualitative findings showed that participants appreciated the chatbot’s confidentiality, non-stigmatizing tone, interactive prompts, ease of use, and usefulness during clinic waiting time. Suggested improvements included audio prompts, verbal response options, larger font size, more Nigerian language options, a feedback channel for open-ended qu</w:t>
            </w:r>
            <w:r>
              <w:rPr>
                <w:rFonts w:ascii="Times New Roman" w:eastAsia="Times New Roman" w:hAnsi="Times New Roman" w:cs="Times New Roman"/>
                <w:color w:val="000000"/>
                <w:sz w:val="18"/>
                <w:szCs w:val="18"/>
                <w:lang w:bidi="ar"/>
              </w:rPr>
              <w:t xml:space="preserve">estions, stronger privacy assurance, and more flexibility to go back and change responses. Healthcare providers also valued the chatbot because it asked detailed questions and could prepare clients for </w:t>
            </w:r>
            <w:r>
              <w:rPr>
                <w:rFonts w:ascii="Times New Roman" w:eastAsia="Times New Roman" w:hAnsi="Times New Roman" w:cs="Times New Roman"/>
                <w:color w:val="000000"/>
                <w:sz w:val="18"/>
                <w:szCs w:val="18"/>
                <w:lang w:bidi="ar"/>
              </w:rPr>
              <w:lastRenderedPageBreak/>
              <w:t>more tailored counselling.</w:t>
            </w:r>
          </w:p>
        </w:tc>
      </w:tr>
      <w:tr w:rsidR="00A27873" w14:paraId="08D0BCAD" w14:textId="77777777">
        <w:trPr>
          <w:tblCellSpacing w:w="15" w:type="dxa"/>
          <w:jc w:val="center"/>
        </w:trPr>
        <w:tc>
          <w:tcPr>
            <w:tcW w:w="498" w:type="dxa"/>
            <w:shd w:val="clear" w:color="auto" w:fill="FFFFFF"/>
            <w:tcMar>
              <w:top w:w="15" w:type="dxa"/>
              <w:left w:w="15" w:type="dxa"/>
              <w:bottom w:w="15" w:type="dxa"/>
              <w:right w:w="15" w:type="dxa"/>
            </w:tcMar>
            <w:vAlign w:val="center"/>
          </w:tcPr>
          <w:p w14:paraId="046595A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lastRenderedPageBreak/>
              <w:t>Siddiqi et al. (2023)</w:t>
            </w:r>
          </w:p>
        </w:tc>
        <w:tc>
          <w:tcPr>
            <w:tcW w:w="535" w:type="dxa"/>
            <w:shd w:val="clear" w:color="auto" w:fill="FFFFFF"/>
            <w:tcMar>
              <w:top w:w="15" w:type="dxa"/>
              <w:left w:w="15" w:type="dxa"/>
              <w:bottom w:w="15" w:type="dxa"/>
              <w:right w:w="15" w:type="dxa"/>
            </w:tcMar>
            <w:vAlign w:val="center"/>
          </w:tcPr>
          <w:p w14:paraId="64DE9BA0"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Pakistan</w:t>
            </w:r>
          </w:p>
        </w:tc>
        <w:tc>
          <w:tcPr>
            <w:tcW w:w="570" w:type="dxa"/>
            <w:shd w:val="clear" w:color="auto" w:fill="FFFFFF"/>
            <w:tcMar>
              <w:top w:w="15" w:type="dxa"/>
              <w:left w:w="15" w:type="dxa"/>
              <w:bottom w:w="15" w:type="dxa"/>
              <w:right w:w="15" w:type="dxa"/>
            </w:tcMar>
            <w:vAlign w:val="center"/>
          </w:tcPr>
          <w:p w14:paraId="56292D56"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Lower-Middle-Income Country</w:t>
            </w:r>
          </w:p>
        </w:tc>
        <w:tc>
          <w:tcPr>
            <w:tcW w:w="864" w:type="dxa"/>
            <w:shd w:val="clear" w:color="auto" w:fill="FFFFFF"/>
            <w:tcMar>
              <w:top w:w="15" w:type="dxa"/>
              <w:left w:w="15" w:type="dxa"/>
              <w:bottom w:w="15" w:type="dxa"/>
              <w:right w:w="15" w:type="dxa"/>
            </w:tcMar>
            <w:vAlign w:val="center"/>
          </w:tcPr>
          <w:p w14:paraId="39DD2D8A"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Sequential explanatory mixed-methods study assessing the development, feasibility, acceptability, and technological performance of an AI-powered immunization chatbot.</w:t>
            </w:r>
          </w:p>
        </w:tc>
        <w:tc>
          <w:tcPr>
            <w:tcW w:w="1096" w:type="dxa"/>
            <w:shd w:val="clear" w:color="auto" w:fill="FFFFFF"/>
            <w:tcMar>
              <w:top w:w="15" w:type="dxa"/>
              <w:left w:w="15" w:type="dxa"/>
              <w:bottom w:w="15" w:type="dxa"/>
              <w:right w:w="15" w:type="dxa"/>
            </w:tcMar>
            <w:vAlign w:val="center"/>
          </w:tcPr>
          <w:p w14:paraId="03E415F8"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2,202 caregivers were enrolled from 12 selected immunization centres in Korangi and Landhi towns, Karachi, Pakistan. Of these, 677 interacted with Bablibot. Twenty caregivers participated in phone-based in-depth interviews, including 10 users and 10 non-users.</w:t>
            </w:r>
          </w:p>
        </w:tc>
        <w:tc>
          <w:tcPr>
            <w:tcW w:w="941" w:type="dxa"/>
            <w:shd w:val="clear" w:color="auto" w:fill="FFFFFF"/>
            <w:tcMar>
              <w:top w:w="15" w:type="dxa"/>
              <w:left w:w="15" w:type="dxa"/>
              <w:bottom w:w="15" w:type="dxa"/>
              <w:right w:w="15" w:type="dxa"/>
            </w:tcMar>
            <w:vAlign w:val="center"/>
          </w:tcPr>
          <w:p w14:paraId="01D21942"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Childhood immunization, vaccine schedule information, vaccine side-effect management, delayed or missed vaccination guidance, and immunization centre information.</w:t>
            </w:r>
          </w:p>
        </w:tc>
        <w:tc>
          <w:tcPr>
            <w:tcW w:w="1141" w:type="dxa"/>
            <w:shd w:val="clear" w:color="auto" w:fill="FFFFFF"/>
            <w:tcMar>
              <w:top w:w="15" w:type="dxa"/>
              <w:left w:w="15" w:type="dxa"/>
              <w:bottom w:w="15" w:type="dxa"/>
              <w:right w:w="15" w:type="dxa"/>
            </w:tcMar>
            <w:vAlign w:val="center"/>
          </w:tcPr>
          <w:p w14:paraId="6D33979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Local-language AI chatbot called “Bablibot” or “Babybot.” It used Natural Language Processing, Machine Learning, and a Human-in-the-Loop feature. It was text-based and designed to converse with caregivers in Roman Urdu.</w:t>
            </w:r>
          </w:p>
        </w:tc>
        <w:tc>
          <w:tcPr>
            <w:tcW w:w="970" w:type="dxa"/>
            <w:shd w:val="clear" w:color="auto" w:fill="FFFFFF"/>
            <w:tcMar>
              <w:top w:w="15" w:type="dxa"/>
              <w:left w:w="15" w:type="dxa"/>
              <w:bottom w:w="15" w:type="dxa"/>
              <w:right w:w="15" w:type="dxa"/>
            </w:tcMar>
            <w:vAlign w:val="center"/>
          </w:tcPr>
          <w:p w14:paraId="3D1C0D11"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Provided real-time immunization information based on EPI protocols. It answered caregiver questions on vaccination schedules, due dates, side effects, missed or delayed vaccination, vaccine costs, and immunization centre details. Through integration with the Sindh Electronic Immunization Registry, it could also provide personalized vaccine recommendations based on a child’s age and immunization history.</w:t>
            </w:r>
          </w:p>
        </w:tc>
        <w:tc>
          <w:tcPr>
            <w:tcW w:w="942" w:type="dxa"/>
            <w:shd w:val="clear" w:color="auto" w:fill="FFFFFF"/>
            <w:tcMar>
              <w:top w:w="15" w:type="dxa"/>
              <w:left w:w="15" w:type="dxa"/>
              <w:bottom w:w="15" w:type="dxa"/>
              <w:right w:w="15" w:type="dxa"/>
            </w:tcMar>
            <w:vAlign w:val="center"/>
          </w:tcPr>
          <w:p w14:paraId="2F50DA5D"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Supported two-way caregiver-chatbot interaction. The Human-in-the-Loop feature allowed human responders to monitor conversations and respond when the chatbot could not answer. Bablibot also sent or supported immunization-related guidance through SMS and later WhatsApp.</w:t>
            </w:r>
          </w:p>
        </w:tc>
        <w:tc>
          <w:tcPr>
            <w:tcW w:w="1047" w:type="dxa"/>
            <w:shd w:val="clear" w:color="auto" w:fill="FFFFFF"/>
            <w:tcMar>
              <w:top w:w="15" w:type="dxa"/>
              <w:left w:w="15" w:type="dxa"/>
              <w:bottom w:w="15" w:type="dxa"/>
              <w:right w:w="15" w:type="dxa"/>
            </w:tcMar>
            <w:vAlign w:val="center"/>
          </w:tcPr>
          <w:p w14:paraId="3D72A6E7"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SMS and WhatsApp. Bablibot was initially available through SMS from March 2020, and WhatsApp functionality was added in November 2020 following community feedback.</w:t>
            </w:r>
          </w:p>
        </w:tc>
        <w:tc>
          <w:tcPr>
            <w:tcW w:w="1090" w:type="dxa"/>
            <w:shd w:val="clear" w:color="auto" w:fill="FFFFFF"/>
            <w:tcMar>
              <w:top w:w="15" w:type="dxa"/>
              <w:left w:w="15" w:type="dxa"/>
              <w:bottom w:w="15" w:type="dxa"/>
              <w:right w:w="15" w:type="dxa"/>
            </w:tcMar>
            <w:vAlign w:val="center"/>
          </w:tcPr>
          <w:p w14:paraId="24E140A7" w14:textId="77777777" w:rsidR="00A27873" w:rsidRDefault="000C6254">
            <w:pPr>
              <w:spacing w:afterLines="50" w:after="12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bidi="ar"/>
              </w:rPr>
              <w:t xml:space="preserve">Between March 9, 2020, and April 15, 2021, Bablibot accrued 677 users, responded to 1,877 messages, and participated in 874 conversations. Most conversations occurred through SMS (80%), while 20% occurred through WhatsApp. Main conversation topics included vaccination schedule and EPI-related queries (32.4%), delayed or missed vaccination (16.8%), adverse events and post-vaccination discomfort (15.7%), immunization centre information (15.3%), and other immunization or non-immunization queries (19.8%). User </w:t>
            </w:r>
            <w:r>
              <w:rPr>
                <w:rFonts w:ascii="Times New Roman" w:eastAsia="Times New Roman" w:hAnsi="Times New Roman" w:cs="Times New Roman"/>
                <w:color w:val="000000"/>
                <w:sz w:val="18"/>
                <w:szCs w:val="18"/>
                <w:lang w:bidi="ar"/>
              </w:rPr>
              <w:t xml:space="preserve">satisfaction was high, with 90% satisfaction based on 307 exit survey responses. About 20% of users interacted with the bot </w:t>
            </w:r>
            <w:r>
              <w:rPr>
                <w:rFonts w:ascii="Times New Roman" w:eastAsia="Times New Roman" w:hAnsi="Times New Roman" w:cs="Times New Roman"/>
                <w:color w:val="000000"/>
                <w:sz w:val="18"/>
                <w:szCs w:val="18"/>
                <w:lang w:bidi="ar"/>
              </w:rPr>
              <w:lastRenderedPageBreak/>
              <w:t>more than once. Bablibot was fully functional more than 95% of the time after development and 100% of the time from October 2020. Its average response time was within two minutes. The cumulative goal completion rate was 43%, rising to 61% from January to April 2021 after technical improvements. The fallback rate was 63%. Between August 2020 and April 2021, Bablibot had an average accur</w:t>
            </w:r>
            <w:r>
              <w:rPr>
                <w:rFonts w:ascii="Times New Roman" w:eastAsia="Times New Roman" w:hAnsi="Times New Roman" w:cs="Times New Roman"/>
                <w:color w:val="000000"/>
                <w:sz w:val="18"/>
                <w:szCs w:val="18"/>
                <w:lang w:bidi="ar"/>
              </w:rPr>
              <w:t>acy of 99.3%, precision of 87.2%, recall of 86.3%, and F1 score of 87.3%. Qualitative findings showed that caregivers found Bablibot useful, accessible, timely, and convenient, especially for avoiding unnecessary clinic visits. Suggested improvements included faster replies and availability in multiple languages.</w:t>
            </w:r>
          </w:p>
        </w:tc>
      </w:tr>
    </w:tbl>
    <w:p w14:paraId="11511648" w14:textId="77777777" w:rsidR="00A27873" w:rsidRDefault="00A27873"/>
    <w:sectPr w:rsidR="00A27873">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00"/>
    <w:family w:val="auto"/>
    <w:pitch w:val="default"/>
  </w:font>
  <w:font w:name="Times New Roman">
    <w:panose1 w:val="02020603050405020304"/>
    <w:charset w:val="00"/>
    <w:family w:val="roman"/>
    <w:pitch w:val="variable"/>
    <w:sig w:usb0="E0007EFF" w:usb1="C000785B"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bordersDoNotSurroundHeader/>
  <w:bordersDoNotSurroundFooter/>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1DB627E"/>
    <w:rsid w:val="000C6254"/>
    <w:rsid w:val="00A27873"/>
    <w:rsid w:val="00C32D1A"/>
    <w:rsid w:val="41DB6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1E724394-90A6-6843-B665-7C49151E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2721</Words>
  <Characters>17312</Characters>
  <Application>Microsoft Office Word</Application>
  <DocSecurity>0</DocSecurity>
  <Lines>144</Lines>
  <Paragraphs>39</Paragraphs>
  <ScaleCrop>false</ScaleCrop>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Anietie Akpan</cp:lastModifiedBy>
  <cp:revision>2</cp:revision>
  <dcterms:created xsi:type="dcterms:W3CDTF">2026-06-27T07:17:00Z</dcterms:created>
  <dcterms:modified xsi:type="dcterms:W3CDTF">2026-06-27T07:17:00Z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5A39BFC10D19442F841DD31212BF8C51_11</vt:lpwstr>
  </property>
</Properties>
</file>