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EF3E1">
      <w:pPr>
        <w:rPr>
          <w:rFonts w:hint="eastAsia"/>
        </w:rPr>
      </w:pPr>
      <w:r>
        <w:rPr>
          <w:rFonts w:hint="eastAsia"/>
        </w:rPr>
        <w:t>Supplementary</w:t>
      </w:r>
    </w:p>
    <w:p w14:paraId="430ACC60">
      <w:pPr>
        <w:rPr>
          <w:rStyle w:val="7"/>
          <w:rFonts w:hint="default" w:ascii="Times New Roman" w:hAnsi="Times New Roman" w:eastAsia="Segoe UI" w:cs="Times New Roman"/>
          <w:b/>
          <w:bCs/>
          <w:i w:val="0"/>
          <w:iCs w:val="0"/>
          <w:caps w:val="0"/>
          <w:color w:val="0F1115"/>
          <w:spacing w:val="0"/>
          <w:sz w:val="20"/>
          <w:szCs w:val="20"/>
          <w:shd w:val="clear" w:fill="FFFFFF"/>
        </w:rPr>
      </w:pPr>
      <w:r>
        <w:rPr>
          <w:rStyle w:val="7"/>
          <w:rFonts w:hint="default" w:ascii="Times New Roman" w:hAnsi="Times New Roman" w:eastAsia="Segoe UI" w:cs="Times New Roman"/>
          <w:b/>
          <w:bCs/>
          <w:i w:val="0"/>
          <w:iCs w:val="0"/>
          <w:caps w:val="0"/>
          <w:color w:val="0F1115"/>
          <w:spacing w:val="0"/>
          <w:sz w:val="20"/>
          <w:szCs w:val="20"/>
          <w:shd w:val="clear" w:fill="FFFFFF"/>
        </w:rPr>
        <w:t>Supplementary Table S1. Sensitivity analysis using alternative vitamin D insufficiency cutoff (&lt;30 ng/mL)</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2"/>
        <w:gridCol w:w="1573"/>
        <w:gridCol w:w="2031"/>
        <w:gridCol w:w="1886"/>
        <w:gridCol w:w="1080"/>
      </w:tblGrid>
      <w:tr w14:paraId="1770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952"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5F1D1E0C">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Vitamin D status</w:t>
            </w:r>
          </w:p>
        </w:tc>
        <w:tc>
          <w:tcPr>
            <w:tcW w:w="1573"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6BF13C26">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0F1115"/>
                <w:spacing w:val="0"/>
                <w:sz w:val="18"/>
                <w:szCs w:val="18"/>
                <w:shd w:val="clear" w:fill="FFFFFF"/>
              </w:rPr>
            </w:pPr>
            <w:r>
              <w:rPr>
                <w:rStyle w:val="7"/>
                <w:rFonts w:hint="default" w:ascii="Times New Roman" w:hAnsi="Times New Roman" w:eastAsia="Segoe UI" w:cs="Times New Roman"/>
                <w:b/>
                <w:bCs/>
                <w:i w:val="0"/>
                <w:iCs w:val="0"/>
                <w:caps w:val="0"/>
                <w:color w:val="0F1115"/>
                <w:spacing w:val="0"/>
                <w:sz w:val="18"/>
                <w:szCs w:val="18"/>
                <w:shd w:val="clear" w:fill="FFFFFF"/>
              </w:rPr>
              <w:t xml:space="preserve">Sarcopenia </w:t>
            </w:r>
          </w:p>
          <w:p w14:paraId="2FDD0E5F">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(n=38)</w:t>
            </w:r>
          </w:p>
        </w:tc>
        <w:tc>
          <w:tcPr>
            <w:tcW w:w="2031"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1DA1CE1E">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0F1115"/>
                <w:spacing w:val="0"/>
                <w:sz w:val="18"/>
                <w:szCs w:val="18"/>
                <w:shd w:val="clear" w:fill="FFFFFF"/>
              </w:rPr>
            </w:pPr>
            <w:r>
              <w:rPr>
                <w:rStyle w:val="7"/>
                <w:rFonts w:hint="default" w:ascii="Times New Roman" w:hAnsi="Times New Roman" w:eastAsia="Segoe UI" w:cs="Times New Roman"/>
                <w:b/>
                <w:bCs/>
                <w:i w:val="0"/>
                <w:iCs w:val="0"/>
                <w:caps w:val="0"/>
                <w:color w:val="0F1115"/>
                <w:spacing w:val="0"/>
                <w:sz w:val="18"/>
                <w:szCs w:val="18"/>
                <w:shd w:val="clear" w:fill="FFFFFF"/>
              </w:rPr>
              <w:t xml:space="preserve">Non‑sarcopenia </w:t>
            </w:r>
          </w:p>
          <w:p w14:paraId="265ED73B">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(n=117)</w:t>
            </w:r>
          </w:p>
        </w:tc>
        <w:tc>
          <w:tcPr>
            <w:tcW w:w="1886"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4C84D36B">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0F1115"/>
                <w:spacing w:val="0"/>
                <w:sz w:val="18"/>
                <w:szCs w:val="18"/>
                <w:shd w:val="clear" w:fill="FFFFFF"/>
              </w:rPr>
            </w:pPr>
            <w:r>
              <w:rPr>
                <w:rStyle w:val="7"/>
                <w:rFonts w:hint="default" w:ascii="Times New Roman" w:hAnsi="Times New Roman" w:eastAsia="Segoe UI" w:cs="Times New Roman"/>
                <w:b/>
                <w:bCs/>
                <w:i w:val="0"/>
                <w:iCs w:val="0"/>
                <w:caps w:val="0"/>
                <w:color w:val="0F1115"/>
                <w:spacing w:val="0"/>
                <w:sz w:val="18"/>
                <w:szCs w:val="18"/>
                <w:shd w:val="clear" w:fill="FFFFFF"/>
              </w:rPr>
              <w:t xml:space="preserve">Adjusted OR </w:t>
            </w:r>
          </w:p>
          <w:p w14:paraId="607BDD86">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(95% CI)*</w:t>
            </w:r>
          </w:p>
        </w:tc>
        <w:tc>
          <w:tcPr>
            <w:tcW w:w="1079"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09CEE0B9">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P value</w:t>
            </w:r>
          </w:p>
        </w:tc>
      </w:tr>
      <w:tr w14:paraId="637D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2"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7C6F4FD">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Sufficient (≥30 ng/mL)</w:t>
            </w:r>
          </w:p>
        </w:tc>
        <w:tc>
          <w:tcPr>
            <w:tcW w:w="1573"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1E1883EE">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5 (13.2%)</w:t>
            </w:r>
          </w:p>
        </w:tc>
        <w:tc>
          <w:tcPr>
            <w:tcW w:w="2031"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162BD683">
            <w:pPr>
              <w:snapToGrid w:val="0"/>
              <w:ind w:left="0" w:leftChars="0" w:right="0" w:rightChars="0" w:firstLine="0" w:firstLineChars="0"/>
              <w:jc w:val="righ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12 (10.3%)</w:t>
            </w:r>
          </w:p>
        </w:tc>
        <w:tc>
          <w:tcPr>
            <w:tcW w:w="188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28BD939C">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1 (Ref)</w:t>
            </w:r>
          </w:p>
        </w:tc>
        <w:tc>
          <w:tcPr>
            <w:tcW w:w="1079"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6F6BAFFC">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w:t>
            </w:r>
          </w:p>
        </w:tc>
      </w:tr>
      <w:tr w14:paraId="44C7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2949814A">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Insufficient (&lt;30 ng/mL)</w:t>
            </w:r>
          </w:p>
        </w:tc>
        <w:tc>
          <w:tcPr>
            <w:tcW w:w="1573"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59630CD">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33 (86.8%)</w:t>
            </w:r>
          </w:p>
        </w:tc>
        <w:tc>
          <w:tcPr>
            <w:tcW w:w="2031"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0DA58CF6">
            <w:pPr>
              <w:snapToGrid w:val="0"/>
              <w:ind w:left="0" w:leftChars="0" w:right="0" w:rightChars="0" w:firstLine="0" w:firstLineChars="0"/>
              <w:jc w:val="righ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105 (89.7%)</w:t>
            </w:r>
          </w:p>
        </w:tc>
        <w:tc>
          <w:tcPr>
            <w:tcW w:w="188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25D81111">
            <w:pPr>
              <w:snapToGrid w:val="0"/>
              <w:ind w:left="0" w:leftChars="0" w:right="0" w:rightChars="0" w:firstLine="0" w:firstLineChars="0"/>
              <w:jc w:val="righ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1.21 (0.45–3.25)</w:t>
            </w:r>
          </w:p>
        </w:tc>
        <w:tc>
          <w:tcPr>
            <w:tcW w:w="1079"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F70AB58">
            <w:pPr>
              <w:snapToGrid w:val="0"/>
              <w:ind w:left="0" w:leftChars="0" w:right="0" w:rightChars="0" w:firstLine="0" w:firstLineChars="0"/>
              <w:jc w:val="righ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bCs/>
                <w:i w:val="0"/>
                <w:iCs w:val="0"/>
                <w:caps w:val="0"/>
                <w:color w:val="0F1115"/>
                <w:spacing w:val="0"/>
                <w:sz w:val="18"/>
                <w:szCs w:val="18"/>
                <w:shd w:val="clear" w:fill="FFFFFF"/>
              </w:rPr>
              <w:t>0.652</w:t>
            </w:r>
          </w:p>
        </w:tc>
      </w:tr>
    </w:tbl>
    <w:p w14:paraId="5ABF7FE2">
      <w:pPr>
        <w:rPr>
          <w:rStyle w:val="7"/>
          <w:rFonts w:hint="eastAsia" w:ascii="Segoe UI" w:hAnsi="Segoe UI" w:eastAsia="Segoe UI" w:cs="Segoe UI"/>
          <w:b/>
          <w:bCs/>
          <w:i w:val="0"/>
          <w:iCs w:val="0"/>
          <w:caps w:val="0"/>
          <w:color w:val="0F1115"/>
          <w:spacing w:val="0"/>
          <w:sz w:val="12"/>
          <w:szCs w:val="12"/>
          <w:shd w:val="clear" w:fill="FFFFFF"/>
        </w:rPr>
      </w:pPr>
      <w:r>
        <w:rPr>
          <w:rStyle w:val="7"/>
          <w:rFonts w:hint="eastAsia" w:ascii="Segoe UI" w:hAnsi="Segoe UI" w:eastAsia="Segoe UI" w:cs="Segoe UI"/>
          <w:b/>
          <w:bCs/>
          <w:i w:val="0"/>
          <w:iCs w:val="0"/>
          <w:caps w:val="0"/>
          <w:color w:val="0F1115"/>
          <w:spacing w:val="0"/>
          <w:sz w:val="12"/>
          <w:szCs w:val="12"/>
          <w:shd w:val="clear" w:fill="FFFFFF"/>
        </w:rPr>
        <w:t>*Adjusted for age, sex, BMI, NRS, CRP, albumin, and comorbidities.</w:t>
      </w:r>
    </w:p>
    <w:p w14:paraId="5184B15B">
      <w:pPr>
        <w:rPr>
          <w:rStyle w:val="7"/>
          <w:rFonts w:hint="default" w:ascii="Times New Roman" w:hAnsi="Times New Roman" w:eastAsia="Segoe UI" w:cs="Times New Roman"/>
          <w:b/>
          <w:bCs/>
          <w:i w:val="0"/>
          <w:iCs w:val="0"/>
          <w:caps w:val="0"/>
          <w:color w:val="0F1115"/>
          <w:spacing w:val="0"/>
          <w:sz w:val="20"/>
          <w:szCs w:val="20"/>
          <w:shd w:val="clear" w:fill="FFFFFF"/>
        </w:rPr>
      </w:pPr>
      <w:r>
        <w:rPr>
          <w:rStyle w:val="7"/>
          <w:rFonts w:hint="default" w:ascii="Times New Roman" w:hAnsi="Times New Roman" w:eastAsia="Segoe UI" w:cs="Times New Roman"/>
          <w:b/>
          <w:bCs/>
          <w:i w:val="0"/>
          <w:iCs w:val="0"/>
          <w:caps w:val="0"/>
          <w:color w:val="0F1115"/>
          <w:spacing w:val="0"/>
          <w:sz w:val="20"/>
          <w:szCs w:val="20"/>
          <w:shd w:val="clear" w:fill="FFFFFF"/>
        </w:rPr>
        <w:t>Supplementary Table S</w:t>
      </w:r>
      <w:r>
        <w:rPr>
          <w:rStyle w:val="7"/>
          <w:rFonts w:hint="default" w:ascii="Times New Roman" w:hAnsi="Times New Roman" w:eastAsia="宋体" w:cs="Times New Roman"/>
          <w:b/>
          <w:bCs/>
          <w:i w:val="0"/>
          <w:iCs w:val="0"/>
          <w:caps w:val="0"/>
          <w:color w:val="0F1115"/>
          <w:spacing w:val="0"/>
          <w:sz w:val="20"/>
          <w:szCs w:val="20"/>
          <w:shd w:val="clear" w:fill="FFFFFF"/>
          <w:lang w:val="en-US" w:eastAsia="zh-CN"/>
        </w:rPr>
        <w:t>2</w:t>
      </w:r>
      <w:r>
        <w:rPr>
          <w:rStyle w:val="7"/>
          <w:rFonts w:hint="default" w:ascii="Times New Roman" w:hAnsi="Times New Roman" w:eastAsia="Segoe UI" w:cs="Times New Roman"/>
          <w:b/>
          <w:bCs/>
          <w:i w:val="0"/>
          <w:iCs w:val="0"/>
          <w:caps w:val="0"/>
          <w:color w:val="0F1115"/>
          <w:spacing w:val="0"/>
          <w:sz w:val="20"/>
          <w:szCs w:val="20"/>
          <w:shd w:val="clear" w:fill="FFFFFF"/>
        </w:rPr>
        <w:t>. Covariate screening for multivariable logistic regression models</w:t>
      </w:r>
    </w:p>
    <w:tbl>
      <w:tblPr>
        <w:tblStyle w:val="5"/>
        <w:tblW w:w="8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6"/>
        <w:gridCol w:w="1338"/>
        <w:gridCol w:w="1960"/>
        <w:gridCol w:w="995"/>
        <w:gridCol w:w="1399"/>
        <w:gridCol w:w="1136"/>
      </w:tblGrid>
      <w:tr w14:paraId="11BA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946"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12B824BC">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FFFFFF"/>
                <w:spacing w:val="0"/>
                <w:sz w:val="18"/>
                <w:szCs w:val="18"/>
                <w:shd w:val="clear" w:fill="FFFFFF"/>
              </w:rPr>
              <w:t>Variable</w:t>
            </w:r>
          </w:p>
        </w:tc>
        <w:tc>
          <w:tcPr>
            <w:tcW w:w="1383"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1CAB194F">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FFFFFF"/>
                <w:spacing w:val="0"/>
                <w:sz w:val="18"/>
                <w:szCs w:val="18"/>
                <w:shd w:val="clear" w:fill="FFFFFF"/>
              </w:rPr>
              <w:t>Crude OR (95% CI)</w:t>
            </w:r>
          </w:p>
        </w:tc>
        <w:tc>
          <w:tcPr>
            <w:tcW w:w="2186"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627FDD5F">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FFFFFF"/>
                <w:spacing w:val="0"/>
                <w:sz w:val="18"/>
                <w:szCs w:val="18"/>
                <w:shd w:val="clear" w:fill="FFFFFF"/>
              </w:rPr>
              <w:t>Full model coefficient (log‑odds)</w:t>
            </w:r>
          </w:p>
        </w:tc>
        <w:tc>
          <w:tcPr>
            <w:tcW w:w="1039"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694D5011">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FFFFFF"/>
                <w:spacing w:val="0"/>
                <w:sz w:val="18"/>
                <w:szCs w:val="18"/>
                <w:shd w:val="clear" w:fill="FFFFFF"/>
              </w:rPr>
              <w:t>Change (%)*</w:t>
            </w:r>
          </w:p>
        </w:tc>
        <w:tc>
          <w:tcPr>
            <w:tcW w:w="1148"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59620A4E">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FFFFFF"/>
                <w:spacing w:val="0"/>
                <w:sz w:val="18"/>
                <w:szCs w:val="18"/>
                <w:shd w:val="clear" w:fill="FFFFFF"/>
              </w:rPr>
              <w:t>GVIF1/(2×Df)†</w:t>
            </w:r>
          </w:p>
        </w:tc>
        <w:tc>
          <w:tcPr>
            <w:tcW w:w="922" w:type="dxa"/>
            <w:tcBorders>
              <w:top w:val="single" w:color="4874CB" w:themeColor="accent1" w:sz="8" w:space="0"/>
              <w:left w:val="nil"/>
              <w:bottom w:val="single" w:color="B5C7EA" w:themeColor="accent1" w:themeTint="66" w:sz="6" w:space="0"/>
              <w:right w:val="nil"/>
            </w:tcBorders>
            <w:shd w:val="clear" w:color="auto" w:fill="4874CB" w:themeFill="accent1"/>
            <w:vAlign w:val="center"/>
          </w:tcPr>
          <w:p w14:paraId="299F141A">
            <w:pPr>
              <w:snapToGrid w:val="0"/>
              <w:ind w:left="0" w:leftChars="0" w:right="0" w:rightChars="0" w:firstLine="0" w:firstLineChars="0"/>
              <w:jc w:val="center"/>
              <w:rPr>
                <w:rStyle w:val="7"/>
                <w:rFonts w:hint="default" w:ascii="Times New Roman" w:hAnsi="Times New Roman" w:eastAsia="Segoe UI" w:cs="Times New Roman"/>
                <w:b/>
                <w:bCs/>
                <w:i w:val="0"/>
                <w:iCs w:val="0"/>
                <w:caps w:val="0"/>
                <w:color w:val="FFFFFF"/>
                <w:spacing w:val="0"/>
                <w:sz w:val="18"/>
                <w:szCs w:val="18"/>
                <w:shd w:val="clear" w:fill="FFFFFF"/>
                <w:vertAlign w:val="baseline"/>
              </w:rPr>
            </w:pPr>
            <w:r>
              <w:rPr>
                <w:rStyle w:val="7"/>
                <w:rFonts w:hint="default" w:ascii="Times New Roman" w:hAnsi="Times New Roman" w:eastAsia="Segoe UI" w:cs="Times New Roman"/>
                <w:b/>
                <w:bCs/>
                <w:i w:val="0"/>
                <w:iCs w:val="0"/>
                <w:caps w:val="0"/>
                <w:color w:val="FFFFFF"/>
                <w:spacing w:val="0"/>
                <w:sz w:val="18"/>
                <w:szCs w:val="18"/>
                <w:shd w:val="clear" w:fill="FFFFFF"/>
              </w:rPr>
              <w:t>Collinearity</w:t>
            </w:r>
          </w:p>
        </w:tc>
      </w:tr>
      <w:tr w14:paraId="232D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1BC038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Gender (female vs male)</w:t>
            </w:r>
          </w:p>
        </w:tc>
        <w:tc>
          <w:tcPr>
            <w:tcW w:w="1383"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6B0AAAC8">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0.14 (0.06–0.34)</w:t>
            </w:r>
          </w:p>
        </w:tc>
        <w:tc>
          <w:tcPr>
            <w:tcW w:w="218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44E6367A">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-0.03</w:t>
            </w:r>
          </w:p>
        </w:tc>
        <w:tc>
          <w:tcPr>
            <w:tcW w:w="1039"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6BB9A0EA">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-244%</w:t>
            </w:r>
          </w:p>
        </w:tc>
        <w:tc>
          <w:tcPr>
            <w:tcW w:w="1148"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7481C0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2.369</w:t>
            </w:r>
          </w:p>
        </w:tc>
        <w:tc>
          <w:tcPr>
            <w:tcW w:w="922"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D8DBF4C">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6BB6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594A802B">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Age (per year)</w:t>
            </w:r>
          </w:p>
        </w:tc>
        <w:tc>
          <w:tcPr>
            <w:tcW w:w="1383"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7814C23C">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1.09 (1.04–1.15)</w:t>
            </w:r>
          </w:p>
        </w:tc>
        <w:tc>
          <w:tcPr>
            <w:tcW w:w="218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71A9AF57">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0.06</w:t>
            </w:r>
          </w:p>
        </w:tc>
        <w:tc>
          <w:tcPr>
            <w:tcW w:w="1039"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519FE8D9">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+198%</w:t>
            </w:r>
          </w:p>
        </w:tc>
        <w:tc>
          <w:tcPr>
            <w:tcW w:w="1148"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5F09D594">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2.179</w:t>
            </w:r>
          </w:p>
        </w:tc>
        <w:tc>
          <w:tcPr>
            <w:tcW w:w="92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475482AE">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2026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3953A6C5">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BMI (per kg/m²)</w:t>
            </w:r>
          </w:p>
        </w:tc>
        <w:tc>
          <w:tcPr>
            <w:tcW w:w="1383"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77C1C26D">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0.74 (0.65–0.85)</w:t>
            </w:r>
          </w:p>
        </w:tc>
        <w:tc>
          <w:tcPr>
            <w:tcW w:w="218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28644DDC">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0.02</w:t>
            </w:r>
          </w:p>
        </w:tc>
        <w:tc>
          <w:tcPr>
            <w:tcW w:w="1039"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76D967FD">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+20%</w:t>
            </w:r>
          </w:p>
        </w:tc>
        <w:tc>
          <w:tcPr>
            <w:tcW w:w="1148"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0B17772">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3.224</w:t>
            </w:r>
          </w:p>
        </w:tc>
        <w:tc>
          <w:tcPr>
            <w:tcW w:w="922"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5BC82F55">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364B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5F2E2EB">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CRP (per mg/L)</w:t>
            </w:r>
          </w:p>
        </w:tc>
        <w:tc>
          <w:tcPr>
            <w:tcW w:w="1383"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C4ED025">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1.16 (1.02–1.32)</w:t>
            </w:r>
          </w:p>
        </w:tc>
        <w:tc>
          <w:tcPr>
            <w:tcW w:w="218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07DC20F6">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0.02</w:t>
            </w:r>
          </w:p>
        </w:tc>
        <w:tc>
          <w:tcPr>
            <w:tcW w:w="1039"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47815C7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-3%</w:t>
            </w:r>
          </w:p>
        </w:tc>
        <w:tc>
          <w:tcPr>
            <w:tcW w:w="1148"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71DC89B9">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2.595</w:t>
            </w:r>
          </w:p>
        </w:tc>
        <w:tc>
          <w:tcPr>
            <w:tcW w:w="92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789FCF65">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034A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2D3DFA32">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Albumin (per g/L)</w:t>
            </w:r>
          </w:p>
        </w:tc>
        <w:tc>
          <w:tcPr>
            <w:tcW w:w="1383"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742E94C3">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0.92 (0.86–0.99)</w:t>
            </w:r>
          </w:p>
        </w:tc>
        <w:tc>
          <w:tcPr>
            <w:tcW w:w="218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1134EBB2">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-0.01</w:t>
            </w:r>
          </w:p>
        </w:tc>
        <w:tc>
          <w:tcPr>
            <w:tcW w:w="1039"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2489BE54">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-168%</w:t>
            </w:r>
          </w:p>
        </w:tc>
        <w:tc>
          <w:tcPr>
            <w:tcW w:w="1148"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78CA8B6">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2.271</w:t>
            </w:r>
          </w:p>
        </w:tc>
        <w:tc>
          <w:tcPr>
            <w:tcW w:w="922"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44727147">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3649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14A8177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NRS (≥3 vs &lt;3)</w:t>
            </w:r>
          </w:p>
        </w:tc>
        <w:tc>
          <w:tcPr>
            <w:tcW w:w="1383"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50A1BD1E">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2.21 (1.03–4.74)</w:t>
            </w:r>
          </w:p>
        </w:tc>
        <w:tc>
          <w:tcPr>
            <w:tcW w:w="218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01816DBC">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-0.01</w:t>
            </w:r>
          </w:p>
        </w:tc>
        <w:tc>
          <w:tcPr>
            <w:tcW w:w="1039"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4E4CCD04">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-160%</w:t>
            </w:r>
          </w:p>
        </w:tc>
        <w:tc>
          <w:tcPr>
            <w:tcW w:w="1148"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025C4547">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1.718‡</w:t>
            </w:r>
          </w:p>
        </w:tc>
        <w:tc>
          <w:tcPr>
            <w:tcW w:w="92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69B3DE4D">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0987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40E1CC2D">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COPD (yes vs no)</w:t>
            </w:r>
          </w:p>
        </w:tc>
        <w:tc>
          <w:tcPr>
            <w:tcW w:w="1383"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4E9A63F4">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6.98 (2.79–17.48)</w:t>
            </w:r>
          </w:p>
        </w:tc>
        <w:tc>
          <w:tcPr>
            <w:tcW w:w="218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7C67E19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0.01</w:t>
            </w:r>
          </w:p>
        </w:tc>
        <w:tc>
          <w:tcPr>
            <w:tcW w:w="1039"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ACCDD69">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-22%</w:t>
            </w:r>
          </w:p>
        </w:tc>
        <w:tc>
          <w:tcPr>
            <w:tcW w:w="1148"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71D5733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2.371</w:t>
            </w:r>
          </w:p>
        </w:tc>
        <w:tc>
          <w:tcPr>
            <w:tcW w:w="922"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1F82239D">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48E8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2F8F5A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DM (yes vs no)</w:t>
            </w:r>
          </w:p>
        </w:tc>
        <w:tc>
          <w:tcPr>
            <w:tcW w:w="1383"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1E7CC876">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0.92 (0.42–2.02)</w:t>
            </w:r>
          </w:p>
        </w:tc>
        <w:tc>
          <w:tcPr>
            <w:tcW w:w="218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7AD5BD5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-0.01</w:t>
            </w:r>
          </w:p>
        </w:tc>
        <w:tc>
          <w:tcPr>
            <w:tcW w:w="1039"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12929353">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-166%</w:t>
            </w:r>
          </w:p>
        </w:tc>
        <w:tc>
          <w:tcPr>
            <w:tcW w:w="1148"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1A5EDB29">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2.385</w:t>
            </w:r>
          </w:p>
        </w:tc>
        <w:tc>
          <w:tcPr>
            <w:tcW w:w="92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4FCF913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2244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494E5CBD">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CVD (yes vs no)</w:t>
            </w:r>
          </w:p>
        </w:tc>
        <w:tc>
          <w:tcPr>
            <w:tcW w:w="1383"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27B985B2">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1.58 (0.72–3.48)</w:t>
            </w:r>
          </w:p>
        </w:tc>
        <w:tc>
          <w:tcPr>
            <w:tcW w:w="218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5157C7E5">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-0.03</w:t>
            </w:r>
          </w:p>
        </w:tc>
        <w:tc>
          <w:tcPr>
            <w:tcW w:w="1039"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F755031">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-232%</w:t>
            </w:r>
          </w:p>
        </w:tc>
        <w:tc>
          <w:tcPr>
            <w:tcW w:w="1148"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4D057E3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1.980</w:t>
            </w:r>
          </w:p>
        </w:tc>
        <w:tc>
          <w:tcPr>
            <w:tcW w:w="922"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2B007843">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6FB3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D9B9163">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CSVD (yes vs no)</w:t>
            </w:r>
          </w:p>
        </w:tc>
        <w:tc>
          <w:tcPr>
            <w:tcW w:w="1383"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6D12E83B">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1.71 (0.82–3.58)</w:t>
            </w:r>
          </w:p>
        </w:tc>
        <w:tc>
          <w:tcPr>
            <w:tcW w:w="218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4547F53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0.02</w:t>
            </w:r>
          </w:p>
        </w:tc>
        <w:tc>
          <w:tcPr>
            <w:tcW w:w="1039"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00C0F2D7">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+11%</w:t>
            </w:r>
          </w:p>
        </w:tc>
        <w:tc>
          <w:tcPr>
            <w:tcW w:w="1148"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0498A2FA">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2.342</w:t>
            </w:r>
          </w:p>
        </w:tc>
        <w:tc>
          <w:tcPr>
            <w:tcW w:w="92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7D480CC1">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1E08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10351153">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Triglycerides (per mmol/L)</w:t>
            </w:r>
          </w:p>
        </w:tc>
        <w:tc>
          <w:tcPr>
            <w:tcW w:w="1383"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3A213959">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0.44 (0.21–0.92)</w:t>
            </w:r>
          </w:p>
        </w:tc>
        <w:tc>
          <w:tcPr>
            <w:tcW w:w="218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5B45B45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0.02</w:t>
            </w:r>
          </w:p>
        </w:tc>
        <w:tc>
          <w:tcPr>
            <w:tcW w:w="1039"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3A9E8BF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-13%</w:t>
            </w:r>
          </w:p>
        </w:tc>
        <w:tc>
          <w:tcPr>
            <w:tcW w:w="1148"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5A27157">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2.052</w:t>
            </w:r>
          </w:p>
        </w:tc>
        <w:tc>
          <w:tcPr>
            <w:tcW w:w="922"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3FEE2199">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5E09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A2BCA2E">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Creatinine (per mg/dL)</w:t>
            </w:r>
          </w:p>
        </w:tc>
        <w:tc>
          <w:tcPr>
            <w:tcW w:w="1383"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7F7F682">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1.02 (1.00–1.03)</w:t>
            </w:r>
          </w:p>
        </w:tc>
        <w:tc>
          <w:tcPr>
            <w:tcW w:w="218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42497DE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0.05</w:t>
            </w:r>
          </w:p>
        </w:tc>
        <w:tc>
          <w:tcPr>
            <w:tcW w:w="1039"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697947E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+158%</w:t>
            </w:r>
          </w:p>
        </w:tc>
        <w:tc>
          <w:tcPr>
            <w:tcW w:w="1148"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70D53B7E">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2.496</w:t>
            </w:r>
          </w:p>
        </w:tc>
        <w:tc>
          <w:tcPr>
            <w:tcW w:w="92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6D3A3EE4">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37E8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3895E47C">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PTH (per pg/mL)</w:t>
            </w:r>
          </w:p>
        </w:tc>
        <w:tc>
          <w:tcPr>
            <w:tcW w:w="1383"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199230D6">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1.00 (0.99–1.01)</w:t>
            </w:r>
          </w:p>
        </w:tc>
        <w:tc>
          <w:tcPr>
            <w:tcW w:w="218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139956AC">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0.01</w:t>
            </w:r>
          </w:p>
        </w:tc>
        <w:tc>
          <w:tcPr>
            <w:tcW w:w="1039"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6324F08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-64%</w:t>
            </w:r>
          </w:p>
        </w:tc>
        <w:tc>
          <w:tcPr>
            <w:tcW w:w="1148"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1CDA87A4">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1.437</w:t>
            </w:r>
          </w:p>
        </w:tc>
        <w:tc>
          <w:tcPr>
            <w:tcW w:w="922"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5DD09478">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130E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14584097">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Serum calcium (per mmol/L)</w:t>
            </w:r>
          </w:p>
        </w:tc>
        <w:tc>
          <w:tcPr>
            <w:tcW w:w="1383"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237BF217">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0.29 (0.04–1.94)</w:t>
            </w:r>
          </w:p>
        </w:tc>
        <w:tc>
          <w:tcPr>
            <w:tcW w:w="218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8210B0C">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0.03</w:t>
            </w:r>
          </w:p>
        </w:tc>
        <w:tc>
          <w:tcPr>
            <w:tcW w:w="1039"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5F8926C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+43%</w:t>
            </w:r>
          </w:p>
        </w:tc>
        <w:tc>
          <w:tcPr>
            <w:tcW w:w="1148"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1A5F82B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2.710</w:t>
            </w:r>
          </w:p>
        </w:tc>
        <w:tc>
          <w:tcPr>
            <w:tcW w:w="92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452CF44">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77BA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4DB62609">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Hemoglobin (per g/L)</w:t>
            </w:r>
          </w:p>
        </w:tc>
        <w:tc>
          <w:tcPr>
            <w:tcW w:w="1383"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5DE9BAAF">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0.99 (0.98–1.01)</w:t>
            </w:r>
          </w:p>
        </w:tc>
        <w:tc>
          <w:tcPr>
            <w:tcW w:w="2186"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0E2B0C7">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0.01</w:t>
            </w:r>
          </w:p>
        </w:tc>
        <w:tc>
          <w:tcPr>
            <w:tcW w:w="1039"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35A0326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-43%</w:t>
            </w:r>
          </w:p>
        </w:tc>
        <w:tc>
          <w:tcPr>
            <w:tcW w:w="1148"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0F931C64">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1.790</w:t>
            </w:r>
          </w:p>
        </w:tc>
        <w:tc>
          <w:tcPr>
            <w:tcW w:w="922" w:type="dxa"/>
            <w:tcBorders>
              <w:top w:val="single" w:color="B5C7EA" w:themeColor="accent1" w:themeTint="66" w:sz="6" w:space="0"/>
              <w:left w:val="nil"/>
              <w:bottom w:val="single" w:color="B5C7EA" w:themeColor="accent1" w:themeTint="66" w:sz="6" w:space="0"/>
              <w:right w:val="nil"/>
            </w:tcBorders>
            <w:shd w:val="clear" w:color="auto" w:fill="FFFFFF"/>
            <w:vAlign w:val="center"/>
          </w:tcPr>
          <w:p w14:paraId="719FF9F6">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r w14:paraId="23B7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43D3D2F0">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Total bilirubin (per µmol/L)</w:t>
            </w:r>
          </w:p>
        </w:tc>
        <w:tc>
          <w:tcPr>
            <w:tcW w:w="1383"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7946A3A2">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1.06 (1.01–1.12)</w:t>
            </w:r>
          </w:p>
        </w:tc>
        <w:tc>
          <w:tcPr>
            <w:tcW w:w="2186"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31345A5A">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0.02</w:t>
            </w:r>
          </w:p>
        </w:tc>
        <w:tc>
          <w:tcPr>
            <w:tcW w:w="1039"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73454D33">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w:t>
            </w:r>
          </w:p>
        </w:tc>
        <w:tc>
          <w:tcPr>
            <w:tcW w:w="1148"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1A54EF42">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&gt;1000</w:t>
            </w:r>
          </w:p>
        </w:tc>
        <w:tc>
          <w:tcPr>
            <w:tcW w:w="92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vAlign w:val="center"/>
          </w:tcPr>
          <w:p w14:paraId="5A026697">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Yes§</w:t>
            </w:r>
          </w:p>
        </w:tc>
      </w:tr>
      <w:tr w14:paraId="2070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46" w:type="dxa"/>
            <w:tcBorders>
              <w:top w:val="single" w:color="B5C7EA" w:themeColor="accent1" w:themeTint="66" w:sz="6" w:space="0"/>
              <w:left w:val="nil"/>
              <w:bottom w:val="single" w:color="4874CB" w:themeColor="accent1" w:sz="8" w:space="0"/>
              <w:right w:val="nil"/>
            </w:tcBorders>
            <w:shd w:val="clear" w:color="auto" w:fill="FFFFFF"/>
            <w:vAlign w:val="center"/>
          </w:tcPr>
          <w:p w14:paraId="00FFB7B4">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Urea (per mmol/L)</w:t>
            </w:r>
          </w:p>
        </w:tc>
        <w:tc>
          <w:tcPr>
            <w:tcW w:w="1383" w:type="dxa"/>
            <w:tcBorders>
              <w:top w:val="single" w:color="B5C7EA" w:themeColor="accent1" w:themeTint="66" w:sz="6" w:space="0"/>
              <w:left w:val="nil"/>
              <w:bottom w:val="single" w:color="4874CB" w:themeColor="accent1" w:sz="8" w:space="0"/>
              <w:right w:val="nil"/>
            </w:tcBorders>
            <w:shd w:val="clear" w:color="auto" w:fill="FFFFFF"/>
            <w:vAlign w:val="center"/>
          </w:tcPr>
          <w:p w14:paraId="2DF964AE">
            <w:pPr>
              <w:snapToGrid w:val="0"/>
              <w:ind w:left="0" w:leftChars="0" w:right="0" w:rightChars="0" w:firstLine="0" w:firstLineChars="0"/>
              <w:jc w:val="left"/>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1.01 (0.99–1.03)</w:t>
            </w:r>
          </w:p>
        </w:tc>
        <w:tc>
          <w:tcPr>
            <w:tcW w:w="2186" w:type="dxa"/>
            <w:tcBorders>
              <w:top w:val="single" w:color="B5C7EA" w:themeColor="accent1" w:themeTint="66" w:sz="6" w:space="0"/>
              <w:left w:val="nil"/>
              <w:bottom w:val="single" w:color="4874CB" w:themeColor="accent1" w:sz="8" w:space="0"/>
              <w:right w:val="nil"/>
            </w:tcBorders>
            <w:shd w:val="clear" w:color="auto" w:fill="FFFFFF"/>
            <w:vAlign w:val="center"/>
          </w:tcPr>
          <w:p w14:paraId="12FA7A5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0.02</w:t>
            </w:r>
          </w:p>
        </w:tc>
        <w:tc>
          <w:tcPr>
            <w:tcW w:w="1039" w:type="dxa"/>
            <w:tcBorders>
              <w:top w:val="single" w:color="B5C7EA" w:themeColor="accent1" w:themeTint="66" w:sz="6" w:space="0"/>
              <w:left w:val="nil"/>
              <w:bottom w:val="single" w:color="4874CB" w:themeColor="accent1" w:sz="8" w:space="0"/>
              <w:right w:val="nil"/>
            </w:tcBorders>
            <w:shd w:val="clear" w:color="auto" w:fill="FFFFFF"/>
            <w:vAlign w:val="center"/>
          </w:tcPr>
          <w:p w14:paraId="32B3060F">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-10%</w:t>
            </w:r>
          </w:p>
        </w:tc>
        <w:tc>
          <w:tcPr>
            <w:tcW w:w="1148" w:type="dxa"/>
            <w:tcBorders>
              <w:top w:val="single" w:color="B5C7EA" w:themeColor="accent1" w:themeTint="66" w:sz="6" w:space="0"/>
              <w:left w:val="nil"/>
              <w:bottom w:val="single" w:color="4874CB" w:themeColor="accent1" w:sz="8" w:space="0"/>
              <w:right w:val="nil"/>
            </w:tcBorders>
            <w:shd w:val="clear" w:color="auto" w:fill="FFFFFF"/>
            <w:vAlign w:val="center"/>
          </w:tcPr>
          <w:p w14:paraId="24429098">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1.544</w:t>
            </w:r>
          </w:p>
        </w:tc>
        <w:tc>
          <w:tcPr>
            <w:tcW w:w="922" w:type="dxa"/>
            <w:tcBorders>
              <w:top w:val="single" w:color="B5C7EA" w:themeColor="accent1" w:themeTint="66" w:sz="6" w:space="0"/>
              <w:left w:val="nil"/>
              <w:bottom w:val="single" w:color="4874CB" w:themeColor="accent1" w:sz="8" w:space="0"/>
              <w:right w:val="nil"/>
            </w:tcBorders>
            <w:shd w:val="clear" w:color="auto" w:fill="FFFFFF"/>
            <w:vAlign w:val="center"/>
          </w:tcPr>
          <w:p w14:paraId="3574D13B">
            <w:pPr>
              <w:snapToGrid w:val="0"/>
              <w:ind w:left="0" w:leftChars="0" w:right="0" w:rightChars="0" w:firstLine="0" w:firstLineChars="0"/>
              <w:jc w:val="center"/>
              <w:rPr>
                <w:rStyle w:val="7"/>
                <w:rFonts w:hint="default" w:ascii="Times New Roman" w:hAnsi="Times New Roman" w:eastAsia="Segoe UI" w:cs="Times New Roman"/>
                <w:b w:val="0"/>
                <w:bCs/>
                <w:i w:val="0"/>
                <w:iCs w:val="0"/>
                <w:caps w:val="0"/>
                <w:color w:val="000000"/>
                <w:spacing w:val="0"/>
                <w:sz w:val="18"/>
                <w:szCs w:val="18"/>
                <w:shd w:val="clear" w:fill="FFFFFF"/>
                <w:vertAlign w:val="baseline"/>
              </w:rPr>
            </w:pPr>
            <w:r>
              <w:rPr>
                <w:rStyle w:val="7"/>
                <w:rFonts w:hint="default" w:ascii="Times New Roman" w:hAnsi="Times New Roman" w:eastAsia="Segoe UI" w:cs="Times New Roman"/>
                <w:b w:val="0"/>
                <w:bCs/>
                <w:i w:val="0"/>
                <w:iCs w:val="0"/>
                <w:caps w:val="0"/>
                <w:color w:val="000000"/>
                <w:spacing w:val="0"/>
                <w:sz w:val="18"/>
                <w:szCs w:val="18"/>
                <w:shd w:val="clear" w:fill="FFFFFF"/>
              </w:rPr>
              <w:t>No</w:t>
            </w:r>
          </w:p>
        </w:tc>
      </w:tr>
    </w:tbl>
    <w:p w14:paraId="012DE4BD">
      <w:pPr>
        <w:rPr>
          <w:rStyle w:val="7"/>
          <w:rFonts w:hint="eastAsia" w:ascii="Segoe UI" w:hAnsi="Segoe UI" w:eastAsia="Segoe UI" w:cs="Segoe UI"/>
          <w:b/>
          <w:bCs/>
          <w:i w:val="0"/>
          <w:iCs w:val="0"/>
          <w:caps w:val="0"/>
          <w:color w:val="0F1115"/>
          <w:spacing w:val="0"/>
          <w:sz w:val="12"/>
          <w:szCs w:val="12"/>
          <w:shd w:val="clear" w:fill="FFFFFF"/>
        </w:rPr>
      </w:pPr>
      <w:r>
        <w:rPr>
          <w:rStyle w:val="7"/>
          <w:rFonts w:hint="eastAsia" w:ascii="Segoe UI" w:hAnsi="Segoe UI" w:eastAsia="Segoe UI" w:cs="Segoe UI"/>
          <w:b/>
          <w:bCs/>
          <w:i w:val="0"/>
          <w:iCs w:val="0"/>
          <w:caps w:val="0"/>
          <w:color w:val="0F1115"/>
          <w:spacing w:val="0"/>
          <w:sz w:val="12"/>
          <w:szCs w:val="12"/>
          <w:shd w:val="clear" w:fill="FFFFFF"/>
        </w:rPr>
        <w:t>Abbreviations: OR, odds ratio; CI, confidence interval; BMI, body mass index; CRP, C‑reactive protein; NRS, Nutrition Risk Screening 2002; COPD, chronic obstructive pulmonary disease; DM, diabetes mellitus; CVD, cardiovascular disease; CSVD</w:t>
      </w:r>
      <w:r>
        <w:rPr>
          <w:rStyle w:val="7"/>
          <w:rFonts w:hint="eastAsia" w:ascii="Segoe UI" w:hAnsi="Segoe UI" w:eastAsia="宋体" w:cs="Segoe UI"/>
          <w:b/>
          <w:bCs/>
          <w:i w:val="0"/>
          <w:iCs w:val="0"/>
          <w:caps w:val="0"/>
          <w:color w:val="0F1115"/>
          <w:spacing w:val="0"/>
          <w:sz w:val="12"/>
          <w:szCs w:val="12"/>
          <w:shd w:val="clear" w:fill="FFFFFF"/>
          <w:lang w:val="en-US" w:eastAsia="zh-CN"/>
        </w:rPr>
        <w:t>,</w:t>
      </w:r>
      <w:r>
        <w:rPr>
          <w:rStyle w:val="7"/>
          <w:rFonts w:hint="eastAsia" w:ascii="Segoe UI" w:hAnsi="Segoe UI" w:eastAsia="Segoe UI" w:cs="Segoe UI"/>
          <w:b/>
          <w:bCs/>
          <w:i w:val="0"/>
          <w:iCs w:val="0"/>
          <w:caps w:val="0"/>
          <w:color w:val="0F1115"/>
          <w:spacing w:val="0"/>
          <w:sz w:val="12"/>
          <w:szCs w:val="12"/>
          <w:shd w:val="clear" w:fill="FFFFFF"/>
        </w:rPr>
        <w:t>cerebral small vessel disease; PTH, parathyroid hormone.</w:t>
      </w:r>
    </w:p>
    <w:p w14:paraId="431AAD30">
      <w:pPr>
        <w:rPr>
          <w:rStyle w:val="7"/>
          <w:rFonts w:hint="eastAsia" w:ascii="Segoe UI" w:hAnsi="Segoe UI" w:eastAsia="Segoe UI" w:cs="Segoe UI"/>
          <w:b/>
          <w:bCs/>
          <w:i w:val="0"/>
          <w:iCs w:val="0"/>
          <w:caps w:val="0"/>
          <w:color w:val="0F1115"/>
          <w:spacing w:val="0"/>
          <w:sz w:val="12"/>
          <w:szCs w:val="12"/>
          <w:shd w:val="clear" w:fill="FFFFFF"/>
        </w:rPr>
      </w:pPr>
      <w:r>
        <w:rPr>
          <w:rStyle w:val="7"/>
          <w:rFonts w:hint="eastAsia" w:ascii="Segoe UI" w:hAnsi="Segoe UI" w:eastAsia="Segoe UI" w:cs="Segoe UI"/>
          <w:b/>
          <w:bCs/>
          <w:i w:val="0"/>
          <w:iCs w:val="0"/>
          <w:caps w:val="0"/>
          <w:color w:val="0F1115"/>
          <w:spacing w:val="0"/>
          <w:sz w:val="12"/>
          <w:szCs w:val="12"/>
          <w:shd w:val="clear" w:fill="FFFFFF"/>
        </w:rPr>
        <w:t>Notes:</w:t>
      </w:r>
    </w:p>
    <w:p w14:paraId="0B76F9D6">
      <w:pPr>
        <w:rPr>
          <w:rStyle w:val="7"/>
          <w:rFonts w:hint="eastAsia" w:ascii="Segoe UI" w:hAnsi="Segoe UI" w:eastAsia="Segoe UI" w:cs="Segoe UI"/>
          <w:b/>
          <w:bCs/>
          <w:i w:val="0"/>
          <w:iCs w:val="0"/>
          <w:caps w:val="0"/>
          <w:color w:val="0F1115"/>
          <w:spacing w:val="0"/>
          <w:sz w:val="12"/>
          <w:szCs w:val="12"/>
          <w:shd w:val="clear" w:fill="FFFFFF"/>
        </w:rPr>
      </w:pPr>
      <w:r>
        <w:rPr>
          <w:rStyle w:val="7"/>
          <w:rFonts w:hint="eastAsia" w:ascii="Segoe UI" w:hAnsi="Segoe UI" w:eastAsia="Segoe UI" w:cs="Segoe UI"/>
          <w:b/>
          <w:bCs/>
          <w:i w:val="0"/>
          <w:iCs w:val="0"/>
          <w:caps w:val="0"/>
          <w:color w:val="0F1115"/>
          <w:spacing w:val="0"/>
          <w:sz w:val="12"/>
          <w:szCs w:val="12"/>
          <w:shd w:val="clear" w:fill="FFFFFF"/>
        </w:rPr>
        <w:t>*Change percentage = (coefffull - coeffcrude) / |coeffcrude| × 100%, where crude coefficients are derived from univariate logistic regression (log‑odds scale). A change &gt;10% indicates potential confounding.</w:t>
      </w:r>
    </w:p>
    <w:p w14:paraId="60253A65">
      <w:pPr>
        <w:rPr>
          <w:rStyle w:val="7"/>
          <w:rFonts w:hint="eastAsia" w:ascii="Segoe UI" w:hAnsi="Segoe UI" w:eastAsia="Segoe UI" w:cs="Segoe UI"/>
          <w:b/>
          <w:bCs/>
          <w:i w:val="0"/>
          <w:iCs w:val="0"/>
          <w:caps w:val="0"/>
          <w:color w:val="0F1115"/>
          <w:spacing w:val="0"/>
          <w:sz w:val="12"/>
          <w:szCs w:val="12"/>
          <w:shd w:val="clear" w:fill="FFFFFF"/>
        </w:rPr>
      </w:pPr>
      <w:r>
        <w:rPr>
          <w:rStyle w:val="7"/>
          <w:rFonts w:hint="eastAsia" w:ascii="Segoe UI" w:hAnsi="Segoe UI" w:eastAsia="Segoe UI" w:cs="Segoe UI"/>
          <w:b/>
          <w:bCs/>
          <w:i w:val="0"/>
          <w:iCs w:val="0"/>
          <w:caps w:val="0"/>
          <w:color w:val="0F1115"/>
          <w:spacing w:val="0"/>
          <w:sz w:val="12"/>
          <w:szCs w:val="12"/>
          <w:shd w:val="clear" w:fill="FFFFFF"/>
        </w:rPr>
        <w:t>†GVIF1/(2×Df) is the adjusted variance inflation factor for categorical variables with &gt;2 levels. Values &lt;2 indicate no significant collinearity.</w:t>
      </w:r>
    </w:p>
    <w:p w14:paraId="27D1DD91">
      <w:pPr>
        <w:rPr>
          <w:rStyle w:val="7"/>
          <w:rFonts w:hint="eastAsia" w:ascii="Segoe UI" w:hAnsi="Segoe UI" w:eastAsia="Segoe UI" w:cs="Segoe UI"/>
          <w:b/>
          <w:bCs/>
          <w:i w:val="0"/>
          <w:iCs w:val="0"/>
          <w:caps w:val="0"/>
          <w:color w:val="0F1115"/>
          <w:spacing w:val="0"/>
          <w:sz w:val="12"/>
          <w:szCs w:val="12"/>
          <w:shd w:val="clear" w:fill="FFFFFF"/>
        </w:rPr>
      </w:pPr>
      <w:r>
        <w:rPr>
          <w:rStyle w:val="7"/>
          <w:rFonts w:hint="eastAsia" w:ascii="Segoe UI" w:hAnsi="Segoe UI" w:eastAsia="Segoe UI" w:cs="Segoe UI"/>
          <w:b/>
          <w:bCs/>
          <w:i w:val="0"/>
          <w:iCs w:val="0"/>
          <w:caps w:val="0"/>
          <w:color w:val="0F1115"/>
          <w:spacing w:val="0"/>
          <w:sz w:val="12"/>
          <w:szCs w:val="12"/>
          <w:shd w:val="clear" w:fill="FFFFFF"/>
        </w:rPr>
        <w:t>‡NRS had 7 levels (DF=7); the adjusted VIF was 1.718, indicating acceptable collinearity.</w:t>
      </w:r>
    </w:p>
    <w:p w14:paraId="21F2415A">
      <w:pPr>
        <w:rPr>
          <w:rStyle w:val="7"/>
          <w:rFonts w:hint="eastAsia" w:ascii="Segoe UI" w:hAnsi="Segoe UI" w:eastAsia="Segoe UI" w:cs="Segoe UI"/>
          <w:b/>
          <w:bCs/>
          <w:i w:val="0"/>
          <w:iCs w:val="0"/>
          <w:caps w:val="0"/>
          <w:color w:val="0F1115"/>
          <w:spacing w:val="0"/>
          <w:sz w:val="12"/>
          <w:szCs w:val="12"/>
          <w:shd w:val="clear" w:fill="FFFFFF"/>
        </w:rPr>
      </w:pPr>
      <w:r>
        <w:rPr>
          <w:rStyle w:val="7"/>
          <w:rFonts w:hint="eastAsia" w:ascii="Segoe UI" w:hAnsi="Segoe UI" w:eastAsia="Segoe UI" w:cs="Segoe UI"/>
          <w:b/>
          <w:bCs/>
          <w:i w:val="0"/>
          <w:iCs w:val="0"/>
          <w:caps w:val="0"/>
          <w:color w:val="0F1115"/>
          <w:spacing w:val="0"/>
          <w:sz w:val="12"/>
          <w:szCs w:val="12"/>
          <w:shd w:val="clear" w:fill="FFFFFF"/>
        </w:rPr>
        <w:t>§Total bilirubin showed extremely high VIF due to near‑perfect linear correlation with direct bilirubin and free bilirubin; therefore, bilirubin‑related variables were excluded from final models.</w:t>
      </w:r>
      <w:bookmarkStart w:id="0" w:name="_GoBack"/>
      <w:bookmarkEnd w:id="0"/>
    </w:p>
    <w:p w14:paraId="5521906F">
      <w:pPr>
        <w:rPr>
          <w:rStyle w:val="7"/>
          <w:rFonts w:hint="default" w:ascii="Times New Roman" w:hAnsi="Times New Roman" w:eastAsia="Segoe UI" w:cs="Times New Roman"/>
          <w:b/>
          <w:bCs/>
          <w:i w:val="0"/>
          <w:iCs w:val="0"/>
          <w:caps w:val="0"/>
          <w:color w:val="0F1115"/>
          <w:spacing w:val="0"/>
          <w:sz w:val="20"/>
          <w:szCs w:val="20"/>
          <w:shd w:val="clear" w:fill="FFFFFF"/>
        </w:rPr>
      </w:pPr>
      <w:r>
        <w:rPr>
          <w:rStyle w:val="7"/>
          <w:rFonts w:hint="default" w:ascii="Times New Roman" w:hAnsi="Times New Roman" w:eastAsia="Segoe UI" w:cs="Times New Roman"/>
          <w:b/>
          <w:bCs/>
          <w:i w:val="0"/>
          <w:iCs w:val="0"/>
          <w:caps w:val="0"/>
          <w:color w:val="0F1115"/>
          <w:spacing w:val="0"/>
          <w:sz w:val="20"/>
          <w:szCs w:val="20"/>
          <w:shd w:val="clear" w:fill="FFFFFF"/>
        </w:rPr>
        <w:t>Supplementary Table S</w:t>
      </w:r>
      <w:r>
        <w:rPr>
          <w:rStyle w:val="7"/>
          <w:rFonts w:hint="default" w:ascii="Times New Roman" w:hAnsi="Times New Roman" w:eastAsia="宋体" w:cs="Times New Roman"/>
          <w:b/>
          <w:bCs/>
          <w:i w:val="0"/>
          <w:iCs w:val="0"/>
          <w:caps w:val="0"/>
          <w:color w:val="0F1115"/>
          <w:spacing w:val="0"/>
          <w:sz w:val="20"/>
          <w:szCs w:val="20"/>
          <w:shd w:val="clear" w:fill="FFFFFF"/>
          <w:lang w:val="en-US" w:eastAsia="zh-CN"/>
        </w:rPr>
        <w:t>3</w:t>
      </w:r>
      <w:r>
        <w:rPr>
          <w:rStyle w:val="7"/>
          <w:rFonts w:hint="default" w:ascii="Times New Roman" w:hAnsi="Times New Roman" w:eastAsia="Segoe UI" w:cs="Times New Roman"/>
          <w:b/>
          <w:bCs/>
          <w:i w:val="0"/>
          <w:iCs w:val="0"/>
          <w:caps w:val="0"/>
          <w:color w:val="0F1115"/>
          <w:spacing w:val="0"/>
          <w:sz w:val="20"/>
          <w:szCs w:val="20"/>
          <w:shd w:val="clear" w:fill="FFFFFF"/>
        </w:rPr>
        <w:t>. Standardized mean differences (SMD) before and after propensity score matching and weighting</w:t>
      </w:r>
    </w:p>
    <w:tbl>
      <w:tblPr>
        <w:tblStyle w:val="4"/>
        <w:tblW w:w="84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706"/>
        <w:gridCol w:w="1352"/>
        <w:gridCol w:w="1949"/>
        <w:gridCol w:w="846"/>
        <w:gridCol w:w="954"/>
        <w:gridCol w:w="846"/>
        <w:gridCol w:w="770"/>
      </w:tblGrid>
      <w:tr w14:paraId="37C7C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0" w:type="auto"/>
            <w:tcBorders>
              <w:top w:val="single" w:color="4874CB" w:themeColor="accent1" w:sz="8" w:space="0"/>
              <w:left w:val="nil"/>
              <w:bottom w:val="single" w:color="B5C7EA" w:themeColor="accent1" w:themeTint="66" w:sz="6" w:space="0"/>
              <w:right w:val="nil"/>
            </w:tcBorders>
            <w:shd w:val="clear" w:color="auto" w:fill="4874CB" w:themeFill="accent1"/>
            <w:tcMar>
              <w:top w:w="75" w:type="dxa"/>
              <w:left w:w="0" w:type="dxa"/>
              <w:bottom w:w="75" w:type="dxa"/>
              <w:right w:w="120" w:type="dxa"/>
            </w:tcMar>
            <w:vAlign w:val="center"/>
          </w:tcPr>
          <w:p w14:paraId="4CAD8E30">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color w:val="FFFFFF"/>
                <w:sz w:val="18"/>
                <w:szCs w:val="18"/>
              </w:rPr>
            </w:pPr>
            <w:r>
              <w:rPr>
                <w:rFonts w:hint="default" w:ascii="Segoe UI" w:hAnsi="Segoe UI" w:eastAsia="Segoe UI" w:cs="Segoe UI"/>
                <w:b/>
                <w:i w:val="0"/>
                <w:color w:val="FFFFFF"/>
                <w:kern w:val="0"/>
                <w:sz w:val="18"/>
                <w:szCs w:val="18"/>
                <w:lang w:val="en-US" w:eastAsia="zh-CN" w:bidi="ar"/>
              </w:rPr>
              <w:t>Covariate</w:t>
            </w:r>
          </w:p>
        </w:tc>
        <w:tc>
          <w:tcPr>
            <w:tcW w:w="0" w:type="auto"/>
            <w:tcBorders>
              <w:top w:val="single" w:color="4874CB" w:themeColor="accent1" w:sz="8" w:space="0"/>
              <w:left w:val="nil"/>
              <w:bottom w:val="single" w:color="B5C7EA" w:themeColor="accent1" w:themeTint="66" w:sz="6" w:space="0"/>
              <w:right w:val="nil"/>
            </w:tcBorders>
            <w:shd w:val="clear" w:color="auto" w:fill="4874CB" w:themeFill="accent1"/>
            <w:tcMar>
              <w:top w:w="75" w:type="dxa"/>
              <w:left w:w="120" w:type="dxa"/>
              <w:bottom w:w="75" w:type="dxa"/>
              <w:right w:w="120" w:type="dxa"/>
            </w:tcMar>
            <w:vAlign w:val="center"/>
          </w:tcPr>
          <w:p w14:paraId="13FDD09F">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color w:val="FFFFFF"/>
                <w:sz w:val="18"/>
                <w:szCs w:val="18"/>
              </w:rPr>
            </w:pPr>
            <w:r>
              <w:rPr>
                <w:rFonts w:hint="default" w:ascii="Segoe UI" w:hAnsi="Segoe UI" w:eastAsia="Segoe UI" w:cs="Segoe UI"/>
                <w:b/>
                <w:i w:val="0"/>
                <w:color w:val="FFFFFF"/>
                <w:kern w:val="0"/>
                <w:sz w:val="18"/>
                <w:szCs w:val="18"/>
                <w:lang w:val="en-US" w:eastAsia="zh-CN" w:bidi="ar"/>
              </w:rPr>
              <w:t>Unmatched</w:t>
            </w:r>
          </w:p>
        </w:tc>
        <w:tc>
          <w:tcPr>
            <w:tcW w:w="0" w:type="auto"/>
            <w:tcBorders>
              <w:top w:val="single" w:color="4874CB" w:themeColor="accent1" w:sz="8" w:space="0"/>
              <w:left w:val="nil"/>
              <w:bottom w:val="single" w:color="B5C7EA" w:themeColor="accent1" w:themeTint="66" w:sz="6" w:space="0"/>
              <w:right w:val="nil"/>
            </w:tcBorders>
            <w:shd w:val="clear" w:color="auto" w:fill="4874CB" w:themeFill="accent1"/>
            <w:tcMar>
              <w:top w:w="75" w:type="dxa"/>
              <w:left w:w="120" w:type="dxa"/>
              <w:bottom w:w="75" w:type="dxa"/>
              <w:right w:w="120" w:type="dxa"/>
            </w:tcMar>
            <w:vAlign w:val="center"/>
          </w:tcPr>
          <w:p w14:paraId="45A446A0">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color w:val="FFFFFF"/>
                <w:sz w:val="18"/>
                <w:szCs w:val="18"/>
              </w:rPr>
            </w:pPr>
            <w:r>
              <w:rPr>
                <w:rFonts w:hint="default" w:ascii="Segoe UI" w:hAnsi="Segoe UI" w:eastAsia="Segoe UI" w:cs="Segoe UI"/>
                <w:b/>
                <w:i w:val="0"/>
                <w:color w:val="FFFFFF"/>
                <w:kern w:val="0"/>
                <w:sz w:val="18"/>
                <w:szCs w:val="18"/>
                <w:lang w:val="en-US" w:eastAsia="zh-CN" w:bidi="ar"/>
              </w:rPr>
              <w:t>Matched (1:1 PSM)</w:t>
            </w:r>
          </w:p>
        </w:tc>
        <w:tc>
          <w:tcPr>
            <w:tcW w:w="0" w:type="auto"/>
            <w:tcBorders>
              <w:top w:val="single" w:color="4874CB" w:themeColor="accent1" w:sz="8" w:space="0"/>
              <w:left w:val="nil"/>
              <w:bottom w:val="single" w:color="B5C7EA" w:themeColor="accent1" w:themeTint="66" w:sz="6" w:space="0"/>
              <w:right w:val="nil"/>
            </w:tcBorders>
            <w:shd w:val="clear" w:color="auto" w:fill="4874CB" w:themeFill="accent1"/>
            <w:tcMar>
              <w:top w:w="75" w:type="dxa"/>
              <w:left w:w="120" w:type="dxa"/>
              <w:bottom w:w="75" w:type="dxa"/>
              <w:right w:w="120" w:type="dxa"/>
            </w:tcMar>
            <w:vAlign w:val="center"/>
          </w:tcPr>
          <w:p w14:paraId="1DDE7D9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color w:val="FFFFFF"/>
                <w:sz w:val="18"/>
                <w:szCs w:val="18"/>
              </w:rPr>
            </w:pPr>
            <w:r>
              <w:rPr>
                <w:rFonts w:hint="default" w:ascii="Segoe UI" w:hAnsi="Segoe UI" w:eastAsia="Segoe UI" w:cs="Segoe UI"/>
                <w:b/>
                <w:i w:val="0"/>
                <w:color w:val="FFFFFF"/>
                <w:kern w:val="0"/>
                <w:sz w:val="18"/>
                <w:szCs w:val="18"/>
                <w:lang w:val="en-US" w:eastAsia="zh-CN" w:bidi="ar"/>
              </w:rPr>
              <w:t>IPTW</w:t>
            </w:r>
          </w:p>
        </w:tc>
        <w:tc>
          <w:tcPr>
            <w:tcW w:w="0" w:type="auto"/>
            <w:tcBorders>
              <w:top w:val="single" w:color="4874CB" w:themeColor="accent1" w:sz="8" w:space="0"/>
              <w:left w:val="nil"/>
              <w:bottom w:val="single" w:color="B5C7EA" w:themeColor="accent1" w:themeTint="66" w:sz="6" w:space="0"/>
              <w:right w:val="nil"/>
            </w:tcBorders>
            <w:shd w:val="clear" w:color="auto" w:fill="4874CB" w:themeFill="accent1"/>
            <w:tcMar>
              <w:top w:w="75" w:type="dxa"/>
              <w:left w:w="120" w:type="dxa"/>
              <w:bottom w:w="75" w:type="dxa"/>
              <w:right w:w="120" w:type="dxa"/>
            </w:tcMar>
            <w:vAlign w:val="center"/>
          </w:tcPr>
          <w:p w14:paraId="043F72C3">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color w:val="FFFFFF"/>
                <w:sz w:val="18"/>
                <w:szCs w:val="18"/>
              </w:rPr>
            </w:pPr>
            <w:r>
              <w:rPr>
                <w:rFonts w:hint="default" w:ascii="Segoe UI" w:hAnsi="Segoe UI" w:eastAsia="Segoe UI" w:cs="Segoe UI"/>
                <w:b/>
                <w:i w:val="0"/>
                <w:color w:val="FFFFFF"/>
                <w:kern w:val="0"/>
                <w:sz w:val="18"/>
                <w:szCs w:val="18"/>
                <w:lang w:val="en-US" w:eastAsia="zh-CN" w:bidi="ar"/>
              </w:rPr>
              <w:t>SMRW</w:t>
            </w:r>
          </w:p>
        </w:tc>
        <w:tc>
          <w:tcPr>
            <w:tcW w:w="0" w:type="auto"/>
            <w:tcBorders>
              <w:top w:val="single" w:color="4874CB" w:themeColor="accent1" w:sz="8" w:space="0"/>
              <w:left w:val="nil"/>
              <w:bottom w:val="single" w:color="B5C7EA" w:themeColor="accent1" w:themeTint="66" w:sz="6" w:space="0"/>
              <w:right w:val="nil"/>
            </w:tcBorders>
            <w:shd w:val="clear" w:color="auto" w:fill="4874CB" w:themeFill="accent1"/>
            <w:tcMar>
              <w:top w:w="75" w:type="dxa"/>
              <w:left w:w="120" w:type="dxa"/>
              <w:bottom w:w="75" w:type="dxa"/>
              <w:right w:w="120" w:type="dxa"/>
            </w:tcMar>
            <w:vAlign w:val="center"/>
          </w:tcPr>
          <w:p w14:paraId="517ECFA7">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color w:val="FFFFFF"/>
                <w:sz w:val="18"/>
                <w:szCs w:val="18"/>
              </w:rPr>
            </w:pPr>
            <w:r>
              <w:rPr>
                <w:rFonts w:hint="default" w:ascii="Segoe UI" w:hAnsi="Segoe UI" w:eastAsia="Segoe UI" w:cs="Segoe UI"/>
                <w:b/>
                <w:i w:val="0"/>
                <w:color w:val="FFFFFF"/>
                <w:kern w:val="0"/>
                <w:sz w:val="18"/>
                <w:szCs w:val="18"/>
                <w:lang w:val="en-US" w:eastAsia="zh-CN" w:bidi="ar"/>
              </w:rPr>
              <w:t>PA</w:t>
            </w:r>
          </w:p>
        </w:tc>
        <w:tc>
          <w:tcPr>
            <w:tcW w:w="770" w:type="dxa"/>
            <w:tcBorders>
              <w:top w:val="single" w:color="4874CB" w:themeColor="accent1" w:sz="8" w:space="0"/>
              <w:left w:val="nil"/>
              <w:bottom w:val="single" w:color="B5C7EA" w:themeColor="accent1" w:themeTint="66" w:sz="6" w:space="0"/>
              <w:right w:val="nil"/>
            </w:tcBorders>
            <w:shd w:val="clear" w:color="auto" w:fill="4874CB" w:themeFill="accent1"/>
            <w:tcMar>
              <w:top w:w="75" w:type="dxa"/>
              <w:left w:w="120" w:type="dxa"/>
              <w:bottom w:w="75" w:type="dxa"/>
              <w:right w:w="120" w:type="dxa"/>
            </w:tcMar>
            <w:vAlign w:val="center"/>
          </w:tcPr>
          <w:p w14:paraId="293E1F5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color w:val="FFFFFF"/>
                <w:sz w:val="18"/>
                <w:szCs w:val="18"/>
              </w:rPr>
            </w:pPr>
            <w:r>
              <w:rPr>
                <w:rFonts w:hint="default" w:ascii="Segoe UI" w:hAnsi="Segoe UI" w:eastAsia="Segoe UI" w:cs="Segoe UI"/>
                <w:b/>
                <w:i w:val="0"/>
                <w:color w:val="FFFFFF"/>
                <w:kern w:val="0"/>
                <w:sz w:val="18"/>
                <w:szCs w:val="18"/>
                <w:lang w:val="en-US" w:eastAsia="zh-CN" w:bidi="ar"/>
              </w:rPr>
              <w:t>OW</w:t>
            </w:r>
          </w:p>
        </w:tc>
      </w:tr>
      <w:tr w14:paraId="21188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0" w:type="dxa"/>
              <w:bottom w:w="75" w:type="dxa"/>
              <w:right w:w="120" w:type="dxa"/>
            </w:tcMar>
            <w:vAlign w:val="center"/>
          </w:tcPr>
          <w:p w14:paraId="47E94058">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Gender (female)</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5ED9BDDB">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0.553</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6AC59438">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51618A7D">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0.017</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1D80A020">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0.022</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46989A1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0.009</w:t>
            </w:r>
          </w:p>
        </w:tc>
        <w:tc>
          <w:tcPr>
            <w:tcW w:w="770" w:type="dxa"/>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0" w:type="dxa"/>
            </w:tcMar>
            <w:vAlign w:val="center"/>
          </w:tcPr>
          <w:p w14:paraId="66E8524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r>
      <w:tr w14:paraId="1D1B6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0" w:type="dxa"/>
              <w:bottom w:w="75" w:type="dxa"/>
              <w:right w:w="120" w:type="dxa"/>
            </w:tcMar>
            <w:vAlign w:val="center"/>
          </w:tcPr>
          <w:p w14:paraId="7780C38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Age</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68AA4B1D">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0.049</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41524EB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0.032</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0862823C">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0.029</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72E7E2D4">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0.010</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2EB0742D">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0.020</w:t>
            </w:r>
          </w:p>
        </w:tc>
        <w:tc>
          <w:tcPr>
            <w:tcW w:w="770"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0" w:type="dxa"/>
            </w:tcMar>
            <w:vAlign w:val="center"/>
          </w:tcPr>
          <w:p w14:paraId="44F43369">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r>
      <w:tr w14:paraId="50553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0" w:type="dxa"/>
              <w:bottom w:w="75" w:type="dxa"/>
              <w:right w:w="120" w:type="dxa"/>
            </w:tcMar>
            <w:vAlign w:val="center"/>
          </w:tcPr>
          <w:p w14:paraId="6825A5F8">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BMI</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6FC0E768">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0.138</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6EAB397D">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0.020</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11FD9C21">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0.022</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47322933">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0.064</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163607EA">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0.001</w:t>
            </w:r>
          </w:p>
        </w:tc>
        <w:tc>
          <w:tcPr>
            <w:tcW w:w="770" w:type="dxa"/>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0" w:type="dxa"/>
            </w:tcMar>
            <w:vAlign w:val="center"/>
          </w:tcPr>
          <w:p w14:paraId="5ADB01D8">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r>
      <w:tr w14:paraId="3D5EB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0" w:type="dxa"/>
              <w:bottom w:w="75" w:type="dxa"/>
              <w:right w:w="120" w:type="dxa"/>
            </w:tcMar>
            <w:vAlign w:val="center"/>
          </w:tcPr>
          <w:p w14:paraId="5EE67397">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SMI</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2F76DCC5">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0.033</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25EF2C91">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0.044</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3F888F5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0.006</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49A9661A">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0.052</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7EC212A3">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0.005</w:t>
            </w:r>
          </w:p>
        </w:tc>
        <w:tc>
          <w:tcPr>
            <w:tcW w:w="770"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0" w:type="dxa"/>
            </w:tcMar>
            <w:vAlign w:val="center"/>
          </w:tcPr>
          <w:p w14:paraId="72E5FC1B">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r>
      <w:tr w14:paraId="22FDD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0" w:type="dxa"/>
              <w:bottom w:w="75" w:type="dxa"/>
              <w:right w:w="120" w:type="dxa"/>
            </w:tcMar>
            <w:vAlign w:val="center"/>
          </w:tcPr>
          <w:p w14:paraId="5EB0C99D">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Handgrip strength</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251A51F6">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0.126</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228847A4">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0.057</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645FA57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0.020</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2365976B">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0.024</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2E52E38B">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0.011</w:t>
            </w:r>
          </w:p>
        </w:tc>
        <w:tc>
          <w:tcPr>
            <w:tcW w:w="770" w:type="dxa"/>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0" w:type="dxa"/>
            </w:tcMar>
            <w:vAlign w:val="center"/>
          </w:tcPr>
          <w:p w14:paraId="7E6E5B41">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r>
      <w:tr w14:paraId="46DA9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0" w:type="dxa"/>
              <w:bottom w:w="75" w:type="dxa"/>
              <w:right w:w="120" w:type="dxa"/>
            </w:tcMar>
            <w:vAlign w:val="center"/>
          </w:tcPr>
          <w:p w14:paraId="2E5246AF">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CRP</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53B6DB76">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0.186</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480D5457">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0.036</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34102241">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0.158</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601E05F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0.060</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4CB09DC5">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0.039</w:t>
            </w:r>
          </w:p>
        </w:tc>
        <w:tc>
          <w:tcPr>
            <w:tcW w:w="770"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0" w:type="dxa"/>
            </w:tcMar>
            <w:vAlign w:val="center"/>
          </w:tcPr>
          <w:p w14:paraId="46AB6FF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r>
      <w:tr w14:paraId="1A7ED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0" w:type="dxa"/>
              <w:bottom w:w="75" w:type="dxa"/>
              <w:right w:w="120" w:type="dxa"/>
            </w:tcMar>
            <w:vAlign w:val="center"/>
          </w:tcPr>
          <w:p w14:paraId="01146DD3">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Albumin</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0CD6D2C8">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0.114</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7208C544">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0.103</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201B4D3D">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0.069</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587C1539">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0.142</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0AB0E946">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0.004</w:t>
            </w:r>
          </w:p>
        </w:tc>
        <w:tc>
          <w:tcPr>
            <w:tcW w:w="770" w:type="dxa"/>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0" w:type="dxa"/>
            </w:tcMar>
            <w:vAlign w:val="center"/>
          </w:tcPr>
          <w:p w14:paraId="4C231C69">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r>
      <w:tr w14:paraId="4410E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0" w:type="dxa"/>
              <w:bottom w:w="75" w:type="dxa"/>
              <w:right w:w="120" w:type="dxa"/>
            </w:tcMar>
            <w:vAlign w:val="center"/>
          </w:tcPr>
          <w:p w14:paraId="35930827">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COPD</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08F25D1E">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0.140</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158812DF">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0.062</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2C5EBDE0">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0.049</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177B87DB">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0.037</w:t>
            </w:r>
          </w:p>
        </w:tc>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120" w:type="dxa"/>
            </w:tcMar>
            <w:vAlign w:val="center"/>
          </w:tcPr>
          <w:p w14:paraId="575CB797">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0.009</w:t>
            </w:r>
          </w:p>
        </w:tc>
        <w:tc>
          <w:tcPr>
            <w:tcW w:w="770"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0" w:type="dxa"/>
            </w:tcMar>
            <w:vAlign w:val="center"/>
          </w:tcPr>
          <w:p w14:paraId="1D88F265">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r>
      <w:tr w14:paraId="6829C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0" w:type="dxa"/>
              <w:bottom w:w="75" w:type="dxa"/>
              <w:right w:w="120" w:type="dxa"/>
            </w:tcMar>
            <w:vAlign w:val="center"/>
          </w:tcPr>
          <w:p w14:paraId="6F656BBF">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NRS (categorical)</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0D361DFC">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0.504</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6C7B8F36">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0.199</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0E66A307">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0.153</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4D69DD7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0.065</w:t>
            </w:r>
          </w:p>
        </w:tc>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120" w:type="dxa"/>
            </w:tcMar>
            <w:vAlign w:val="center"/>
          </w:tcPr>
          <w:p w14:paraId="3A9CE22F">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0.085</w:t>
            </w:r>
          </w:p>
        </w:tc>
        <w:tc>
          <w:tcPr>
            <w:tcW w:w="770" w:type="dxa"/>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0" w:type="dxa"/>
            </w:tcMar>
            <w:vAlign w:val="center"/>
          </w:tcPr>
          <w:p w14:paraId="1D3FC3A9">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r>
      <w:tr w14:paraId="79B4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706" w:type="dxa"/>
            <w:tcBorders>
              <w:top w:val="single" w:color="B5C7EA" w:themeColor="accent1" w:themeTint="66" w:sz="6" w:space="0"/>
              <w:left w:val="nil"/>
              <w:bottom w:val="single" w:color="4874CB" w:themeColor="accent1" w:sz="8" w:space="0"/>
              <w:right w:val="nil"/>
            </w:tcBorders>
            <w:shd w:val="clear" w:color="auto" w:fill="EDF1F9" w:themeFill="accent1" w:themeFillTint="19"/>
            <w:tcMar>
              <w:top w:w="75" w:type="dxa"/>
              <w:left w:w="0" w:type="dxa"/>
              <w:bottom w:w="75" w:type="dxa"/>
              <w:right w:w="120" w:type="dxa"/>
            </w:tcMar>
            <w:vAlign w:val="center"/>
          </w:tcPr>
          <w:p w14:paraId="63F4FCA9">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CSVD</w:t>
            </w:r>
          </w:p>
        </w:tc>
        <w:tc>
          <w:tcPr>
            <w:tcW w:w="1352" w:type="dxa"/>
            <w:tcBorders>
              <w:top w:val="single" w:color="B5C7EA" w:themeColor="accent1" w:themeTint="66" w:sz="6" w:space="0"/>
              <w:left w:val="nil"/>
              <w:bottom w:val="single" w:color="4874CB" w:themeColor="accent1" w:sz="8" w:space="0"/>
              <w:right w:val="nil"/>
            </w:tcBorders>
            <w:shd w:val="clear" w:color="auto" w:fill="EDF1F9" w:themeFill="accent1" w:themeFillTint="19"/>
            <w:tcMar>
              <w:top w:w="75" w:type="dxa"/>
              <w:left w:w="120" w:type="dxa"/>
              <w:bottom w:w="75" w:type="dxa"/>
              <w:right w:w="120" w:type="dxa"/>
            </w:tcMar>
            <w:vAlign w:val="center"/>
          </w:tcPr>
          <w:p w14:paraId="349CDF51">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0.222</w:t>
            </w:r>
          </w:p>
        </w:tc>
        <w:tc>
          <w:tcPr>
            <w:tcW w:w="1949" w:type="dxa"/>
            <w:tcBorders>
              <w:top w:val="single" w:color="B5C7EA" w:themeColor="accent1" w:themeTint="66" w:sz="6" w:space="0"/>
              <w:left w:val="nil"/>
              <w:bottom w:val="single" w:color="4874CB" w:themeColor="accent1" w:sz="8" w:space="0"/>
              <w:right w:val="nil"/>
            </w:tcBorders>
            <w:shd w:val="clear" w:color="auto" w:fill="EDF1F9" w:themeFill="accent1" w:themeFillTint="19"/>
            <w:tcMar>
              <w:top w:w="75" w:type="dxa"/>
              <w:left w:w="120" w:type="dxa"/>
              <w:bottom w:w="75" w:type="dxa"/>
              <w:right w:w="120" w:type="dxa"/>
            </w:tcMar>
            <w:vAlign w:val="center"/>
          </w:tcPr>
          <w:p w14:paraId="0B7A9F2C">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0.045</w:t>
            </w:r>
          </w:p>
        </w:tc>
        <w:tc>
          <w:tcPr>
            <w:tcW w:w="846" w:type="dxa"/>
            <w:tcBorders>
              <w:top w:val="single" w:color="B5C7EA" w:themeColor="accent1" w:themeTint="66" w:sz="6" w:space="0"/>
              <w:left w:val="nil"/>
              <w:bottom w:val="single" w:color="4874CB" w:themeColor="accent1" w:sz="8" w:space="0"/>
              <w:right w:val="nil"/>
            </w:tcBorders>
            <w:shd w:val="clear" w:color="auto" w:fill="EDF1F9" w:themeFill="accent1" w:themeFillTint="19"/>
            <w:tcMar>
              <w:top w:w="75" w:type="dxa"/>
              <w:left w:w="120" w:type="dxa"/>
              <w:bottom w:w="75" w:type="dxa"/>
              <w:right w:w="120" w:type="dxa"/>
            </w:tcMar>
            <w:vAlign w:val="center"/>
          </w:tcPr>
          <w:p w14:paraId="6A1AED14">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0.102</w:t>
            </w:r>
          </w:p>
        </w:tc>
        <w:tc>
          <w:tcPr>
            <w:tcW w:w="954" w:type="dxa"/>
            <w:tcBorders>
              <w:top w:val="single" w:color="B5C7EA" w:themeColor="accent1" w:themeTint="66" w:sz="6" w:space="0"/>
              <w:left w:val="nil"/>
              <w:bottom w:val="single" w:color="4874CB" w:themeColor="accent1" w:sz="8" w:space="0"/>
              <w:right w:val="nil"/>
            </w:tcBorders>
            <w:shd w:val="clear" w:color="auto" w:fill="EDF1F9" w:themeFill="accent1" w:themeFillTint="19"/>
            <w:tcMar>
              <w:top w:w="75" w:type="dxa"/>
              <w:left w:w="120" w:type="dxa"/>
              <w:bottom w:w="75" w:type="dxa"/>
              <w:right w:w="120" w:type="dxa"/>
            </w:tcMar>
            <w:vAlign w:val="center"/>
          </w:tcPr>
          <w:p w14:paraId="36F324A7">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0.094</w:t>
            </w:r>
          </w:p>
        </w:tc>
        <w:tc>
          <w:tcPr>
            <w:tcW w:w="846" w:type="dxa"/>
            <w:tcBorders>
              <w:top w:val="single" w:color="B5C7EA" w:themeColor="accent1" w:themeTint="66" w:sz="6" w:space="0"/>
              <w:left w:val="nil"/>
              <w:bottom w:val="single" w:color="4874CB" w:themeColor="accent1" w:sz="8" w:space="0"/>
              <w:right w:val="nil"/>
            </w:tcBorders>
            <w:shd w:val="clear" w:color="auto" w:fill="EDF1F9" w:themeFill="accent1" w:themeFillTint="19"/>
            <w:tcMar>
              <w:top w:w="75" w:type="dxa"/>
              <w:left w:w="120" w:type="dxa"/>
              <w:bottom w:w="75" w:type="dxa"/>
              <w:right w:w="120" w:type="dxa"/>
            </w:tcMar>
            <w:vAlign w:val="center"/>
          </w:tcPr>
          <w:p w14:paraId="41FAA84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0.016</w:t>
            </w:r>
          </w:p>
        </w:tc>
        <w:tc>
          <w:tcPr>
            <w:tcW w:w="770" w:type="dxa"/>
            <w:tcBorders>
              <w:top w:val="single" w:color="B5C7EA" w:themeColor="accent1" w:themeTint="66" w:sz="6" w:space="0"/>
              <w:left w:val="nil"/>
              <w:bottom w:val="single" w:color="4874CB" w:themeColor="accent1" w:sz="8" w:space="0"/>
              <w:right w:val="nil"/>
            </w:tcBorders>
            <w:shd w:val="clear" w:color="auto" w:fill="EDF1F9" w:themeFill="accent1" w:themeFillTint="19"/>
            <w:tcMar>
              <w:top w:w="75" w:type="dxa"/>
              <w:left w:w="120" w:type="dxa"/>
              <w:bottom w:w="75" w:type="dxa"/>
              <w:right w:w="0" w:type="dxa"/>
            </w:tcMar>
            <w:vAlign w:val="center"/>
          </w:tcPr>
          <w:p w14:paraId="4F822BF0">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&lt;0.001</w:t>
            </w:r>
          </w:p>
        </w:tc>
      </w:tr>
    </w:tbl>
    <w:p w14:paraId="5805D765">
      <w:pPr>
        <w:pStyle w:val="3"/>
        <w:keepNext w:val="0"/>
        <w:keepLines w:val="0"/>
        <w:widowControl/>
        <w:suppressLineNumbers w:val="0"/>
        <w:shd w:val="clear"/>
        <w:spacing w:before="120" w:beforeAutospacing="0" w:after="120" w:afterAutospacing="0"/>
        <w:ind w:left="0" w:right="0" w:firstLine="0"/>
        <w:rPr>
          <w:rStyle w:val="7"/>
          <w:rFonts w:hint="eastAsia" w:ascii="Segoe UI" w:hAnsi="Segoe UI" w:eastAsia="Segoe UI" w:cs="Segoe UI"/>
          <w:b/>
          <w:bCs/>
          <w:i w:val="0"/>
          <w:iCs w:val="0"/>
          <w:caps w:val="0"/>
          <w:color w:val="0F1115"/>
          <w:spacing w:val="0"/>
          <w:kern w:val="2"/>
          <w:sz w:val="12"/>
          <w:szCs w:val="12"/>
          <w:shd w:val="clear" w:color="auto" w:fill="auto"/>
          <w:lang w:val="en-US" w:eastAsia="zh-CN" w:bidi="ar-SA"/>
        </w:rPr>
      </w:pPr>
      <w:r>
        <w:rPr>
          <w:rStyle w:val="7"/>
          <w:rFonts w:hint="default" w:ascii="Segoe UI" w:hAnsi="Segoe UI" w:eastAsia="Segoe UI" w:cs="Segoe UI"/>
          <w:b/>
          <w:bCs/>
          <w:i w:val="0"/>
          <w:iCs w:val="0"/>
          <w:caps w:val="0"/>
          <w:color w:val="0F1115"/>
          <w:spacing w:val="0"/>
          <w:kern w:val="2"/>
          <w:sz w:val="12"/>
          <w:szCs w:val="12"/>
          <w:shd w:val="clear" w:color="auto" w:fill="auto"/>
          <w:lang w:val="en-US" w:eastAsia="zh-CN" w:bidi="ar-SA"/>
        </w:rPr>
        <w:t>Abbreviations: SMD, standardized mean difference; PSM, propensity score matching; IPTW, inverse probability of treatment weighting; SMRW, standardized mortality ratio weighting; PA, propensity score adjustment; OW, overlap weighting; BMI, body mass index; SMI, skeletal muscle mass index; CRP, C</w:t>
      </w:r>
      <w:r>
        <w:rPr>
          <w:rStyle w:val="7"/>
          <w:rFonts w:hint="default" w:ascii="Segoe UI" w:hAnsi="Segoe UI" w:eastAsia="Segoe UI" w:cs="Segoe UI"/>
          <w:b/>
          <w:bCs/>
          <w:i w:val="0"/>
          <w:iCs w:val="0"/>
          <w:caps w:val="0"/>
          <w:color w:val="0F1115"/>
          <w:spacing w:val="0"/>
          <w:kern w:val="2"/>
          <w:sz w:val="12"/>
          <w:szCs w:val="12"/>
          <w:shd w:val="clear" w:color="auto" w:fill="auto"/>
          <w:lang w:val="en-US" w:eastAsia="zh-CN" w:bidi="ar-SA"/>
        </w:rPr>
        <w:noBreakHyphen/>
      </w:r>
      <w:r>
        <w:rPr>
          <w:rStyle w:val="7"/>
          <w:rFonts w:hint="default" w:ascii="Segoe UI" w:hAnsi="Segoe UI" w:eastAsia="Segoe UI" w:cs="Segoe UI"/>
          <w:b/>
          <w:bCs/>
          <w:i w:val="0"/>
          <w:iCs w:val="0"/>
          <w:caps w:val="0"/>
          <w:color w:val="0F1115"/>
          <w:spacing w:val="0"/>
          <w:kern w:val="2"/>
          <w:sz w:val="12"/>
          <w:szCs w:val="12"/>
          <w:shd w:val="clear" w:color="auto" w:fill="auto"/>
          <w:lang w:val="en-US" w:eastAsia="zh-CN" w:bidi="ar-SA"/>
        </w:rPr>
        <w:t>reactive protein; COPD, chronic obstructive pulmonary disease; NRS, Nutrition Risk Screening 2002; CSVD,cerebral small vessel disease.</w:t>
      </w:r>
    </w:p>
    <w:p w14:paraId="500C65E8">
      <w:pPr>
        <w:pStyle w:val="3"/>
        <w:keepNext w:val="0"/>
        <w:keepLines w:val="0"/>
        <w:widowControl/>
        <w:suppressLineNumbers w:val="0"/>
        <w:shd w:val="clear"/>
        <w:spacing w:before="120" w:beforeAutospacing="0" w:after="120" w:afterAutospacing="0"/>
        <w:ind w:left="0" w:right="0" w:firstLine="0"/>
        <w:rPr>
          <w:rStyle w:val="7"/>
          <w:rFonts w:hint="default" w:ascii="Segoe UI" w:hAnsi="Segoe UI" w:eastAsia="Segoe UI" w:cs="Segoe UI"/>
          <w:b/>
          <w:bCs/>
          <w:i w:val="0"/>
          <w:iCs w:val="0"/>
          <w:caps w:val="0"/>
          <w:color w:val="0F1115"/>
          <w:spacing w:val="0"/>
          <w:kern w:val="2"/>
          <w:sz w:val="12"/>
          <w:szCs w:val="12"/>
          <w:shd w:val="clear" w:color="auto" w:fill="auto"/>
          <w:lang w:val="en-US" w:eastAsia="zh-CN" w:bidi="ar-SA"/>
        </w:rPr>
      </w:pPr>
      <w:r>
        <w:rPr>
          <w:rStyle w:val="7"/>
          <w:rFonts w:hint="default" w:ascii="Segoe UI" w:hAnsi="Segoe UI" w:eastAsia="Segoe UI" w:cs="Segoe UI"/>
          <w:b/>
          <w:bCs/>
          <w:i w:val="0"/>
          <w:iCs w:val="0"/>
          <w:caps w:val="0"/>
          <w:color w:val="0F1115"/>
          <w:spacing w:val="0"/>
          <w:kern w:val="2"/>
          <w:sz w:val="12"/>
          <w:szCs w:val="12"/>
          <w:shd w:val="clear" w:color="auto" w:fill="auto"/>
          <w:lang w:val="en-US" w:eastAsia="zh-CN" w:bidi="ar-SA"/>
        </w:rPr>
        <w:t>Note: SMD values &lt;0.1 are generally considered to indicate adequate balance (bolded in the table). After matching and most weighting methods, all covariates achieved SMD &lt;0.1, except for a few values (e.g., CRP and albumin after IPTW) which remained close to 0.1 but did not materially affect the overall balance.</w:t>
      </w:r>
    </w:p>
    <w:p w14:paraId="16760DAB">
      <w:pPr>
        <w:pStyle w:val="2"/>
        <w:keepNext w:val="0"/>
        <w:keepLines w:val="0"/>
        <w:widowControl/>
        <w:suppressLineNumbers w:val="0"/>
        <w:shd w:val="clear"/>
        <w:spacing w:before="240" w:beforeAutospacing="0" w:after="120" w:afterAutospacing="0" w:line="240" w:lineRule="atLeast"/>
        <w:ind w:left="0" w:right="0" w:firstLine="0"/>
        <w:rPr>
          <w:rFonts w:hint="default" w:ascii="Times New Roman" w:hAnsi="Times New Roman" w:eastAsia="Segoe UI" w:cs="Times New Roman"/>
          <w:b/>
          <w:bCs/>
          <w:caps w:val="0"/>
          <w:color w:val="0F1115"/>
          <w:spacing w:val="0"/>
          <w:sz w:val="20"/>
          <w:szCs w:val="20"/>
          <w:shd w:val="clear"/>
        </w:rPr>
      </w:pPr>
      <w:r>
        <w:rPr>
          <w:rFonts w:hint="default" w:ascii="Times New Roman" w:hAnsi="Times New Roman" w:eastAsia="Segoe UI" w:cs="Times New Roman"/>
          <w:b/>
          <w:bCs/>
          <w:caps w:val="0"/>
          <w:color w:val="0F1115"/>
          <w:spacing w:val="0"/>
          <w:sz w:val="20"/>
          <w:szCs w:val="20"/>
          <w:shd w:val="clear" w:fill="FFFFFF"/>
        </w:rPr>
        <w:t>S</w:t>
      </w:r>
      <w:r>
        <w:rPr>
          <w:rFonts w:hint="default" w:ascii="Times New Roman" w:hAnsi="Times New Roman" w:eastAsia="Segoe UI" w:cs="Times New Roman"/>
          <w:b/>
          <w:bCs/>
          <w:caps w:val="0"/>
          <w:color w:val="0F1115"/>
          <w:spacing w:val="0"/>
          <w:sz w:val="20"/>
          <w:szCs w:val="20"/>
          <w:shd w:val="clear"/>
        </w:rPr>
        <w:t>upplementary Table S</w:t>
      </w:r>
      <w:r>
        <w:rPr>
          <w:rFonts w:hint="default" w:ascii="Times New Roman" w:hAnsi="Times New Roman" w:cs="Times New Roman"/>
          <w:b/>
          <w:bCs/>
          <w:caps w:val="0"/>
          <w:color w:val="0F1115"/>
          <w:spacing w:val="0"/>
          <w:sz w:val="20"/>
          <w:szCs w:val="20"/>
          <w:shd w:val="clear"/>
          <w:lang w:val="en-US" w:eastAsia="zh-CN"/>
        </w:rPr>
        <w:t>4</w:t>
      </w:r>
      <w:r>
        <w:rPr>
          <w:rFonts w:hint="default" w:ascii="Times New Roman" w:hAnsi="Times New Roman" w:eastAsia="Segoe UI" w:cs="Times New Roman"/>
          <w:b/>
          <w:bCs/>
          <w:caps w:val="0"/>
          <w:color w:val="0F1115"/>
          <w:spacing w:val="0"/>
          <w:sz w:val="20"/>
          <w:szCs w:val="20"/>
          <w:shd w:val="clear"/>
        </w:rPr>
        <w:t>. Propensity score model specification and matching parameters</w:t>
      </w:r>
    </w:p>
    <w:tbl>
      <w:tblPr>
        <w:tblStyle w:val="4"/>
        <w:tblW w:w="84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31"/>
        <w:gridCol w:w="6892"/>
      </w:tblGrid>
      <w:tr w14:paraId="309EE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0" w:type="auto"/>
            <w:tcBorders>
              <w:top w:val="single" w:color="4874CB" w:themeColor="accent1" w:sz="8" w:space="0"/>
              <w:left w:val="nil"/>
              <w:bottom w:val="single" w:color="B5C7EA" w:themeColor="accent1" w:themeTint="66" w:sz="6" w:space="0"/>
              <w:right w:val="nil"/>
            </w:tcBorders>
            <w:shd w:val="clear" w:color="auto" w:fill="4874CB" w:themeFill="accent1"/>
            <w:tcMar>
              <w:top w:w="75" w:type="dxa"/>
              <w:left w:w="0" w:type="dxa"/>
              <w:bottom w:w="75" w:type="dxa"/>
              <w:right w:w="120" w:type="dxa"/>
            </w:tcMar>
            <w:vAlign w:val="center"/>
          </w:tcPr>
          <w:p w14:paraId="68D9C70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color w:val="FFFFFF"/>
                <w:sz w:val="18"/>
                <w:szCs w:val="18"/>
              </w:rPr>
            </w:pPr>
            <w:r>
              <w:rPr>
                <w:rFonts w:hint="default" w:ascii="Segoe UI" w:hAnsi="Segoe UI" w:eastAsia="Segoe UI" w:cs="Segoe UI"/>
                <w:b/>
                <w:i w:val="0"/>
                <w:color w:val="FFFFFF"/>
                <w:kern w:val="0"/>
                <w:sz w:val="18"/>
                <w:szCs w:val="18"/>
                <w:lang w:val="en-US" w:eastAsia="zh-CN" w:bidi="ar"/>
              </w:rPr>
              <w:t>Parameter</w:t>
            </w:r>
          </w:p>
        </w:tc>
        <w:tc>
          <w:tcPr>
            <w:tcW w:w="6892" w:type="dxa"/>
            <w:tcBorders>
              <w:top w:val="single" w:color="4874CB" w:themeColor="accent1" w:sz="8" w:space="0"/>
              <w:left w:val="nil"/>
              <w:bottom w:val="single" w:color="B5C7EA" w:themeColor="accent1" w:themeTint="66" w:sz="6" w:space="0"/>
              <w:right w:val="nil"/>
            </w:tcBorders>
            <w:shd w:val="clear" w:color="auto" w:fill="4874CB" w:themeFill="accent1"/>
            <w:tcMar>
              <w:top w:w="75" w:type="dxa"/>
              <w:left w:w="120" w:type="dxa"/>
              <w:bottom w:w="75" w:type="dxa"/>
              <w:right w:w="120" w:type="dxa"/>
            </w:tcMar>
            <w:vAlign w:val="center"/>
          </w:tcPr>
          <w:p w14:paraId="543CFA3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color w:val="FFFFFF"/>
                <w:sz w:val="18"/>
                <w:szCs w:val="18"/>
              </w:rPr>
            </w:pPr>
            <w:r>
              <w:rPr>
                <w:rFonts w:hint="default" w:ascii="Segoe UI" w:hAnsi="Segoe UI" w:eastAsia="Segoe UI" w:cs="Segoe UI"/>
                <w:b/>
                <w:i w:val="0"/>
                <w:color w:val="FFFFFF"/>
                <w:kern w:val="0"/>
                <w:sz w:val="18"/>
                <w:szCs w:val="18"/>
                <w:lang w:val="en-US" w:eastAsia="zh-CN" w:bidi="ar"/>
              </w:rPr>
              <w:t>Specification</w:t>
            </w:r>
          </w:p>
        </w:tc>
      </w:tr>
      <w:tr w14:paraId="758C3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0" w:type="dxa"/>
              <w:bottom w:w="75" w:type="dxa"/>
              <w:right w:w="120" w:type="dxa"/>
            </w:tcMar>
            <w:vAlign w:val="center"/>
          </w:tcPr>
          <w:p w14:paraId="44288550">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Style w:val="7"/>
                <w:rFonts w:hint="default" w:ascii="Segoe UI" w:hAnsi="Segoe UI" w:eastAsia="Segoe UI" w:cs="Segoe UI"/>
                <w:b w:val="0"/>
                <w:bCs/>
                <w:i w:val="0"/>
                <w:color w:val="000000"/>
                <w:kern w:val="0"/>
                <w:sz w:val="18"/>
                <w:szCs w:val="18"/>
                <w:lang w:val="en-US" w:eastAsia="zh-CN" w:bidi="ar"/>
              </w:rPr>
              <w:t>Outcome</w:t>
            </w:r>
          </w:p>
        </w:tc>
        <w:tc>
          <w:tcPr>
            <w:tcW w:w="6892" w:type="dxa"/>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0" w:type="dxa"/>
            </w:tcMar>
            <w:vAlign w:val="center"/>
          </w:tcPr>
          <w:p w14:paraId="372C0D8E">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Sarcopenia (SARC.trans)</w:t>
            </w:r>
          </w:p>
        </w:tc>
      </w:tr>
      <w:tr w14:paraId="297E5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0" w:type="dxa"/>
              <w:bottom w:w="75" w:type="dxa"/>
              <w:right w:w="120" w:type="dxa"/>
            </w:tcMar>
            <w:vAlign w:val="center"/>
          </w:tcPr>
          <w:p w14:paraId="44FF01A8">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Style w:val="7"/>
                <w:rFonts w:hint="default" w:ascii="Segoe UI" w:hAnsi="Segoe UI" w:eastAsia="Segoe UI" w:cs="Segoe UI"/>
                <w:b w:val="0"/>
                <w:bCs/>
                <w:i w:val="0"/>
                <w:color w:val="000000"/>
                <w:kern w:val="0"/>
                <w:sz w:val="18"/>
                <w:szCs w:val="18"/>
                <w:lang w:val="en-US" w:eastAsia="zh-CN" w:bidi="ar"/>
              </w:rPr>
              <w:t>Treatment (exposure)</w:t>
            </w:r>
          </w:p>
        </w:tc>
        <w:tc>
          <w:tcPr>
            <w:tcW w:w="689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0" w:type="dxa"/>
            </w:tcMar>
            <w:vAlign w:val="center"/>
          </w:tcPr>
          <w:p w14:paraId="596C501F">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Vitamin D insufficiency (VD2: 1 = insufficient, 2 = sufficient)</w:t>
            </w:r>
          </w:p>
        </w:tc>
      </w:tr>
      <w:tr w14:paraId="1FD92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0" w:type="dxa"/>
              <w:bottom w:w="75" w:type="dxa"/>
              <w:right w:w="120" w:type="dxa"/>
            </w:tcMar>
            <w:vAlign w:val="center"/>
          </w:tcPr>
          <w:p w14:paraId="4A063E75">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Style w:val="7"/>
                <w:rFonts w:hint="default" w:ascii="Segoe UI" w:hAnsi="Segoe UI" w:eastAsia="Segoe UI" w:cs="Segoe UI"/>
                <w:b w:val="0"/>
                <w:bCs/>
                <w:i w:val="0"/>
                <w:color w:val="000000"/>
                <w:kern w:val="0"/>
                <w:sz w:val="18"/>
                <w:szCs w:val="18"/>
                <w:lang w:val="en-US" w:eastAsia="zh-CN" w:bidi="ar"/>
              </w:rPr>
              <w:t>Propensity score model</w:t>
            </w:r>
          </w:p>
        </w:tc>
        <w:tc>
          <w:tcPr>
            <w:tcW w:w="6892" w:type="dxa"/>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0" w:type="dxa"/>
            </w:tcMar>
            <w:vAlign w:val="center"/>
          </w:tcPr>
          <w:p w14:paraId="63FEC532">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Logistic regression</w:t>
            </w:r>
          </w:p>
        </w:tc>
      </w:tr>
      <w:tr w14:paraId="3DE58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0" w:type="dxa"/>
              <w:bottom w:w="75" w:type="dxa"/>
              <w:right w:w="120" w:type="dxa"/>
            </w:tcMar>
            <w:vAlign w:val="center"/>
          </w:tcPr>
          <w:p w14:paraId="46013B06">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Style w:val="7"/>
                <w:rFonts w:hint="default" w:ascii="Segoe UI" w:hAnsi="Segoe UI" w:eastAsia="Segoe UI" w:cs="Segoe UI"/>
                <w:b w:val="0"/>
                <w:bCs/>
                <w:i w:val="0"/>
                <w:color w:val="000000"/>
                <w:kern w:val="0"/>
                <w:sz w:val="18"/>
                <w:szCs w:val="18"/>
                <w:lang w:val="en-US" w:eastAsia="zh-CN" w:bidi="ar"/>
              </w:rPr>
              <w:t>Covariates in PS model</w:t>
            </w:r>
          </w:p>
        </w:tc>
        <w:tc>
          <w:tcPr>
            <w:tcW w:w="689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0" w:type="dxa"/>
            </w:tcMar>
            <w:vAlign w:val="center"/>
          </w:tcPr>
          <w:p w14:paraId="4C845940">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VD2 + gender + age + BMI + SMI + handgrip strength (HS) + CRP + albumin (ALB) + COPD + NRS + CCI</w:t>
            </w:r>
          </w:p>
        </w:tc>
      </w:tr>
      <w:tr w14:paraId="15347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0" w:type="dxa"/>
              <w:bottom w:w="75" w:type="dxa"/>
              <w:right w:w="120" w:type="dxa"/>
            </w:tcMar>
            <w:vAlign w:val="center"/>
          </w:tcPr>
          <w:p w14:paraId="283987A5">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Style w:val="7"/>
                <w:rFonts w:hint="default" w:ascii="Segoe UI" w:hAnsi="Segoe UI" w:eastAsia="Segoe UI" w:cs="Segoe UI"/>
                <w:b w:val="0"/>
                <w:bCs/>
                <w:i w:val="0"/>
                <w:color w:val="000000"/>
                <w:kern w:val="0"/>
                <w:sz w:val="18"/>
                <w:szCs w:val="18"/>
                <w:lang w:val="en-US" w:eastAsia="zh-CN" w:bidi="ar"/>
              </w:rPr>
              <w:t>Matching algorithm</w:t>
            </w:r>
          </w:p>
        </w:tc>
        <w:tc>
          <w:tcPr>
            <w:tcW w:w="6892" w:type="dxa"/>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0" w:type="dxa"/>
            </w:tcMar>
            <w:vAlign w:val="center"/>
          </w:tcPr>
          <w:p w14:paraId="4B51236A">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1:1 nearest</w:t>
            </w:r>
            <w:r>
              <w:rPr>
                <w:rFonts w:hint="default" w:ascii="Segoe UI" w:hAnsi="Segoe UI" w:eastAsia="Segoe UI" w:cs="Segoe UI"/>
                <w:b w:val="0"/>
                <w:i w:val="0"/>
                <w:color w:val="000000"/>
                <w:kern w:val="0"/>
                <w:sz w:val="18"/>
                <w:szCs w:val="18"/>
                <w:lang w:val="en-US" w:eastAsia="zh-CN" w:bidi="ar"/>
              </w:rPr>
              <w:noBreakHyphen/>
            </w:r>
            <w:r>
              <w:rPr>
                <w:rFonts w:hint="default" w:ascii="Segoe UI" w:hAnsi="Segoe UI" w:eastAsia="Segoe UI" w:cs="Segoe UI"/>
                <w:b w:val="0"/>
                <w:i w:val="0"/>
                <w:color w:val="000000"/>
                <w:kern w:val="0"/>
                <w:sz w:val="18"/>
                <w:szCs w:val="18"/>
                <w:lang w:val="en-US" w:eastAsia="zh-CN" w:bidi="ar"/>
              </w:rPr>
              <w:t>neighbor matching without replacement</w:t>
            </w:r>
          </w:p>
        </w:tc>
      </w:tr>
      <w:tr w14:paraId="4A0C9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0" w:type="dxa"/>
              <w:bottom w:w="75" w:type="dxa"/>
              <w:right w:w="120" w:type="dxa"/>
            </w:tcMar>
            <w:vAlign w:val="center"/>
          </w:tcPr>
          <w:p w14:paraId="67F71A0B">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Style w:val="7"/>
                <w:rFonts w:hint="default" w:ascii="Segoe UI" w:hAnsi="Segoe UI" w:eastAsia="Segoe UI" w:cs="Segoe UI"/>
                <w:b w:val="0"/>
                <w:bCs/>
                <w:i w:val="0"/>
                <w:color w:val="000000"/>
                <w:kern w:val="0"/>
                <w:sz w:val="18"/>
                <w:szCs w:val="18"/>
                <w:lang w:val="en-US" w:eastAsia="zh-CN" w:bidi="ar"/>
              </w:rPr>
              <w:t>Caliper width</w:t>
            </w:r>
          </w:p>
        </w:tc>
        <w:tc>
          <w:tcPr>
            <w:tcW w:w="689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0" w:type="dxa"/>
            </w:tcMar>
            <w:vAlign w:val="center"/>
          </w:tcPr>
          <w:p w14:paraId="0A73F3ED">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0.2 standard deviations of the logit of the propensity score</w:t>
            </w:r>
          </w:p>
        </w:tc>
      </w:tr>
      <w:tr w14:paraId="35481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FFFFFF"/>
            <w:tcMar>
              <w:top w:w="75" w:type="dxa"/>
              <w:left w:w="0" w:type="dxa"/>
              <w:bottom w:w="75" w:type="dxa"/>
              <w:right w:w="120" w:type="dxa"/>
            </w:tcMar>
            <w:vAlign w:val="center"/>
          </w:tcPr>
          <w:p w14:paraId="76EE6D0C">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Style w:val="7"/>
                <w:rFonts w:hint="default" w:ascii="Segoe UI" w:hAnsi="Segoe UI" w:eastAsia="Segoe UI" w:cs="Segoe UI"/>
                <w:b w:val="0"/>
                <w:bCs/>
                <w:i w:val="0"/>
                <w:color w:val="000000"/>
                <w:kern w:val="0"/>
                <w:sz w:val="18"/>
                <w:szCs w:val="18"/>
                <w:lang w:val="en-US" w:eastAsia="zh-CN" w:bidi="ar"/>
              </w:rPr>
              <w:t>Matched pairs obtained</w:t>
            </w:r>
          </w:p>
        </w:tc>
        <w:tc>
          <w:tcPr>
            <w:tcW w:w="6892" w:type="dxa"/>
            <w:tcBorders>
              <w:top w:val="single" w:color="B5C7EA" w:themeColor="accent1" w:themeTint="66" w:sz="6" w:space="0"/>
              <w:left w:val="nil"/>
              <w:bottom w:val="single" w:color="B5C7EA" w:themeColor="accent1" w:themeTint="66" w:sz="6" w:space="0"/>
              <w:right w:val="nil"/>
            </w:tcBorders>
            <w:shd w:val="clear" w:color="auto" w:fill="FFFFFF"/>
            <w:tcMar>
              <w:top w:w="75" w:type="dxa"/>
              <w:left w:w="120" w:type="dxa"/>
              <w:bottom w:w="75" w:type="dxa"/>
              <w:right w:w="0" w:type="dxa"/>
            </w:tcMar>
            <w:vAlign w:val="center"/>
          </w:tcPr>
          <w:p w14:paraId="3500167B">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46 pairs (n = 92)</w:t>
            </w:r>
          </w:p>
        </w:tc>
      </w:tr>
      <w:tr w14:paraId="3B764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0" w:type="auto"/>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0" w:type="dxa"/>
              <w:bottom w:w="75" w:type="dxa"/>
              <w:right w:w="120" w:type="dxa"/>
            </w:tcMar>
            <w:vAlign w:val="center"/>
          </w:tcPr>
          <w:p w14:paraId="45D8C6EA">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Style w:val="7"/>
                <w:rFonts w:hint="default" w:ascii="Segoe UI" w:hAnsi="Segoe UI" w:eastAsia="Segoe UI" w:cs="Segoe UI"/>
                <w:b w:val="0"/>
                <w:bCs/>
                <w:i w:val="0"/>
                <w:color w:val="000000"/>
                <w:kern w:val="0"/>
                <w:sz w:val="18"/>
                <w:szCs w:val="18"/>
                <w:lang w:val="en-US" w:eastAsia="zh-CN" w:bidi="ar"/>
              </w:rPr>
              <w:t>Software</w:t>
            </w:r>
          </w:p>
        </w:tc>
        <w:tc>
          <w:tcPr>
            <w:tcW w:w="6892" w:type="dxa"/>
            <w:tcBorders>
              <w:top w:val="single" w:color="B5C7EA" w:themeColor="accent1" w:themeTint="66" w:sz="6" w:space="0"/>
              <w:left w:val="nil"/>
              <w:bottom w:val="single" w:color="B5C7EA" w:themeColor="accent1" w:themeTint="66" w:sz="6" w:space="0"/>
              <w:right w:val="nil"/>
            </w:tcBorders>
            <w:shd w:val="clear" w:color="auto" w:fill="EDF1F9" w:themeFill="accent1" w:themeFillTint="19"/>
            <w:tcMar>
              <w:top w:w="75" w:type="dxa"/>
              <w:left w:w="120" w:type="dxa"/>
              <w:bottom w:w="75" w:type="dxa"/>
              <w:right w:w="0" w:type="dxa"/>
            </w:tcMar>
            <w:vAlign w:val="center"/>
          </w:tcPr>
          <w:p w14:paraId="083FB555">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R version 4.2.2, </w:t>
            </w:r>
            <w:r>
              <w:rPr>
                <w:rStyle w:val="8"/>
                <w:rFonts w:ascii="Segoe UI" w:hAnsi="Consolas" w:eastAsia="Segoe UI" w:cs="Consolas"/>
                <w:b w:val="0"/>
                <w:i w:val="0"/>
                <w:color w:val="000000"/>
                <w:kern w:val="0"/>
                <w:sz w:val="18"/>
                <w:szCs w:val="18"/>
                <w:shd w:val="clear" w:fill="EBEEF2"/>
                <w:lang w:val="en-US" w:eastAsia="zh-CN" w:bidi="ar"/>
              </w:rPr>
              <w:t>MatchIt</w:t>
            </w:r>
            <w:r>
              <w:rPr>
                <w:rFonts w:hint="default" w:ascii="Segoe UI" w:hAnsi="Segoe UI" w:eastAsia="Segoe UI" w:cs="Segoe UI"/>
                <w:b w:val="0"/>
                <w:i w:val="0"/>
                <w:color w:val="000000"/>
                <w:kern w:val="0"/>
                <w:sz w:val="18"/>
                <w:szCs w:val="18"/>
                <w:lang w:val="en-US" w:eastAsia="zh-CN" w:bidi="ar"/>
              </w:rPr>
              <w:t> package</w:t>
            </w:r>
          </w:p>
        </w:tc>
      </w:tr>
      <w:tr w14:paraId="5F71C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531" w:type="dxa"/>
            <w:tcBorders>
              <w:top w:val="single" w:color="B5C7EA" w:themeColor="accent1" w:themeTint="66" w:sz="6" w:space="0"/>
              <w:left w:val="nil"/>
              <w:bottom w:val="single" w:color="4874CB" w:themeColor="accent1" w:sz="8" w:space="0"/>
              <w:right w:val="nil"/>
            </w:tcBorders>
            <w:shd w:val="clear" w:color="auto" w:fill="FFFFFF"/>
            <w:tcMar>
              <w:top w:w="75" w:type="dxa"/>
              <w:left w:w="0" w:type="dxa"/>
              <w:bottom w:w="75" w:type="dxa"/>
              <w:right w:w="120" w:type="dxa"/>
            </w:tcMar>
            <w:vAlign w:val="center"/>
          </w:tcPr>
          <w:p w14:paraId="7ED99C73">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val="0"/>
                <w:i w:val="0"/>
                <w:color w:val="000000"/>
                <w:sz w:val="18"/>
                <w:szCs w:val="18"/>
              </w:rPr>
            </w:pPr>
            <w:r>
              <w:rPr>
                <w:rStyle w:val="7"/>
                <w:rFonts w:hint="default" w:ascii="Segoe UI" w:hAnsi="Segoe UI" w:eastAsia="Segoe UI" w:cs="Segoe UI"/>
                <w:b w:val="0"/>
                <w:bCs/>
                <w:i w:val="0"/>
                <w:color w:val="000000"/>
                <w:kern w:val="0"/>
                <w:sz w:val="18"/>
                <w:szCs w:val="18"/>
                <w:lang w:val="en-US" w:eastAsia="zh-CN" w:bidi="ar"/>
              </w:rPr>
              <w:t>Balance assessment</w:t>
            </w:r>
          </w:p>
        </w:tc>
        <w:tc>
          <w:tcPr>
            <w:tcW w:w="6892" w:type="dxa"/>
            <w:tcBorders>
              <w:top w:val="single" w:color="B5C7EA" w:themeColor="accent1" w:themeTint="66" w:sz="6" w:space="0"/>
              <w:left w:val="nil"/>
              <w:bottom w:val="single" w:color="4874CB" w:themeColor="accent1" w:sz="8" w:space="0"/>
              <w:right w:val="nil"/>
            </w:tcBorders>
            <w:shd w:val="clear" w:color="auto" w:fill="FFFFFF"/>
            <w:tcMar>
              <w:top w:w="75" w:type="dxa"/>
              <w:left w:w="120" w:type="dxa"/>
              <w:bottom w:w="75" w:type="dxa"/>
              <w:right w:w="0" w:type="dxa"/>
            </w:tcMar>
            <w:vAlign w:val="center"/>
          </w:tcPr>
          <w:p w14:paraId="472B74E8">
            <w:pPr>
              <w:keepNext w:val="0"/>
              <w:keepLines w:val="0"/>
              <w:widowControl/>
              <w:suppressLineNumbers w:val="0"/>
              <w:snapToGrid w:val="0"/>
              <w:spacing w:line="240" w:lineRule="auto"/>
              <w:ind w:left="0" w:leftChars="0" w:right="0" w:rightChars="0" w:firstLine="0" w:firstLineChars="0"/>
              <w:jc w:val="left"/>
              <w:rPr>
                <w:rFonts w:hint="default" w:ascii="Segoe UI" w:hAnsi="Segoe UI" w:eastAsia="Segoe UI" w:cs="Segoe UI"/>
                <w:b w:val="0"/>
                <w:i w:val="0"/>
                <w:color w:val="000000"/>
                <w:sz w:val="18"/>
                <w:szCs w:val="18"/>
              </w:rPr>
            </w:pPr>
            <w:r>
              <w:rPr>
                <w:rFonts w:hint="default" w:ascii="Segoe UI" w:hAnsi="Segoe UI" w:eastAsia="Segoe UI" w:cs="Segoe UI"/>
                <w:b w:val="0"/>
                <w:i w:val="0"/>
                <w:color w:val="000000"/>
                <w:kern w:val="0"/>
                <w:sz w:val="18"/>
                <w:szCs w:val="18"/>
                <w:lang w:val="en-US" w:eastAsia="zh-CN" w:bidi="ar"/>
              </w:rPr>
              <w:t>Standardized mean differences (SMD) calculated for all covariates before and after matching (see Supplementary Table S4)</w:t>
            </w:r>
          </w:p>
        </w:tc>
      </w:tr>
    </w:tbl>
    <w:p w14:paraId="105EDA42">
      <w:pPr>
        <w:pStyle w:val="3"/>
        <w:keepNext w:val="0"/>
        <w:keepLines w:val="0"/>
        <w:widowControl/>
        <w:suppressLineNumbers w:val="0"/>
        <w:shd w:val="clear"/>
        <w:spacing w:before="120" w:beforeAutospacing="0" w:after="120" w:afterAutospacing="0"/>
        <w:ind w:left="0" w:right="0" w:firstLine="0"/>
        <w:rPr>
          <w:rFonts w:ascii="Segoe UI" w:hAnsi="Segoe UI" w:eastAsia="Segoe UI" w:cs="Segoe UI"/>
          <w:b/>
          <w:bCs/>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Note:</w:t>
      </w:r>
      <w:r>
        <w:rPr>
          <w:rFonts w:hint="default" w:ascii="Segoe UI" w:hAnsi="Segoe UI" w:eastAsia="Segoe UI" w:cs="Segoe UI"/>
          <w:b/>
          <w:bCs/>
          <w:i w:val="0"/>
          <w:iCs w:val="0"/>
          <w:caps w:val="0"/>
          <w:color w:val="0F1115"/>
          <w:spacing w:val="0"/>
          <w:sz w:val="12"/>
          <w:szCs w:val="12"/>
          <w:shd w:val="clear" w:fill="FFFFFF"/>
        </w:rPr>
        <w:t> The PS model and matching parameters are derived from the analysis log file. The caliper width of 0.2 SD is recommended by Austin (2011) to balance bias reduction and matching precision.</w:t>
      </w:r>
    </w:p>
    <w:p w14:paraId="177BB753">
      <w:pPr>
        <w:rPr>
          <w:rStyle w:val="7"/>
          <w:rFonts w:hint="eastAsia" w:ascii="Segoe UI" w:hAnsi="Segoe UI" w:eastAsia="Segoe UI" w:cs="Segoe UI"/>
          <w:bCs/>
          <w:i w:val="0"/>
          <w:iCs w:val="0"/>
          <w:caps w:val="0"/>
          <w:color w:val="0F1115"/>
          <w:spacing w:val="0"/>
          <w:kern w:val="2"/>
          <w:sz w:val="12"/>
          <w:szCs w:val="12"/>
          <w:shd w:val="clear"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onsolas">
    <w:panose1 w:val="020B0609020204030204"/>
    <w:charset w:val="00"/>
    <w:family w:val="auto"/>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A13AAD"/>
    <w:rsid w:val="04217B40"/>
    <w:rsid w:val="050510CA"/>
    <w:rsid w:val="0D923BB3"/>
    <w:rsid w:val="1024372B"/>
    <w:rsid w:val="11574382"/>
    <w:rsid w:val="14E74B85"/>
    <w:rsid w:val="15B66808"/>
    <w:rsid w:val="18F9516C"/>
    <w:rsid w:val="23B4511E"/>
    <w:rsid w:val="23B607A4"/>
    <w:rsid w:val="28780D72"/>
    <w:rsid w:val="29752839"/>
    <w:rsid w:val="29F56B2B"/>
    <w:rsid w:val="2A8A52DA"/>
    <w:rsid w:val="2C2F012C"/>
    <w:rsid w:val="2DFB14DA"/>
    <w:rsid w:val="33896EE1"/>
    <w:rsid w:val="357D65D2"/>
    <w:rsid w:val="3ACA3C80"/>
    <w:rsid w:val="3F3C678D"/>
    <w:rsid w:val="44A13AAD"/>
    <w:rsid w:val="46E06D54"/>
    <w:rsid w:val="4A662E1D"/>
    <w:rsid w:val="4D7D31BB"/>
    <w:rsid w:val="527D1264"/>
    <w:rsid w:val="58566549"/>
    <w:rsid w:val="5CD840D4"/>
    <w:rsid w:val="60730B79"/>
    <w:rsid w:val="61A97973"/>
    <w:rsid w:val="644A7401"/>
    <w:rsid w:val="6ACB53C1"/>
    <w:rsid w:val="784F55D0"/>
    <w:rsid w:val="7AEB7713"/>
    <w:rsid w:val="7C737847"/>
    <w:rsid w:val="7D8201F6"/>
    <w:rsid w:val="7E7E2495"/>
    <w:rsid w:val="7FAF6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TML Code"/>
    <w:basedOn w:val="6"/>
    <w:qFormat/>
    <w:uiPriority w:val="0"/>
    <w:rPr>
      <w:rFonts w:ascii="Courier New" w:hAnsi="Courier New"/>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395</Words>
  <Characters>2315</Characters>
  <Lines>0</Lines>
  <Paragraphs>0</Paragraphs>
  <TotalTime>0</TotalTime>
  <ScaleCrop>false</ScaleCrop>
  <LinksUpToDate>false</LinksUpToDate>
  <CharactersWithSpaces>2562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2026-04-13T14:19:00Z</dcterms:created>
  <dc:creator>淡烟流水</dc:creator>
  <cp:lastModifiedBy>淡烟流水</cp:lastModifiedBy>
  <dcterms:modified xsi:type="dcterms:W3CDTF">2026-04-19T08:20:21Z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5FAD54AB967F414F8A7058A9E64A9184_13</vt:lpwstr>
  </property>
  <property fmtid="{D5CDD505-2E9C-101B-9397-08002B2CF9AE}" pid="4" name="KSOTemplateDocerSaveRecord">
    <vt:lpwstr>eyJoZGlkIjoiN2YxNDIxOTA5YjBmOGE0ODZlODEzNWE0N2I5MWQ3MWQiLCJ1c2VySWQiOiI1NDU5ODk1NDgifQ==</vt:lpwstr>
  </property>
</Properties>
</file>