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3C6E"/>
          <w:sz w:val="28"/>
        </w:rPr>
        <w:t>Consolidated Criteria for Reporting Qualitative Research (COREQ) Checklist</w:t>
      </w:r>
    </w:p>
    <w:p>
      <w:pPr>
        <w:jc w:val="center"/>
      </w:pPr>
      <w:r>
        <w:rPr>
          <w:i/>
          <w:sz w:val="20"/>
        </w:rPr>
        <w:t>Manuscript: "Cognitive Load Shedding and Workflow Transformation: A Longitudinal Action Learning Study of AI Scribe Adoption in Residential Aged Care General Practice"</w:t>
      </w:r>
    </w:p>
    <w:p/>
    <w:p>
      <w:r>
        <w:rPr>
          <w:i/>
          <w:sz w:val="18"/>
        </w:rPr>
        <w:t>Reference: Tong A, Sainsbury P, Craig J. Consolidated criteria for reporting qualitative research (COREQ): a 32-item checklist for interviews and focus groups. Int J Qual Health Care. 2007;19(6):349-357. Page/section numbers below refer to the submitted manuscript; please update page numbers to match the final typeset version before submission.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200"/>
            <w:gridSpan w:val="2"/>
            <w:shd w:val="clear" w:color="auto" w:fill="1a3c6e"/>
          </w:tcPr>
          <w:p>
            <w:r/>
            <w:r>
              <w:rPr>
                <w:b/>
                <w:color w:val="FFFFFF"/>
                <w:sz w:val="21"/>
              </w:rPr>
              <w:t>Domain 1: Research team and reflexivity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Personal characteristics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1. Interviewer/facilitator: Which author conducted the interviews or focus group?</w:t>
            </w:r>
          </w:p>
        </w:tc>
        <w:tc>
          <w:tcPr>
            <w:tcW w:type="dxa" w:w="5200"/>
          </w:tcPr>
          <w:p>
            <w:r>
              <w:rPr/>
              <w:t>The lead author (JSD) conducted all individual interviews and facilitated the action learning set meetings. Section 3.3, 3.5.</w:t>
            </w:r>
            <w:r>
              <w:rPr>
                <w:sz w:val="19"/>
              </w:rPr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2. Credentials: What were the researcher's credentials?</w:t>
            </w:r>
          </w:p>
        </w:tc>
        <w:tc>
          <w:tcPr>
            <w:tcW w:type="dxa" w:w="5200"/>
          </w:tcPr>
          <w:p>
            <w:r>
              <w:rPr/>
              <w:t>JSD is a practising GP (MBChB, FRACGP, FRCGP, MSc) and Research Translation Fellow. Credentials stated on title page; researcher role in Section 3.5.</w:t>
            </w:r>
            <w:r>
              <w:rPr>
                <w:sz w:val="19"/>
              </w:rPr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3. Occupation: What was their occupation at the time of the study?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GP working in residential aged care and Research Translation Fellow, TROPHI/Monash University. Section 3.5.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4. Gender: Was the researcher male or female?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</w:r>
            <w:r>
              <w:rPr>
                <w:sz w:val="19"/>
              </w:rPr>
              <w:t>Not stated, by author decision; not considered material to the analysis.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5. Experience and training: What experience or training did the researcher have?</w:t>
            </w:r>
          </w:p>
        </w:tc>
        <w:tc>
          <w:tcPr>
            <w:tcW w:type="dxa" w:w="5200"/>
          </w:tcPr>
          <w:p>
            <w:r>
              <w:rPr/>
              <w:t>JSD is an experienced GP and qualitative researcher; analysis conducted with co-author IP. Research training implicit in fellowship role. Sections 3.4, 3.5.</w:t>
            </w:r>
            <w:r>
              <w:rPr>
                <w:sz w:val="19"/>
              </w:rPr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Relationship with participants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6. Relationship established: Was a relationship established prior to study commencement?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Participants were recruited from the lead researcher's professional network of GPs interested in AI technology. Section 3.2.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7. Participant knowledge of the interviewer: What did participants know about the researcher?</w:t>
            </w:r>
          </w:p>
        </w:tc>
        <w:tc>
          <w:tcPr>
            <w:tcW w:type="dxa" w:w="5200"/>
          </w:tcPr>
          <w:p>
            <w:r>
              <w:rPr/>
              <w:t>Participants knew JSD as a fellow GP and AI scribe user participating in the same action learning set (insider position). Section 3.5.</w:t>
            </w:r>
            <w:r>
              <w:rPr>
                <w:sz w:val="19"/>
              </w:rPr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8. Interviewer characteristics: What characteristics were reported about the interviewer/facilitator?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Insider-researcher position, own AI scribe use, and potential influence on interpretation explicitly reported and reflexively managed. Section 3.5.</w:t>
            </w:r>
          </w:p>
        </w:tc>
      </w:tr>
      <w:tr>
        <w:tc>
          <w:tcPr>
            <w:tcW w:type="dxa" w:w="5200"/>
            <w:gridSpan w:val="2"/>
            <w:shd w:val="clear" w:color="auto" w:fill="1a3c6e"/>
          </w:tcPr>
          <w:p>
            <w:r/>
            <w:r>
              <w:rPr>
                <w:b/>
                <w:color w:val="FFFFFF"/>
                <w:sz w:val="21"/>
              </w:rPr>
              <w:t>Domain 2: Study design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Theoretical framework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9. Methodological orientation and theory: What methodological orientation underpinned the study?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Participatory action research conducted through an action learning set; thematic analysis (Braun and Clarke); abductive analysis using sensitising concepts. Sections 3.1, 3.4.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Participant selection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10. Sampling: How were participants selected?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Purposive sampling from a network of 48 GPs; ten recruited against two stated criteria. Section 3.2.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11. Method of approach: How were participants approached?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Approached through professional associations and the lead researcher's network. Section 3.2.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12. Sample size: How many participants were in the study?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Ten GPs. Sections 3.2, Table 1.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13. Non-participation: How many people refused to participate or dropped out?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No participant discontinued AI scribe use over the study period; two were less consistently engaged with the action learning set. Section 4.1.1.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Setting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14. Setting of data collection: Where was the data collected?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Monthly meetings via video conferencing; continuous WhatsApp group; individual interviews remotely. Section 3.3.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15. Presence of non-participants: Was anyone else present besides participants and researchers?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</w:r>
            <w:r>
              <w:rPr>
                <w:sz w:val="19"/>
              </w:rPr>
              <w:t>No individuals other than the interviewer and participant were present during interviews; no non-participants attended the action learning set meetings. Section 3.3.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16. Description of sample: What are the important characteristics of the sample?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Detailed in Table 1: years in GP/aged care, practice structure, prior AI scribe experience, tools used, state, caseload, facility size. Section 3.2, Table 1.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Data collection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17. Interview guide: Were questions, prompts, guides provided by the authors?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Interview question domains described (adoption trajectories, workflow/cognitive changes, consent, peer learning). Section 3.3. Full guide available on request.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18. Repeat interviews: Were repeat interviews carried out?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Individual interviews were conducted once near the study end; however, longitudinal engagement occurred across 12 months of meetings and WhatsApp interaction. Section 3.3.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19. Audio/visual recording: Did the research use audio or visual recording to collect the data?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Meetings and interviews were audio-recorded and transcribed using AI transcription. Section 3.3.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20. Field notes: Were field notes made during and/or after the interview or focus group?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A reflective journal was maintained throughout, with entries after each meeting. Sections 3.3, 3.5.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21. Duration: What was the duration of the interviews or focus group?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</w:r>
            <w:r>
              <w:rPr>
                <w:sz w:val="19"/>
              </w:rPr>
              <w:t>Individual interviews lasted approximately 45 minutes. Action learning set met monthly over 12 months. Section 3.3.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22. Data saturation: Was data saturation discussed?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</w:r>
            <w:r>
              <w:rPr>
                <w:sz w:val="19"/>
              </w:rPr>
              <w:t>Adequacy of data was judged through prolonged engagement, member checking, and triangulation across four data sources over twelve months, rather than thematic saturation as conventionally defined. Section 3.4.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23. Transcripts returned: Were transcripts returned to participants for comment and/or correction?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Summary notes and transcripts were shared with participants for member checking. Sections 3.3, 3.4.</w:t>
            </w:r>
          </w:p>
        </w:tc>
      </w:tr>
      <w:tr>
        <w:tc>
          <w:tcPr>
            <w:tcW w:type="dxa" w:w="5200"/>
            <w:gridSpan w:val="2"/>
            <w:shd w:val="clear" w:color="auto" w:fill="1a3c6e"/>
          </w:tcPr>
          <w:p>
            <w:r/>
            <w:r>
              <w:rPr>
                <w:b/>
                <w:color w:val="FFFFFF"/>
                <w:sz w:val="21"/>
              </w:rPr>
              <w:t>Domain 3: Analysis and findings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Data analysis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24. Number of data coders: How many data coders coded the data?</w:t>
            </w:r>
          </w:p>
        </w:tc>
        <w:tc>
          <w:tcPr>
            <w:tcW w:type="dxa" w:w="5200"/>
          </w:tcPr>
          <w:p>
            <w:r>
              <w:rPr/>
              <w:t>Two: the lead author (JSD) and third author (IP). Section 3.4.</w:t>
            </w:r>
            <w:r>
              <w:rPr>
                <w:sz w:val="19"/>
              </w:rPr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25. Description of the coding tree: Did authors provide a description of the coding tree?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224 codes organised into four parent themes and sub-themes; three primary themes reported. Section 3.4.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26. Derivation of themes: Were themes identified in advance or derived from the data?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Themes were derived abductively, iterating between data and sensitising concepts rather than applied a priori. Section 3.4.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27. Software: What software, if applicable, was used to manage the data?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NVivo qualitative data analysis software. Section 3.4.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28. Participant checking: Did participants provide feedback on the findings?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Preliminary findings shared at three points; participants reviewed representation of their contributions. Sections 3.4, 3.5.</w:t>
            </w:r>
          </w:p>
        </w:tc>
      </w:tr>
      <w:tr>
        <w:tc>
          <w:tcPr>
            <w:tcW w:type="dxa" w:w="5200"/>
            <w:gridSpan w:val="2"/>
            <w:shd w:val="clear" w:color="auto" w:fill="dce6f2"/>
          </w:tcPr>
          <w:p>
            <w:r/>
            <w:r>
              <w:rPr>
                <w:b/>
                <w:sz w:val="21"/>
              </w:rPr>
              <w:t>Reporting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29. Quotations presented: Were participant quotations presented to illustrate the themes/findings?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Quotations are presented throughout the Results, identified by first name where consent was given and pseudonymised where required. Section 4 (Results).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30. Data and findings consistent: Was there consistency between the data presented and the findings?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Findings are grounded in and consistent with quoted data; analytic claims triangulated across four data sources. Section 4, 3.4.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31. Clarity of major themes: Were major themes clearly presented in the findings?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Three major themes presented under clear sub-headings (4.1 workflow transformation; 4.2 cognitive transformation; 4.3 consent). Section 4.</w:t>
            </w:r>
          </w:p>
        </w:tc>
      </w:tr>
      <w:tr>
        <w:tc>
          <w:tcPr>
            <w:tcW w:type="dxa" w:w="4000"/>
          </w:tcPr>
          <w:p>
            <w:r/>
            <w:r>
              <w:rPr>
                <w:b/>
                <w:sz w:val="19"/>
              </w:rPr>
              <w:t>32. Clarity of minor themes: Is there a description of diverse cases or discussion of minor themes?</w:t>
            </w:r>
          </w:p>
        </w:tc>
        <w:tc>
          <w:tcPr>
            <w:tcW w:type="dxa" w:w="5200"/>
          </w:tcPr>
          <w:p>
            <w:r/>
            <w:r>
              <w:rPr>
                <w:sz w:val="19"/>
              </w:rPr>
              <w:t>Yes. Facility-level resistance (4.1.3), variable downstream experiences (4.2.1), and divergent consent views (4.3.1) are reported as minor themes and diverse cases.</w:t>
            </w:r>
          </w:p>
        </w:tc>
      </w:tr>
    </w:tbl>
    <w:p/>
    <w:p>
      <w:r>
        <w:rPr>
          <w:i/>
          <w:sz w:val="18"/>
        </w:rPr>
        <w:t>All 32 items are addressed in the manuscript or this checklist. Item 4 (gender) is not stated, by author decision, as it was not considered material to the analysis. Page numbers should be updated to match the final typeset version before submission.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