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2.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supplementary-information"/>
      <w:r>
        <w:t xml:space="preserve">Supplementary Information</w:t>
      </w:r>
      <w:bookmarkEnd w:id="20"/>
    </w:p>
    <w:p>
      <w:pPr>
        <w:pStyle w:val="FirstParagraph"/>
      </w:pPr>
      <w:r>
        <w:rPr>
          <w:b/>
        </w:rPr>
        <w:t xml:space="preserve">Assessing the Credibility of Corporate SDG Claims: An Agentic AI</w:t>
      </w:r>
      <w:r>
        <w:rPr>
          <w:b/>
        </w:rPr>
        <w:t xml:space="preserve"> </w:t>
      </w:r>
      <w:r>
        <w:rPr>
          <w:b/>
        </w:rPr>
        <w:t xml:space="preserve">Framework for Sustainability Report Analysis</w:t>
      </w:r>
    </w:p>
    <w:p>
      <w:pPr>
        <w:pStyle w:val="BodyText"/>
      </w:pPr>
      <w:r>
        <w:t xml:space="preserve">This Supplementary Information contains the sector- and claim-type-level</w:t>
      </w:r>
      <w:r>
        <w:t xml:space="preserve"> </w:t>
      </w:r>
      <w:r>
        <w:t xml:space="preserve">analyses summarised in §4.5 and the retrieval-validation detail</w:t>
      </w:r>
      <w:r>
        <w:t xml:space="preserve"> </w:t>
      </w:r>
      <w:r>
        <w:t xml:space="preserve">summarised in §4.2–4.3, the SMTEC scoring rubric (§3.3.4), and the per-goal</w:t>
      </w:r>
      <w:r>
        <w:t xml:space="preserve"> </w:t>
      </w:r>
      <w:r>
        <w:t xml:space="preserve">self-declared-versus-substantive comparison (§5.5) of the main text. Tables and figures use the</w:t>
      </w:r>
      <w:r>
        <w:t xml:space="preserve"> </w:t>
      </w:r>
      <w:r>
        <w:t xml:space="preserve">S-prefix and are cited from the main text as Table S1–S7 and Fig. S1. S6 reproduces the SMTEC scoring rubric with worked examples and grounding (§3.3.4); S7 reports the per-goal self-declared-versus-substantive comparison (§5.5).</w:t>
      </w:r>
    </w:p>
    <w:p>
      <w:pPr>
        <w:pStyle w:val="Heading2"/>
      </w:pPr>
      <w:bookmarkStart w:id="21" w:name="s1.-sector-level-analysis"/>
      <w:r>
        <w:t xml:space="preserve">S1. Sector-level analysis</w:t>
      </w:r>
      <w:bookmarkEnd w:id="21"/>
    </w:p>
    <w:p>
      <w:pPr>
        <w:pStyle w:val="FirstParagraph"/>
      </w:pPr>
      <w:r>
        <w:t xml:space="preserve">Table S1 reports per-sector credibility means and tier distributions</w:t>
      </w:r>
      <w:r>
        <w:t xml:space="preserve"> </w:t>
      </w:r>
      <w:r>
        <w:t xml:space="preserve">across the corpus; sector labels follow the Stock Exchange of Thailand</w:t>
      </w:r>
      <w:r>
        <w:t xml:space="preserve"> </w:t>
      </w:r>
      <w:r>
        <w:t xml:space="preserve">classification (SET, 2021).</w:t>
      </w:r>
    </w:p>
    <w:p>
      <w:pPr>
        <w:pStyle w:val="BodyText"/>
      </w:pPr>
      <w:r>
        <w:rPr>
          <w:b/>
        </w:rPr>
        <w:t xml:space="preserve">Table S1.</w:t>
      </w:r>
      <w:r>
        <w:t xml:space="preserve"> </w:t>
      </w:r>
      <w:r>
        <w:t xml:space="preserve">Sector-level credibility means and tier distribution.</w:t>
      </w:r>
    </w:p>
    <w:tbl>
      <w:tblPr>
        <w:tblStyle w:val="Table"/>
        <w:tblW w:type="pct" w:w="0.0"/>
        <w:tblLook w:firstRow="1"/>
      </w:tblPr>
      <w:tblGrid/>
      <w:tr>
        <w:trPr>
          <w:cnfStyle w:firstRow="1"/>
        </w:trPr>
        <w:tc>
          <w:tcPr>
            <w:tcBorders>
              <w:bottom w:val="single"/>
            </w:tcBorders>
            <w:vAlign w:val="bottom"/>
          </w:tcPr>
          <w:p>
            <w:pPr>
              <w:pStyle w:val="Compact"/>
              <w:jc w:val="left"/>
            </w:pPr>
            <w:r>
              <w:t xml:space="preserve">Sector</w:t>
            </w:r>
          </w:p>
        </w:tc>
        <w:tc>
          <w:tcPr>
            <w:tcBorders>
              <w:bottom w:val="single"/>
            </w:tcBorders>
            <w:vAlign w:val="bottom"/>
          </w:tcPr>
          <w:p>
            <w:pPr>
              <w:pStyle w:val="Compact"/>
              <w:jc w:val="left"/>
            </w:pPr>
            <w:r>
              <w:t xml:space="preserve">N firms</w:t>
            </w:r>
          </w:p>
        </w:tc>
        <w:tc>
          <w:tcPr>
            <w:tcBorders>
              <w:bottom w:val="single"/>
            </w:tcBorders>
            <w:vAlign w:val="bottom"/>
          </w:tcPr>
          <w:p>
            <w:pPr>
              <w:pStyle w:val="Compact"/>
              <w:jc w:val="left"/>
            </w:pPr>
            <w:r>
              <w:t xml:space="preserve">N claims</w:t>
            </w:r>
          </w:p>
        </w:tc>
        <w:tc>
          <w:tcPr>
            <w:tcBorders>
              <w:bottom w:val="single"/>
            </w:tcBorders>
            <w:vAlign w:val="bottom"/>
          </w:tcPr>
          <w:p>
            <w:pPr>
              <w:pStyle w:val="Compact"/>
              <w:jc w:val="left"/>
            </w:pPr>
            <w:r>
              <w:t xml:space="preserve">Composite</w:t>
            </w:r>
          </w:p>
        </w:tc>
        <w:tc>
          <w:tcPr>
            <w:tcBorders>
              <w:bottom w:val="single"/>
            </w:tcBorders>
            <w:vAlign w:val="bottom"/>
          </w:tcPr>
          <w:p>
            <w:pPr>
              <w:pStyle w:val="Compact"/>
              <w:jc w:val="left"/>
            </w:pPr>
            <w:r>
              <w:t xml:space="preserve">Sym%</w:t>
            </w:r>
          </w:p>
        </w:tc>
        <w:tc>
          <w:tcPr>
            <w:tcBorders>
              <w:bottom w:val="single"/>
            </w:tcBorders>
            <w:vAlign w:val="bottom"/>
          </w:tcPr>
          <w:p>
            <w:pPr>
              <w:pStyle w:val="Compact"/>
              <w:jc w:val="left"/>
            </w:pPr>
            <w:r>
              <w:t xml:space="preserve">Part%</w:t>
            </w:r>
          </w:p>
        </w:tc>
        <w:tc>
          <w:tcPr>
            <w:tcBorders>
              <w:bottom w:val="single"/>
            </w:tcBorders>
            <w:vAlign w:val="bottom"/>
          </w:tcPr>
          <w:p>
            <w:pPr>
              <w:pStyle w:val="Compact"/>
              <w:jc w:val="left"/>
            </w:pPr>
            <w:r>
              <w:t xml:space="preserve">Sub%</w:t>
            </w:r>
          </w:p>
        </w:tc>
        <w:tc>
          <w:tcPr>
            <w:tcBorders>
              <w:bottom w:val="single"/>
            </w:tcBorders>
            <w:vAlign w:val="bottom"/>
          </w:tcPr>
          <w:p>
            <w:pPr>
              <w:pStyle w:val="Compact"/>
              <w:jc w:val="left"/>
            </w:pPr>
            <w:r>
              <w:t xml:space="preserve">S M T E C</w:t>
            </w:r>
          </w:p>
        </w:tc>
      </w:tr>
      <w:tr>
        <w:tc>
          <w:p>
            <w:pPr>
              <w:pStyle w:val="Compact"/>
              <w:jc w:val="left"/>
            </w:pPr>
            <w:r>
              <w:t xml:space="preserve">Property Development</w:t>
            </w:r>
          </w:p>
        </w:tc>
        <w:tc>
          <w:p>
            <w:pPr>
              <w:pStyle w:val="Compact"/>
              <w:jc w:val="left"/>
            </w:pPr>
            <w:r>
              <w:t xml:space="preserve">4</w:t>
            </w:r>
          </w:p>
        </w:tc>
        <w:tc>
          <w:p>
            <w:pPr>
              <w:pStyle w:val="Compact"/>
              <w:jc w:val="left"/>
            </w:pPr>
            <w:r>
              <w:t xml:space="preserve">1,027</w:t>
            </w:r>
          </w:p>
        </w:tc>
        <w:tc>
          <w:p>
            <w:pPr>
              <w:pStyle w:val="Compact"/>
              <w:jc w:val="left"/>
            </w:pPr>
            <w:r>
              <w:t xml:space="preserve">1.44</w:t>
            </w:r>
          </w:p>
        </w:tc>
        <w:tc>
          <w:p>
            <w:pPr>
              <w:pStyle w:val="Compact"/>
              <w:jc w:val="left"/>
            </w:pPr>
            <w:r>
              <w:t xml:space="preserve">5.3</w:t>
            </w:r>
          </w:p>
        </w:tc>
        <w:tc>
          <w:p>
            <w:pPr>
              <w:pStyle w:val="Compact"/>
              <w:jc w:val="left"/>
            </w:pPr>
            <w:r>
              <w:t xml:space="preserve">72.2</w:t>
            </w:r>
          </w:p>
        </w:tc>
        <w:tc>
          <w:p>
            <w:pPr>
              <w:pStyle w:val="Compact"/>
              <w:jc w:val="left"/>
            </w:pPr>
            <w:r>
              <w:t xml:space="preserve">22.5</w:t>
            </w:r>
          </w:p>
        </w:tc>
        <w:tc>
          <w:p>
            <w:pPr>
              <w:pStyle w:val="Compact"/>
              <w:jc w:val="left"/>
            </w:pPr>
            <w:r>
              <w:t xml:space="preserve">1.74 0.64 0.94 1.14 2.75</w:t>
            </w:r>
          </w:p>
        </w:tc>
      </w:tr>
      <w:tr>
        <w:tc>
          <w:p>
            <w:pPr>
              <w:pStyle w:val="Compact"/>
              <w:jc w:val="left"/>
            </w:pPr>
            <w:r>
              <w:t xml:space="preserve">Banking &amp; Finance</w:t>
            </w:r>
          </w:p>
        </w:tc>
        <w:tc>
          <w:p>
            <w:pPr>
              <w:pStyle w:val="Compact"/>
              <w:jc w:val="left"/>
            </w:pPr>
            <w:r>
              <w:t xml:space="preserve">4</w:t>
            </w:r>
          </w:p>
        </w:tc>
        <w:tc>
          <w:p>
            <w:pPr>
              <w:pStyle w:val="Compact"/>
              <w:jc w:val="left"/>
            </w:pPr>
            <w:r>
              <w:t xml:space="preserve">990</w:t>
            </w:r>
          </w:p>
        </w:tc>
        <w:tc>
          <w:p>
            <w:pPr>
              <w:pStyle w:val="Compact"/>
              <w:jc w:val="left"/>
            </w:pPr>
            <w:r>
              <w:t xml:space="preserve">1.37</w:t>
            </w:r>
          </w:p>
        </w:tc>
        <w:tc>
          <w:p>
            <w:pPr>
              <w:pStyle w:val="Compact"/>
              <w:jc w:val="left"/>
            </w:pPr>
            <w:r>
              <w:t xml:space="preserve">9.4</w:t>
            </w:r>
          </w:p>
        </w:tc>
        <w:tc>
          <w:p>
            <w:pPr>
              <w:pStyle w:val="Compact"/>
              <w:jc w:val="left"/>
            </w:pPr>
            <w:r>
              <w:t xml:space="preserve">73.6</w:t>
            </w:r>
          </w:p>
        </w:tc>
        <w:tc>
          <w:p>
            <w:pPr>
              <w:pStyle w:val="Compact"/>
              <w:jc w:val="left"/>
            </w:pPr>
            <w:r>
              <w:t xml:space="preserve">17.0</w:t>
            </w:r>
          </w:p>
        </w:tc>
        <w:tc>
          <w:p>
            <w:pPr>
              <w:pStyle w:val="Compact"/>
              <w:jc w:val="left"/>
            </w:pPr>
            <w:r>
              <w:t xml:space="preserve">1.62 0.58 0.87 1.11 2.66</w:t>
            </w:r>
          </w:p>
        </w:tc>
      </w:tr>
      <w:tr>
        <w:tc>
          <w:p>
            <w:pPr>
              <w:pStyle w:val="Compact"/>
              <w:jc w:val="left"/>
            </w:pPr>
            <w:r>
              <w:t xml:space="preserve">Energy &amp; Utilities</w:t>
            </w:r>
          </w:p>
        </w:tc>
        <w:tc>
          <w:p>
            <w:pPr>
              <w:pStyle w:val="Compact"/>
              <w:jc w:val="left"/>
            </w:pPr>
            <w:r>
              <w:t xml:space="preserve">6</w:t>
            </w:r>
          </w:p>
        </w:tc>
        <w:tc>
          <w:p>
            <w:pPr>
              <w:pStyle w:val="Compact"/>
              <w:jc w:val="left"/>
            </w:pPr>
            <w:r>
              <w:t xml:space="preserve">986</w:t>
            </w:r>
          </w:p>
        </w:tc>
        <w:tc>
          <w:p>
            <w:pPr>
              <w:pStyle w:val="Compact"/>
              <w:jc w:val="left"/>
            </w:pPr>
            <w:r>
              <w:t xml:space="preserve">1.41</w:t>
            </w:r>
          </w:p>
        </w:tc>
        <w:tc>
          <w:p>
            <w:pPr>
              <w:pStyle w:val="Compact"/>
              <w:jc w:val="left"/>
            </w:pPr>
            <w:r>
              <w:t xml:space="preserve">10.5</w:t>
            </w:r>
          </w:p>
        </w:tc>
        <w:tc>
          <w:p>
            <w:pPr>
              <w:pStyle w:val="Compact"/>
              <w:jc w:val="left"/>
            </w:pPr>
            <w:r>
              <w:t xml:space="preserve">67.4</w:t>
            </w:r>
          </w:p>
        </w:tc>
        <w:tc>
          <w:p>
            <w:pPr>
              <w:pStyle w:val="Compact"/>
              <w:jc w:val="left"/>
            </w:pPr>
            <w:r>
              <w:t xml:space="preserve">22.0</w:t>
            </w:r>
          </w:p>
        </w:tc>
        <w:tc>
          <w:p>
            <w:pPr>
              <w:pStyle w:val="Compact"/>
              <w:jc w:val="left"/>
            </w:pPr>
            <w:r>
              <w:t xml:space="preserve">1.65 0.65 0.98 1.15 2.64</w:t>
            </w:r>
          </w:p>
        </w:tc>
      </w:tr>
      <w:tr>
        <w:tc>
          <w:p>
            <w:pPr>
              <w:pStyle w:val="Compact"/>
              <w:jc w:val="left"/>
            </w:pPr>
            <w:r>
              <w:t xml:space="preserve">Agribusiness &amp; Food</w:t>
            </w:r>
          </w:p>
        </w:tc>
        <w:tc>
          <w:p>
            <w:pPr>
              <w:pStyle w:val="Compact"/>
              <w:jc w:val="left"/>
            </w:pPr>
            <w:r>
              <w:t xml:space="preserve">4</w:t>
            </w:r>
          </w:p>
        </w:tc>
        <w:tc>
          <w:p>
            <w:pPr>
              <w:pStyle w:val="Compact"/>
              <w:jc w:val="left"/>
            </w:pPr>
            <w:r>
              <w:t xml:space="preserve">913</w:t>
            </w:r>
          </w:p>
        </w:tc>
        <w:tc>
          <w:p>
            <w:pPr>
              <w:pStyle w:val="Compact"/>
              <w:jc w:val="left"/>
            </w:pPr>
            <w:r>
              <w:t xml:space="preserve">1.44</w:t>
            </w:r>
          </w:p>
        </w:tc>
        <w:tc>
          <w:p>
            <w:pPr>
              <w:pStyle w:val="Compact"/>
              <w:jc w:val="left"/>
            </w:pPr>
            <w:r>
              <w:t xml:space="preserve">9.3</w:t>
            </w:r>
          </w:p>
        </w:tc>
        <w:tc>
          <w:p>
            <w:pPr>
              <w:pStyle w:val="Compact"/>
              <w:jc w:val="left"/>
            </w:pPr>
            <w:r>
              <w:t xml:space="preserve">66.7</w:t>
            </w:r>
          </w:p>
        </w:tc>
        <w:tc>
          <w:p>
            <w:pPr>
              <w:pStyle w:val="Compact"/>
              <w:jc w:val="left"/>
            </w:pPr>
            <w:r>
              <w:t xml:space="preserve">24.0</w:t>
            </w:r>
          </w:p>
        </w:tc>
        <w:tc>
          <w:p>
            <w:pPr>
              <w:pStyle w:val="Compact"/>
              <w:jc w:val="left"/>
            </w:pPr>
            <w:r>
              <w:t xml:space="preserve">1.73 0.71 0.87 1.20 2.66</w:t>
            </w:r>
          </w:p>
        </w:tc>
      </w:tr>
      <w:tr>
        <w:tc>
          <w:p>
            <w:pPr>
              <w:pStyle w:val="Compact"/>
              <w:jc w:val="left"/>
            </w:pPr>
            <w:r>
              <w:t xml:space="preserve">Commerce</w:t>
            </w:r>
          </w:p>
        </w:tc>
        <w:tc>
          <w:p>
            <w:pPr>
              <w:pStyle w:val="Compact"/>
              <w:jc w:val="left"/>
            </w:pPr>
            <w:r>
              <w:t xml:space="preserve">3</w:t>
            </w:r>
          </w:p>
        </w:tc>
        <w:tc>
          <w:p>
            <w:pPr>
              <w:pStyle w:val="Compact"/>
              <w:jc w:val="left"/>
            </w:pPr>
            <w:r>
              <w:t xml:space="preserve">722</w:t>
            </w:r>
          </w:p>
        </w:tc>
        <w:tc>
          <w:p>
            <w:pPr>
              <w:pStyle w:val="Compact"/>
              <w:jc w:val="left"/>
            </w:pPr>
            <w:r>
              <w:t xml:space="preserve">1.42</w:t>
            </w:r>
          </w:p>
        </w:tc>
        <w:tc>
          <w:p>
            <w:pPr>
              <w:pStyle w:val="Compact"/>
              <w:jc w:val="left"/>
            </w:pPr>
            <w:r>
              <w:t xml:space="preserve">9.0</w:t>
            </w:r>
          </w:p>
        </w:tc>
        <w:tc>
          <w:p>
            <w:pPr>
              <w:pStyle w:val="Compact"/>
              <w:jc w:val="left"/>
            </w:pPr>
            <w:r>
              <w:t xml:space="preserve">69.7</w:t>
            </w:r>
          </w:p>
        </w:tc>
        <w:tc>
          <w:p>
            <w:pPr>
              <w:pStyle w:val="Compact"/>
              <w:jc w:val="left"/>
            </w:pPr>
            <w:r>
              <w:t xml:space="preserve">21.3</w:t>
            </w:r>
          </w:p>
        </w:tc>
        <w:tc>
          <w:p>
            <w:pPr>
              <w:pStyle w:val="Compact"/>
              <w:jc w:val="left"/>
            </w:pPr>
            <w:r>
              <w:t xml:space="preserve">1.72 0.84 0.93 1.11 2.49</w:t>
            </w:r>
          </w:p>
        </w:tc>
      </w:tr>
      <w:tr>
        <w:tc>
          <w:p>
            <w:pPr>
              <w:pStyle w:val="Compact"/>
              <w:jc w:val="left"/>
            </w:pPr>
            <w:r>
              <w:t xml:space="preserve">Construction Materials</w:t>
            </w:r>
          </w:p>
        </w:tc>
        <w:tc>
          <w:p>
            <w:pPr>
              <w:pStyle w:val="Compact"/>
              <w:jc w:val="left"/>
            </w:pPr>
            <w:r>
              <w:t xml:space="preserve">3</w:t>
            </w:r>
          </w:p>
        </w:tc>
        <w:tc>
          <w:p>
            <w:pPr>
              <w:pStyle w:val="Compact"/>
              <w:jc w:val="left"/>
            </w:pPr>
            <w:r>
              <w:t xml:space="preserve">623</w:t>
            </w:r>
          </w:p>
        </w:tc>
        <w:tc>
          <w:p>
            <w:pPr>
              <w:pStyle w:val="Compact"/>
              <w:jc w:val="left"/>
            </w:pPr>
            <w:r>
              <w:t xml:space="preserve">1.51</w:t>
            </w:r>
          </w:p>
        </w:tc>
        <w:tc>
          <w:p>
            <w:pPr>
              <w:pStyle w:val="Compact"/>
              <w:jc w:val="left"/>
            </w:pPr>
            <w:r>
              <w:t xml:space="preserve">6.9</w:t>
            </w:r>
          </w:p>
        </w:tc>
        <w:tc>
          <w:p>
            <w:pPr>
              <w:pStyle w:val="Compact"/>
              <w:jc w:val="left"/>
            </w:pPr>
            <w:r>
              <w:t xml:space="preserve">64.0</w:t>
            </w:r>
          </w:p>
        </w:tc>
        <w:tc>
          <w:p>
            <w:pPr>
              <w:pStyle w:val="Compact"/>
              <w:jc w:val="left"/>
            </w:pPr>
            <w:r>
              <w:t xml:space="preserve">29.1</w:t>
            </w:r>
          </w:p>
        </w:tc>
        <w:tc>
          <w:p>
            <w:pPr>
              <w:pStyle w:val="Compact"/>
              <w:jc w:val="left"/>
            </w:pPr>
            <w:r>
              <w:t xml:space="preserve">1.75 0.86 1.02 1.25 2.64</w:t>
            </w:r>
          </w:p>
        </w:tc>
      </w:tr>
      <w:tr>
        <w:tc>
          <w:p>
            <w:pPr>
              <w:pStyle w:val="Compact"/>
              <w:jc w:val="left"/>
            </w:pPr>
            <w:r>
              <w:t xml:space="preserve">Transportation</w:t>
            </w:r>
          </w:p>
        </w:tc>
        <w:tc>
          <w:p>
            <w:pPr>
              <w:pStyle w:val="Compact"/>
              <w:jc w:val="left"/>
            </w:pPr>
            <w:r>
              <w:t xml:space="preserve">2</w:t>
            </w:r>
          </w:p>
        </w:tc>
        <w:tc>
          <w:p>
            <w:pPr>
              <w:pStyle w:val="Compact"/>
              <w:jc w:val="left"/>
            </w:pPr>
            <w:r>
              <w:t xml:space="preserve">353</w:t>
            </w:r>
          </w:p>
        </w:tc>
        <w:tc>
          <w:p>
            <w:pPr>
              <w:pStyle w:val="Compact"/>
              <w:jc w:val="left"/>
            </w:pPr>
            <w:r>
              <w:t xml:space="preserve">1.47</w:t>
            </w:r>
          </w:p>
        </w:tc>
        <w:tc>
          <w:p>
            <w:pPr>
              <w:pStyle w:val="Compact"/>
              <w:jc w:val="left"/>
            </w:pPr>
            <w:r>
              <w:t xml:space="preserve">8.2</w:t>
            </w:r>
          </w:p>
        </w:tc>
        <w:tc>
          <w:p>
            <w:pPr>
              <w:pStyle w:val="Compact"/>
              <w:jc w:val="left"/>
            </w:pPr>
            <w:r>
              <w:t xml:space="preserve">66.9</w:t>
            </w:r>
          </w:p>
        </w:tc>
        <w:tc>
          <w:p>
            <w:pPr>
              <w:pStyle w:val="Compact"/>
              <w:jc w:val="left"/>
            </w:pPr>
            <w:r>
              <w:t xml:space="preserve">24.9</w:t>
            </w:r>
          </w:p>
        </w:tc>
        <w:tc>
          <w:p>
            <w:pPr>
              <w:pStyle w:val="Compact"/>
              <w:jc w:val="left"/>
            </w:pPr>
            <w:r>
              <w:t xml:space="preserve">1.78 0.66 1.10 1.14 2.67</w:t>
            </w:r>
          </w:p>
        </w:tc>
      </w:tr>
      <w:tr>
        <w:tc>
          <w:p>
            <w:pPr>
              <w:pStyle w:val="Compact"/>
              <w:jc w:val="left"/>
            </w:pPr>
            <w:r>
              <w:t xml:space="preserve">ICT</w:t>
            </w:r>
          </w:p>
        </w:tc>
        <w:tc>
          <w:p>
            <w:pPr>
              <w:pStyle w:val="Compact"/>
              <w:jc w:val="left"/>
            </w:pPr>
            <w:r>
              <w:t xml:space="preserve">2</w:t>
            </w:r>
          </w:p>
        </w:tc>
        <w:tc>
          <w:p>
            <w:pPr>
              <w:pStyle w:val="Compact"/>
              <w:jc w:val="left"/>
            </w:pPr>
            <w:r>
              <w:t xml:space="preserve">326</w:t>
            </w:r>
          </w:p>
        </w:tc>
        <w:tc>
          <w:p>
            <w:pPr>
              <w:pStyle w:val="Compact"/>
              <w:jc w:val="left"/>
            </w:pPr>
            <w:r>
              <w:t xml:space="preserve">1.47</w:t>
            </w:r>
          </w:p>
        </w:tc>
        <w:tc>
          <w:p>
            <w:pPr>
              <w:pStyle w:val="Compact"/>
              <w:jc w:val="left"/>
            </w:pPr>
            <w:r>
              <w:t xml:space="preserve">11.7</w:t>
            </w:r>
          </w:p>
        </w:tc>
        <w:tc>
          <w:p>
            <w:pPr>
              <w:pStyle w:val="Compact"/>
              <w:jc w:val="left"/>
            </w:pPr>
            <w:r>
              <w:t xml:space="preserve">62.0</w:t>
            </w:r>
          </w:p>
        </w:tc>
        <w:tc>
          <w:p>
            <w:pPr>
              <w:pStyle w:val="Compact"/>
              <w:jc w:val="left"/>
            </w:pPr>
            <w:r>
              <w:t xml:space="preserve">26.4</w:t>
            </w:r>
          </w:p>
        </w:tc>
        <w:tc>
          <w:p>
            <w:pPr>
              <w:pStyle w:val="Compact"/>
              <w:jc w:val="left"/>
            </w:pPr>
            <w:r>
              <w:t xml:space="preserve">1.83 0.88 1.04 1.14 2.47</w:t>
            </w:r>
          </w:p>
        </w:tc>
      </w:tr>
      <w:tr>
        <w:tc>
          <w:p>
            <w:pPr>
              <w:pStyle w:val="Compact"/>
              <w:jc w:val="left"/>
            </w:pPr>
            <w:r>
              <w:t xml:space="preserve">Health Care</w:t>
            </w:r>
          </w:p>
        </w:tc>
        <w:tc>
          <w:p>
            <w:pPr>
              <w:pStyle w:val="Compact"/>
              <w:jc w:val="left"/>
            </w:pPr>
            <w:r>
              <w:t xml:space="preserve">1</w:t>
            </w:r>
          </w:p>
        </w:tc>
        <w:tc>
          <w:p>
            <w:pPr>
              <w:pStyle w:val="Compact"/>
              <w:jc w:val="left"/>
            </w:pPr>
            <w:r>
              <w:t xml:space="preserve">220</w:t>
            </w:r>
          </w:p>
        </w:tc>
        <w:tc>
          <w:p>
            <w:pPr>
              <w:pStyle w:val="Compact"/>
              <w:jc w:val="left"/>
            </w:pPr>
            <w:r>
              <w:t xml:space="preserve">1.37</w:t>
            </w:r>
          </w:p>
        </w:tc>
        <w:tc>
          <w:p>
            <w:pPr>
              <w:pStyle w:val="Compact"/>
              <w:jc w:val="left"/>
            </w:pPr>
            <w:r>
              <w:t xml:space="preserve">10.0</w:t>
            </w:r>
          </w:p>
        </w:tc>
        <w:tc>
          <w:p>
            <w:pPr>
              <w:pStyle w:val="Compact"/>
              <w:jc w:val="left"/>
            </w:pPr>
            <w:r>
              <w:t xml:space="preserve">68.6</w:t>
            </w:r>
          </w:p>
        </w:tc>
        <w:tc>
          <w:p>
            <w:pPr>
              <w:pStyle w:val="Compact"/>
              <w:jc w:val="left"/>
            </w:pPr>
            <w:r>
              <w:t xml:space="preserve">21.4</w:t>
            </w:r>
          </w:p>
        </w:tc>
        <w:tc>
          <w:p>
            <w:pPr>
              <w:pStyle w:val="Compact"/>
              <w:jc w:val="left"/>
            </w:pPr>
            <w:r>
              <w:t xml:space="preserve">1.64 0.70 0.83 1.11 2.58</w:t>
            </w:r>
          </w:p>
        </w:tc>
      </w:tr>
      <w:tr>
        <w:tc>
          <w:p>
            <w:pPr>
              <w:pStyle w:val="Compact"/>
              <w:jc w:val="left"/>
            </w:pPr>
            <w:r>
              <w:t xml:space="preserve">Electronic Components</w:t>
            </w:r>
          </w:p>
        </w:tc>
        <w:tc>
          <w:p>
            <w:pPr>
              <w:pStyle w:val="Compact"/>
              <w:jc w:val="left"/>
            </w:pPr>
            <w:r>
              <w:t xml:space="preserve">1</w:t>
            </w:r>
          </w:p>
        </w:tc>
        <w:tc>
          <w:p>
            <w:pPr>
              <w:pStyle w:val="Compact"/>
              <w:jc w:val="left"/>
            </w:pPr>
            <w:r>
              <w:t xml:space="preserve">165</w:t>
            </w:r>
          </w:p>
        </w:tc>
        <w:tc>
          <w:p>
            <w:pPr>
              <w:pStyle w:val="Compact"/>
              <w:jc w:val="left"/>
            </w:pPr>
            <w:r>
              <w:t xml:space="preserve">1.50</w:t>
            </w:r>
          </w:p>
        </w:tc>
        <w:tc>
          <w:p>
            <w:pPr>
              <w:pStyle w:val="Compact"/>
              <w:jc w:val="left"/>
            </w:pPr>
            <w:r>
              <w:t xml:space="preserve">9.7</w:t>
            </w:r>
          </w:p>
        </w:tc>
        <w:tc>
          <w:p>
            <w:pPr>
              <w:pStyle w:val="Compact"/>
              <w:jc w:val="left"/>
            </w:pPr>
            <w:r>
              <w:t xml:space="preserve">60.6</w:t>
            </w:r>
          </w:p>
        </w:tc>
        <w:tc>
          <w:p>
            <w:pPr>
              <w:pStyle w:val="Compact"/>
              <w:jc w:val="left"/>
            </w:pPr>
            <w:r>
              <w:t xml:space="preserve">29.7</w:t>
            </w:r>
          </w:p>
        </w:tc>
        <w:tc>
          <w:p>
            <w:pPr>
              <w:pStyle w:val="Compact"/>
              <w:jc w:val="left"/>
            </w:pPr>
            <w:r>
              <w:t xml:space="preserve">1.76 0.72 1.33 1.24 2.46</w:t>
            </w:r>
          </w:p>
        </w:tc>
      </w:tr>
    </w:tbl>
    <w:p>
      <w:pPr>
        <w:pStyle w:val="BodyText"/>
      </w:pPr>
      <w:r>
        <w:rPr>
          <w:b/>
        </w:rPr>
        <w:t xml:space="preserve">Fig. S1</w:t>
      </w:r>
      <w:r>
        <w:t xml:space="preserve"> </w:t>
      </w:r>
      <w:r>
        <w:t xml:space="preserve">renders the sector-by-dimension SMTEC means as a heatmap.</w:t>
      </w:r>
    </w:p>
    <w:p>
      <w:pPr>
        <w:pStyle w:val="BodyText"/>
      </w:pPr>
      <w:r>
        <w:drawing>
          <wp:inline>
            <wp:extent cx="5334000" cy="2813685"/>
            <wp:effectExtent b="0" l="0" r="0" t="0"/>
            <wp:docPr descr="" title="" id="1" name="Picture"/>
            <a:graphic>
              <a:graphicData uri="http://schemas.openxmlformats.org/drawingml/2006/picture">
                <pic:pic>
                  <pic:nvPicPr>
                    <pic:cNvPr descr="figures/fig5_sdg_heatmap.png" id="0" name="Picture"/>
                    <pic:cNvPicPr>
                      <a:picLocks noChangeArrowheads="1" noChangeAspect="1"/>
                    </pic:cNvPicPr>
                  </pic:nvPicPr>
                  <pic:blipFill>
                    <a:blip r:embed="rId22"/>
                    <a:stretch>
                      <a:fillRect/>
                    </a:stretch>
                  </pic:blipFill>
                  <pic:spPr bwMode="auto">
                    <a:xfrm>
                      <a:off x="0" y="0"/>
                      <a:ext cx="5334000" cy="2813685"/>
                    </a:xfrm>
                    <a:prstGeom prst="rect">
                      <a:avLst/>
                    </a:prstGeom>
                    <a:noFill/>
                    <a:ln w="9525">
                      <a:noFill/>
                      <a:headEnd/>
                      <a:tailEnd/>
                    </a:ln>
                  </pic:spPr>
                </pic:pic>
              </a:graphicData>
            </a:graphic>
          </wp:inline>
        </w:drawing>
      </w:r>
    </w:p>
    <w:p>
      <w:pPr>
        <w:pStyle w:val="BodyText"/>
      </w:pPr>
      <w:r>
        <w:rPr>
          <w:b/>
        </w:rPr>
        <w:t xml:space="preserve">Fig. S1</w:t>
      </w:r>
      <w:r>
        <w:t xml:space="preserve"> </w:t>
      </w:r>
      <w:r>
        <w:t xml:space="preserve">Sector × SMTEC dimensional heatmap</w:t>
      </w:r>
    </w:p>
    <w:p>
      <w:pPr>
        <w:pStyle w:val="BodyText"/>
      </w:pPr>
      <w:r>
        <w:t xml:space="preserve">Three observations follow. First, cross-sector variation in mean</w:t>
      </w:r>
      <w:r>
        <w:t xml:space="preserve"> </w:t>
      </w:r>
      <w:r>
        <w:t xml:space="preserve">composite is modest (1.37 in Banking &amp; Finance and Health Care to 1.51</w:t>
      </w:r>
      <w:r>
        <w:t xml:space="preserve"> </w:t>
      </w:r>
      <w:r>
        <w:t xml:space="preserve">in Construction Materials — a 0.14 spread), consistent with the</w:t>
      </w:r>
      <w:r>
        <w:t xml:space="preserve"> </w:t>
      </w:r>
      <w:r>
        <w:t xml:space="preserve">legitimacy-theory prediction that firms converge on common norms once a</w:t>
      </w:r>
      <w:r>
        <w:t xml:space="preserve"> </w:t>
      </w:r>
      <w:r>
        <w:t xml:space="preserve">regulatory floor is set (Wuttichindanon, 2017). Second, the dimensional</w:t>
      </w:r>
      <w:r>
        <w:t xml:space="preserve"> </w:t>
      </w:r>
      <w:r>
        <w:t xml:space="preserve">fingerprint differs more across sectors than the composite does: ICT</w:t>
      </w:r>
      <w:r>
        <w:t xml:space="preserve"> </w:t>
      </w:r>
      <w:r>
        <w:t xml:space="preserve">shows the highest Specificity (1.83) but the lowest Consistency among</w:t>
      </w:r>
      <w:r>
        <w:t xml:space="preserve"> </w:t>
      </w:r>
      <w:r>
        <w:t xml:space="preserve">larger sectors (2.47); Construction Materials shows higher Measurability</w:t>
      </w:r>
      <w:r>
        <w:t xml:space="preserve"> </w:t>
      </w:r>
      <w:r>
        <w:t xml:space="preserve">(0.86) and Evidence (1.25); Property Development has the highest</w:t>
      </w:r>
      <w:r>
        <w:t xml:space="preserve"> </w:t>
      </w:r>
      <w:r>
        <w:t xml:space="preserve">Consistency (2.75). Third, no sector reaches a majority-substantive</w:t>
      </w:r>
      <w:r>
        <w:t xml:space="preserve"> </w:t>
      </w:r>
      <w:r>
        <w:t xml:space="preserve">profile — even Construction Materials classifies only 29.1% of claims</w:t>
      </w:r>
      <w:r>
        <w:t xml:space="preserve"> </w:t>
      </w:r>
      <w:r>
        <w:t xml:space="preserve">as Substantive — so the modal pattern is mid-quality reporting rather</w:t>
      </w:r>
      <w:r>
        <w:t xml:space="preserve"> </w:t>
      </w:r>
      <w:r>
        <w:t xml:space="preserve">than symbolic-versus-substantive bimodality.</w:t>
      </w:r>
    </w:p>
    <w:p>
      <w:pPr>
        <w:pStyle w:val="Heading2"/>
      </w:pPr>
      <w:bookmarkStart w:id="23" w:name="s2.-claim-type-analysis"/>
      <w:r>
        <w:t xml:space="preserve">S2. Claim-type analysis</w:t>
      </w:r>
      <w:bookmarkEnd w:id="23"/>
    </w:p>
    <w:p>
      <w:pPr>
        <w:pStyle w:val="FirstParagraph"/>
      </w:pPr>
      <w:r>
        <w:t xml:space="preserve">Table S2 reports credibility means and tier distributions for the six</w:t>
      </w:r>
      <w:r>
        <w:t xml:space="preserve"> </w:t>
      </w:r>
      <w:r>
        <w:t xml:space="preserve">claim types with n ≥ 100.</w:t>
      </w:r>
    </w:p>
    <w:p>
      <w:pPr>
        <w:pStyle w:val="BodyText"/>
      </w:pPr>
      <w:r>
        <w:rPr>
          <w:b/>
        </w:rPr>
        <w:t xml:space="preserve">Table S2.</w:t>
      </w:r>
      <w:r>
        <w:t xml:space="preserve"> </w:t>
      </w:r>
      <w:r>
        <w:t xml:space="preserve">Claim-type-level credibility means and tier distribution.</w:t>
      </w:r>
    </w:p>
    <w:tbl>
      <w:tblPr>
        <w:tblStyle w:val="Table"/>
        <w:tblW w:type="pct" w:w="0.0"/>
        <w:tblLook w:firstRow="1"/>
      </w:tblPr>
      <w:tblGrid/>
      <w:tr>
        <w:trPr>
          <w:cnfStyle w:firstRow="1"/>
        </w:trPr>
        <w:tc>
          <w:tcPr>
            <w:tcBorders>
              <w:bottom w:val="single"/>
            </w:tcBorders>
            <w:vAlign w:val="bottom"/>
          </w:tcPr>
          <w:p>
            <w:pPr>
              <w:pStyle w:val="Compact"/>
              <w:jc w:val="left"/>
            </w:pPr>
            <w:r>
              <w:t xml:space="preserve">Claim type</w:t>
            </w:r>
          </w:p>
        </w:tc>
        <w:tc>
          <w:tcPr>
            <w:tcBorders>
              <w:bottom w:val="single"/>
            </w:tcBorders>
            <w:vAlign w:val="bottom"/>
          </w:tcPr>
          <w:p>
            <w:pPr>
              <w:pStyle w:val="Compact"/>
              <w:jc w:val="left"/>
            </w:pPr>
            <w:r>
              <w:t xml:space="preserve">N claims</w:t>
            </w:r>
          </w:p>
        </w:tc>
        <w:tc>
          <w:tcPr>
            <w:tcBorders>
              <w:bottom w:val="single"/>
            </w:tcBorders>
            <w:vAlign w:val="bottom"/>
          </w:tcPr>
          <w:p>
            <w:pPr>
              <w:pStyle w:val="Compact"/>
              <w:jc w:val="left"/>
            </w:pPr>
            <w:r>
              <w:t xml:space="preserve">Composite</w:t>
            </w:r>
          </w:p>
        </w:tc>
        <w:tc>
          <w:tcPr>
            <w:tcBorders>
              <w:bottom w:val="single"/>
            </w:tcBorders>
            <w:vAlign w:val="bottom"/>
          </w:tcPr>
          <w:p>
            <w:pPr>
              <w:pStyle w:val="Compact"/>
              <w:jc w:val="left"/>
            </w:pPr>
            <w:r>
              <w:t xml:space="preserve">Sym%</w:t>
            </w:r>
          </w:p>
        </w:tc>
        <w:tc>
          <w:tcPr>
            <w:tcBorders>
              <w:bottom w:val="single"/>
            </w:tcBorders>
            <w:vAlign w:val="bottom"/>
          </w:tcPr>
          <w:p>
            <w:pPr>
              <w:pStyle w:val="Compact"/>
              <w:jc w:val="left"/>
            </w:pPr>
            <w:r>
              <w:t xml:space="preserve">Part%</w:t>
            </w:r>
          </w:p>
        </w:tc>
        <w:tc>
          <w:tcPr>
            <w:tcBorders>
              <w:bottom w:val="single"/>
            </w:tcBorders>
            <w:vAlign w:val="bottom"/>
          </w:tcPr>
          <w:p>
            <w:pPr>
              <w:pStyle w:val="Compact"/>
              <w:jc w:val="left"/>
            </w:pPr>
            <w:r>
              <w:t xml:space="preserve">Sub%</w:t>
            </w:r>
          </w:p>
        </w:tc>
        <w:tc>
          <w:tcPr>
            <w:tcBorders>
              <w:bottom w:val="single"/>
            </w:tcBorders>
            <w:vAlign w:val="bottom"/>
          </w:tcPr>
          <w:p>
            <w:pPr>
              <w:pStyle w:val="Compact"/>
              <w:jc w:val="left"/>
            </w:pPr>
            <w:r>
              <w:t xml:space="preserve">S M T E C</w:t>
            </w:r>
          </w:p>
        </w:tc>
      </w:tr>
      <w:tr>
        <w:tc>
          <w:p>
            <w:pPr>
              <w:pStyle w:val="Compact"/>
              <w:jc w:val="left"/>
            </w:pPr>
            <w:r>
              <w:t xml:space="preserve">commitment</w:t>
            </w:r>
          </w:p>
        </w:tc>
        <w:tc>
          <w:p>
            <w:pPr>
              <w:pStyle w:val="Compact"/>
              <w:jc w:val="left"/>
            </w:pPr>
            <w:r>
              <w:t xml:space="preserve">2,964</w:t>
            </w:r>
          </w:p>
        </w:tc>
        <w:tc>
          <w:p>
            <w:pPr>
              <w:pStyle w:val="Compact"/>
              <w:jc w:val="left"/>
            </w:pPr>
            <w:r>
              <w:t xml:space="preserve">1.26</w:t>
            </w:r>
          </w:p>
        </w:tc>
        <w:tc>
          <w:p>
            <w:pPr>
              <w:pStyle w:val="Compact"/>
              <w:jc w:val="left"/>
            </w:pPr>
            <w:r>
              <w:t xml:space="preserve">11.8</w:t>
            </w:r>
          </w:p>
        </w:tc>
        <w:tc>
          <w:p>
            <w:pPr>
              <w:pStyle w:val="Compact"/>
              <w:jc w:val="left"/>
            </w:pPr>
            <w:r>
              <w:t xml:space="preserve">77.0</w:t>
            </w:r>
          </w:p>
        </w:tc>
        <w:tc>
          <w:p>
            <w:pPr>
              <w:pStyle w:val="Compact"/>
              <w:jc w:val="left"/>
            </w:pPr>
            <w:r>
              <w:t xml:space="preserve">11.2</w:t>
            </w:r>
          </w:p>
        </w:tc>
        <w:tc>
          <w:p>
            <w:pPr>
              <w:pStyle w:val="Compact"/>
              <w:jc w:val="left"/>
            </w:pPr>
            <w:r>
              <w:t xml:space="preserve">1.52 0.32 0.70 1.06 2.69</w:t>
            </w:r>
          </w:p>
        </w:tc>
      </w:tr>
      <w:tr>
        <w:tc>
          <w:p>
            <w:pPr>
              <w:pStyle w:val="Compact"/>
              <w:jc w:val="left"/>
            </w:pPr>
            <w:r>
              <w:t xml:space="preserve">achievement</w:t>
            </w:r>
          </w:p>
        </w:tc>
        <w:tc>
          <w:p>
            <w:pPr>
              <w:pStyle w:val="Compact"/>
              <w:jc w:val="left"/>
            </w:pPr>
            <w:r>
              <w:t xml:space="preserve">1,260</w:t>
            </w:r>
          </w:p>
        </w:tc>
        <w:tc>
          <w:p>
            <w:pPr>
              <w:pStyle w:val="Compact"/>
              <w:jc w:val="left"/>
            </w:pPr>
            <w:r>
              <w:t xml:space="preserve">1.69</w:t>
            </w:r>
          </w:p>
        </w:tc>
        <w:tc>
          <w:p>
            <w:pPr>
              <w:pStyle w:val="Compact"/>
              <w:jc w:val="left"/>
            </w:pPr>
            <w:r>
              <w:t xml:space="preserve">3.9</w:t>
            </w:r>
          </w:p>
        </w:tc>
        <w:tc>
          <w:p>
            <w:pPr>
              <w:pStyle w:val="Compact"/>
              <w:jc w:val="left"/>
            </w:pPr>
            <w:r>
              <w:t xml:space="preserve">58.7</w:t>
            </w:r>
          </w:p>
        </w:tc>
        <w:tc>
          <w:p>
            <w:pPr>
              <w:pStyle w:val="Compact"/>
              <w:jc w:val="left"/>
            </w:pPr>
            <w:r>
              <w:t xml:space="preserve">37.4</w:t>
            </w:r>
          </w:p>
        </w:tc>
        <w:tc>
          <w:p>
            <w:pPr>
              <w:pStyle w:val="Compact"/>
              <w:jc w:val="left"/>
            </w:pPr>
            <w:r>
              <w:t xml:space="preserve">1.98 0.91 1.41 1.41 2.72</w:t>
            </w:r>
          </w:p>
        </w:tc>
      </w:tr>
      <w:tr>
        <w:tc>
          <w:p>
            <w:pPr>
              <w:pStyle w:val="Compact"/>
              <w:jc w:val="left"/>
            </w:pPr>
            <w:r>
              <w:t xml:space="preserve">metric</w:t>
            </w:r>
          </w:p>
        </w:tc>
        <w:tc>
          <w:p>
            <w:pPr>
              <w:pStyle w:val="Compact"/>
              <w:jc w:val="left"/>
            </w:pPr>
            <w:r>
              <w:t xml:space="preserve">1,019</w:t>
            </w:r>
          </w:p>
        </w:tc>
        <w:tc>
          <w:p>
            <w:pPr>
              <w:pStyle w:val="Compact"/>
              <w:jc w:val="left"/>
            </w:pPr>
            <w:r>
              <w:t xml:space="preserve">1.84</w:t>
            </w:r>
          </w:p>
        </w:tc>
        <w:tc>
          <w:p>
            <w:pPr>
              <w:pStyle w:val="Compact"/>
              <w:jc w:val="left"/>
            </w:pPr>
            <w:r>
              <w:t xml:space="preserve">1.1</w:t>
            </w:r>
          </w:p>
        </w:tc>
        <w:tc>
          <w:p>
            <w:pPr>
              <w:pStyle w:val="Compact"/>
              <w:jc w:val="left"/>
            </w:pPr>
            <w:r>
              <w:t xml:space="preserve">46.0</w:t>
            </w:r>
          </w:p>
        </w:tc>
        <w:tc>
          <w:p>
            <w:pPr>
              <w:pStyle w:val="Compact"/>
              <w:jc w:val="left"/>
            </w:pPr>
            <w:r>
              <w:t xml:space="preserve">52.9</w:t>
            </w:r>
          </w:p>
        </w:tc>
        <w:tc>
          <w:p>
            <w:pPr>
              <w:pStyle w:val="Compact"/>
              <w:jc w:val="left"/>
            </w:pPr>
            <w:r>
              <w:t xml:space="preserve">2.13 2.04 1.54 1.13 2.36</w:t>
            </w:r>
          </w:p>
        </w:tc>
      </w:tr>
      <w:tr>
        <w:tc>
          <w:p>
            <w:pPr>
              <w:pStyle w:val="Compact"/>
              <w:jc w:val="left"/>
            </w:pPr>
            <w:r>
              <w:t xml:space="preserve">policy</w:t>
            </w:r>
          </w:p>
        </w:tc>
        <w:tc>
          <w:p>
            <w:pPr>
              <w:pStyle w:val="Compact"/>
              <w:jc w:val="left"/>
            </w:pPr>
            <w:r>
              <w:t xml:space="preserve">667</w:t>
            </w:r>
          </w:p>
        </w:tc>
        <w:tc>
          <w:p>
            <w:pPr>
              <w:pStyle w:val="Compact"/>
              <w:jc w:val="left"/>
            </w:pPr>
            <w:r>
              <w:t xml:space="preserve">1.16</w:t>
            </w:r>
          </w:p>
        </w:tc>
        <w:tc>
          <w:p>
            <w:pPr>
              <w:pStyle w:val="Compact"/>
              <w:jc w:val="left"/>
            </w:pPr>
            <w:r>
              <w:t xml:space="preserve">12.3</w:t>
            </w:r>
          </w:p>
        </w:tc>
        <w:tc>
          <w:p>
            <w:pPr>
              <w:pStyle w:val="Compact"/>
              <w:jc w:val="left"/>
            </w:pPr>
            <w:r>
              <w:t xml:space="preserve">84.9</w:t>
            </w:r>
          </w:p>
        </w:tc>
        <w:tc>
          <w:p>
            <w:pPr>
              <w:pStyle w:val="Compact"/>
              <w:jc w:val="left"/>
            </w:pPr>
            <w:r>
              <w:t xml:space="preserve">2.8</w:t>
            </w:r>
          </w:p>
        </w:tc>
        <w:tc>
          <w:p>
            <w:pPr>
              <w:pStyle w:val="Compact"/>
              <w:jc w:val="left"/>
            </w:pPr>
            <w:r>
              <w:t xml:space="preserve">1.50 0.09 0.46 1.08 2.70</w:t>
            </w:r>
          </w:p>
        </w:tc>
      </w:tr>
      <w:tr>
        <w:tc>
          <w:p>
            <w:pPr>
              <w:pStyle w:val="Compact"/>
              <w:jc w:val="left"/>
            </w:pPr>
            <w:r>
              <w:t xml:space="preserve">alignment</w:t>
            </w:r>
          </w:p>
        </w:tc>
        <w:tc>
          <w:p>
            <w:pPr>
              <w:pStyle w:val="Compact"/>
              <w:jc w:val="left"/>
            </w:pPr>
            <w:r>
              <w:t xml:space="preserve">284</w:t>
            </w:r>
          </w:p>
        </w:tc>
        <w:tc>
          <w:p>
            <w:pPr>
              <w:pStyle w:val="Compact"/>
              <w:jc w:val="left"/>
            </w:pPr>
            <w:r>
              <w:t xml:space="preserve">1.13</w:t>
            </w:r>
          </w:p>
        </w:tc>
        <w:tc>
          <w:p>
            <w:pPr>
              <w:pStyle w:val="Compact"/>
              <w:jc w:val="left"/>
            </w:pPr>
            <w:r>
              <w:t xml:space="preserve">19.4</w:t>
            </w:r>
          </w:p>
        </w:tc>
        <w:tc>
          <w:p>
            <w:pPr>
              <w:pStyle w:val="Compact"/>
              <w:jc w:val="left"/>
            </w:pPr>
            <w:r>
              <w:t xml:space="preserve">76.1</w:t>
            </w:r>
          </w:p>
        </w:tc>
        <w:tc>
          <w:p>
            <w:pPr>
              <w:pStyle w:val="Compact"/>
              <w:jc w:val="left"/>
            </w:pPr>
            <w:r>
              <w:t xml:space="preserve">4.6</w:t>
            </w:r>
          </w:p>
        </w:tc>
        <w:tc>
          <w:p>
            <w:pPr>
              <w:pStyle w:val="Compact"/>
              <w:jc w:val="left"/>
            </w:pPr>
            <w:r>
              <w:t xml:space="preserve">1.35 0.04 0.46 1.29 2.52</w:t>
            </w:r>
          </w:p>
        </w:tc>
      </w:tr>
      <w:tr>
        <w:tc>
          <w:p>
            <w:pPr>
              <w:pStyle w:val="Compact"/>
              <w:jc w:val="left"/>
            </w:pPr>
            <w:r>
              <w:t xml:space="preserve">target</w:t>
            </w:r>
          </w:p>
        </w:tc>
        <w:tc>
          <w:p>
            <w:pPr>
              <w:pStyle w:val="Compact"/>
              <w:jc w:val="left"/>
            </w:pPr>
            <w:r>
              <w:t xml:space="preserve">103</w:t>
            </w:r>
          </w:p>
        </w:tc>
        <w:tc>
          <w:p>
            <w:pPr>
              <w:pStyle w:val="Compact"/>
              <w:jc w:val="left"/>
            </w:pPr>
            <w:r>
              <w:t xml:space="preserve">1.87</w:t>
            </w:r>
          </w:p>
        </w:tc>
        <w:tc>
          <w:p>
            <w:pPr>
              <w:pStyle w:val="Compact"/>
              <w:jc w:val="left"/>
            </w:pPr>
            <w:r>
              <w:t xml:space="preserve">1.0</w:t>
            </w:r>
          </w:p>
        </w:tc>
        <w:tc>
          <w:p>
            <w:pPr>
              <w:pStyle w:val="Compact"/>
              <w:jc w:val="left"/>
            </w:pPr>
            <w:r>
              <w:t xml:space="preserve">38.8</w:t>
            </w:r>
          </w:p>
        </w:tc>
        <w:tc>
          <w:p>
            <w:pPr>
              <w:pStyle w:val="Compact"/>
              <w:jc w:val="left"/>
            </w:pPr>
            <w:r>
              <w:t xml:space="preserve">60.2</w:t>
            </w:r>
          </w:p>
        </w:tc>
        <w:tc>
          <w:p>
            <w:pPr>
              <w:pStyle w:val="Compact"/>
              <w:jc w:val="left"/>
            </w:pPr>
            <w:r>
              <w:t xml:space="preserve">2.08 2.06 1.60 1.05 2.57</w:t>
            </w:r>
          </w:p>
        </w:tc>
      </w:tr>
    </w:tbl>
    <w:p>
      <w:pPr>
        <w:pStyle w:val="BodyText"/>
      </w:pPr>
      <w:r>
        <w:t xml:space="preserve">Three findings stand out. First, metric and target claims dominate the</w:t>
      </w:r>
      <w:r>
        <w:t xml:space="preserve"> </w:t>
      </w:r>
      <w:r>
        <w:t xml:space="preserve">Substantive tier (53% and 60%) because both carry quantitative content</w:t>
      </w:r>
      <w:r>
        <w:t xml:space="preserve"> </w:t>
      </w:r>
      <w:r>
        <w:t xml:space="preserve">(Measurability ≈ 2.04 and 2.06) and bundle period references</w:t>
      </w:r>
      <w:r>
        <w:t xml:space="preserve"> </w:t>
      </w:r>
      <w:r>
        <w:t xml:space="preserve">(Temporality 1.54 and 1.60), clearing the Substantive boundary almost by</w:t>
      </w:r>
      <w:r>
        <w:t xml:space="preserve"> </w:t>
      </w:r>
      <w:r>
        <w:t xml:space="preserve">construction. Second, commitment, policy, and alignment claims are</w:t>
      </w:r>
      <w:r>
        <w:t xml:space="preserve"> </w:t>
      </w:r>
      <w:r>
        <w:t xml:space="preserve">structurally Partially Substantive: all show negligible Measurability</w:t>
      </w:r>
      <w:r>
        <w:t xml:space="preserve"> </w:t>
      </w:r>
      <w:r>
        <w:t xml:space="preserve">(0.32, 0.09, 0.04) and low Temporality, because they describe intent,</w:t>
      </w:r>
      <w:r>
        <w:t xml:space="preserve"> </w:t>
      </w:r>
      <w:r>
        <w:t xml:space="preserve">principles, or programmatic association rather than numerical content</w:t>
      </w:r>
      <w:r>
        <w:t xml:space="preserve"> </w:t>
      </w:r>
      <w:r>
        <w:t xml:space="preserve">— the framework faithfully measures an inherent quality ceiling rather</w:t>
      </w:r>
      <w:r>
        <w:t xml:space="preserve"> </w:t>
      </w:r>
      <w:r>
        <w:t xml:space="preserve">than failing on these types. Third, Consistency is uniformly high across</w:t>
      </w:r>
      <w:r>
        <w:t xml:space="preserve"> </w:t>
      </w:r>
      <w:r>
        <w:t xml:space="preserve">all claim types (2.36–2.72); metric claims show the lowest, since a</w:t>
      </w:r>
      <w:r>
        <w:t xml:space="preserve"> </w:t>
      </w:r>
      <w:r>
        <w:t xml:space="preserve">single numerical fact is harder to corroborate cross-section than a</w:t>
      </w:r>
      <w:r>
        <w:t xml:space="preserve"> </w:t>
      </w:r>
      <w:r>
        <w:t xml:space="preserve">rhetorical commitment that can be paraphrased many ways. The SMTEC</w:t>
      </w:r>
      <w:r>
        <w:t xml:space="preserve"> </w:t>
      </w:r>
      <w:r>
        <w:t xml:space="preserve">profile therefore separates quantitative claim types (metric, target,</w:t>
      </w:r>
      <w:r>
        <w:t xml:space="preserve"> </w:t>
      </w:r>
      <w:r>
        <w:t xml:space="preserve">achievement) from qualitative ones (commitment, policy, alignment),</w:t>
      </w:r>
      <w:r>
        <w:t xml:space="preserve"> </w:t>
      </w:r>
      <w:r>
        <w:t xml:space="preserve">refining the symbolic-versus-substantive distinction (Lodhia et al.,</w:t>
      </w:r>
      <w:r>
        <w:t xml:space="preserve"> </w:t>
      </w:r>
      <w:r>
        <w:t xml:space="preserve">2022; Heras-Saizarbitoria et al., 2022): the meaningful question is a</w:t>
      </w:r>
      <w:r>
        <w:t xml:space="preserve"> </w:t>
      </w:r>
      <w:r>
        <w:t xml:space="preserve">report’s claim-type mix and how it distributes across the dimensions.</w:t>
      </w:r>
    </w:p>
    <w:p>
      <w:pPr>
        <w:pStyle w:val="Heading2"/>
      </w:pPr>
      <w:bookmarkStart w:id="24" w:name="s3.-retrieval-robustness"/>
      <w:r>
        <w:t xml:space="preserve">S3. Retrieval robustness</w:t>
      </w:r>
      <w:bookmarkEnd w:id="24"/>
    </w:p>
    <w:p>
      <w:pPr>
        <w:pStyle w:val="FirstParagraph"/>
      </w:pPr>
      <w:r>
        <w:t xml:space="preserve">Table S3 reports pairwise agreement across the three retrieval pipelines</w:t>
      </w:r>
      <w:r>
        <w:t xml:space="preserve"> </w:t>
      </w:r>
      <w:r>
        <w:t xml:space="preserve">applied to the 63-claim validation sample (§4.2): OpenAI embeddings</w:t>
      </w:r>
      <w:r>
        <w:t xml:space="preserve"> </w:t>
      </w:r>
      <w:r>
        <w:t xml:space="preserve">(production), Nomic-Embed-Text-v1.5 (open-source local), and</w:t>
      </w:r>
      <w:r>
        <w:t xml:space="preserve"> </w:t>
      </w:r>
      <w:r>
        <w:t xml:space="preserve">Qwen3-32B-Instruct as a relevance judge.</w:t>
      </w:r>
    </w:p>
    <w:p>
      <w:pPr>
        <w:pStyle w:val="BodyText"/>
      </w:pPr>
      <w:r>
        <w:rPr>
          <w:b/>
        </w:rPr>
        <w:t xml:space="preserve">Table S3.</w:t>
      </w:r>
      <w:r>
        <w:t xml:space="preserve"> </w:t>
      </w:r>
      <w:r>
        <w:t xml:space="preserve">Pairwise retrieval agreement across the three pipelines.</w:t>
      </w:r>
    </w:p>
    <w:tbl>
      <w:tblPr>
        <w:tblStyle w:val="Table"/>
        <w:tblW w:type="pct" w:w="0.0"/>
        <w:tblLook w:firstRow="1"/>
      </w:tblPr>
      <w:tblGrid/>
      <w:tr>
        <w:trPr>
          <w:cnfStyle w:firstRow="1"/>
        </w:trPr>
        <w:tc>
          <w:tcPr>
            <w:tcBorders>
              <w:bottom w:val="single"/>
            </w:tcBorders>
            <w:vAlign w:val="bottom"/>
          </w:tcPr>
          <w:p>
            <w:pPr>
              <w:pStyle w:val="Compact"/>
              <w:jc w:val="left"/>
            </w:pPr>
            <w:r>
              <w:t xml:space="preserve">Pair</w:t>
            </w:r>
          </w:p>
        </w:tc>
        <w:tc>
          <w:tcPr>
            <w:tcBorders>
              <w:bottom w:val="single"/>
            </w:tcBorders>
            <w:vAlign w:val="bottom"/>
          </w:tcPr>
          <w:p>
            <w:pPr>
              <w:pStyle w:val="Compact"/>
              <w:jc w:val="left"/>
            </w:pPr>
            <w:r>
              <w:t xml:space="preserve">Mean top-5 Jaccard</w:t>
            </w:r>
          </w:p>
        </w:tc>
        <w:tc>
          <w:tcPr>
            <w:tcBorders>
              <w:bottom w:val="single"/>
            </w:tcBorders>
            <w:vAlign w:val="bottom"/>
          </w:tcPr>
          <w:p>
            <w:pPr>
              <w:pStyle w:val="Compact"/>
              <w:jc w:val="left"/>
            </w:pPr>
            <w:r>
              <w:t xml:space="preserve">Section-diversity flag agreement</w:t>
            </w:r>
          </w:p>
        </w:tc>
      </w:tr>
      <w:tr>
        <w:tc>
          <w:p>
            <w:pPr>
              <w:pStyle w:val="Compact"/>
              <w:jc w:val="left"/>
            </w:pPr>
            <w:r>
              <w:t xml:space="preserve">OpenAI vs Nomic</w:t>
            </w:r>
          </w:p>
        </w:tc>
        <w:tc>
          <w:p>
            <w:pPr>
              <w:pStyle w:val="Compact"/>
              <w:jc w:val="left"/>
            </w:pPr>
            <w:r>
              <w:t xml:space="preserve">0.591</w:t>
            </w:r>
          </w:p>
        </w:tc>
        <w:tc>
          <w:p>
            <w:pPr>
              <w:pStyle w:val="Compact"/>
              <w:jc w:val="left"/>
            </w:pPr>
            <w:r>
              <w:t xml:space="preserve">100.0%</w:t>
            </w:r>
          </w:p>
        </w:tc>
      </w:tr>
      <w:tr>
        <w:tc>
          <w:p>
            <w:pPr>
              <w:pStyle w:val="Compact"/>
              <w:jc w:val="left"/>
            </w:pPr>
            <w:r>
              <w:t xml:space="preserve">OpenAI vs Qwen-judge</w:t>
            </w:r>
          </w:p>
        </w:tc>
        <w:tc>
          <w:p>
            <w:pPr>
              <w:pStyle w:val="Compact"/>
              <w:jc w:val="left"/>
            </w:pPr>
            <w:r>
              <w:t xml:space="preserve">0.326</w:t>
            </w:r>
          </w:p>
        </w:tc>
        <w:tc>
          <w:p>
            <w:pPr>
              <w:pStyle w:val="Compact"/>
              <w:jc w:val="left"/>
            </w:pPr>
            <w:r>
              <w:t xml:space="preserve">98.4%</w:t>
            </w:r>
          </w:p>
        </w:tc>
      </w:tr>
      <w:tr>
        <w:tc>
          <w:p>
            <w:pPr>
              <w:pStyle w:val="Compact"/>
              <w:jc w:val="left"/>
            </w:pPr>
            <w:r>
              <w:t xml:space="preserve">Nomic vs Qwen-judge</w:t>
            </w:r>
          </w:p>
        </w:tc>
        <w:tc>
          <w:p>
            <w:pPr>
              <w:pStyle w:val="Compact"/>
              <w:jc w:val="left"/>
            </w:pPr>
            <w:r>
              <w:t xml:space="preserve">0.306</w:t>
            </w:r>
          </w:p>
        </w:tc>
        <w:tc>
          <w:p>
            <w:pPr>
              <w:pStyle w:val="Compact"/>
              <w:jc w:val="left"/>
            </w:pPr>
            <w:r>
              <w:t xml:space="preserve">98.4%</w:t>
            </w:r>
          </w:p>
        </w:tc>
      </w:tr>
    </w:tbl>
    <w:p>
      <w:pPr>
        <w:pStyle w:val="BodyText"/>
      </w:pPr>
      <w:r>
        <w:t xml:space="preserve">Existence-of-evidence judgements converge (98.4–100%; method-invariant</w:t>
      </w:r>
      <w:r>
        <w:t xml:space="preserve"> </w:t>
      </w:r>
      <w:r>
        <w:t xml:space="preserve">for 62 of 63 claims), while specific top-K item selection diverges</w:t>
      </w:r>
      <w:r>
        <w:t xml:space="preserve"> </w:t>
      </w:r>
      <w:r>
        <w:t xml:space="preserve">(Jaccard 0.31–0.59), most so on metric and target claims where the</w:t>
      </w:r>
      <w:r>
        <w:t xml:space="preserve"> </w:t>
      </w:r>
      <w:r>
        <w:t xml:space="preserve">judge locates the exact figure and embeddings rank topically similar</w:t>
      </w:r>
      <w:r>
        <w:t xml:space="preserve"> </w:t>
      </w:r>
      <w:r>
        <w:t xml:space="preserve">passages.</w:t>
      </w:r>
    </w:p>
    <w:p>
      <w:pPr>
        <w:pStyle w:val="Heading2"/>
      </w:pPr>
      <w:bookmarkStart w:id="25" w:name="Xbf61ba3b254e3aa552798019b2adb3a549df82f"/>
      <w:r>
        <w:t xml:space="preserve">S4. Retrieval sensitivity — per-dimension shift</w:t>
      </w:r>
      <w:bookmarkEnd w:id="25"/>
    </w:p>
    <w:p>
      <w:pPr>
        <w:pStyle w:val="FirstParagraph"/>
      </w:pPr>
      <w:r>
        <w:t xml:space="preserve">Table S4 reports the per-dimension mean-score shift when switching from</w:t>
      </w:r>
      <w:r>
        <w:t xml:space="preserve"> </w:t>
      </w:r>
      <w:r>
        <w:t xml:space="preserve">same-section claims-only retrieval to the production chunk-aware</w:t>
      </w:r>
      <w:r>
        <w:t xml:space="preserve"> </w:t>
      </w:r>
      <w:r>
        <w:t xml:space="preserve">retrieval, holding prompt and model constant (§4.3).</w:t>
      </w:r>
    </w:p>
    <w:p>
      <w:pPr>
        <w:pStyle w:val="BodyText"/>
      </w:pPr>
      <w:r>
        <w:rPr>
          <w:b/>
        </w:rPr>
        <w:t xml:space="preserve">Table S4.</w:t>
      </w:r>
      <w:r>
        <w:t xml:space="preserve"> </w:t>
      </w:r>
      <w:r>
        <w:t xml:space="preserve">Per-dimension mean-score shift: claims-only</w:t>
      </w:r>
      <w:r>
        <w:t xml:space="preserve"> </w:t>
      </w:r>
      <w:r>
        <w:t xml:space="preserve">vs. chunk-aware retrieval.</w:t>
      </w:r>
    </w:p>
    <w:tbl>
      <w:tblPr>
        <w:tblStyle w:val="Table"/>
        <w:tblW w:type="pct" w:w="0.0"/>
        <w:tblLook w:firstRow="1"/>
      </w:tblPr>
      <w:tblGrid/>
      <w:tr>
        <w:trPr>
          <w:cnfStyle w:firstRow="1"/>
        </w:trPr>
        <w:tc>
          <w:tcPr>
            <w:tcBorders>
              <w:bottom w:val="single"/>
            </w:tcBorders>
            <w:vAlign w:val="bottom"/>
          </w:tcPr>
          <w:p>
            <w:pPr>
              <w:pStyle w:val="Compact"/>
              <w:jc w:val="left"/>
            </w:pPr>
            <w:r>
              <w:t xml:space="preserve">Dimension</w:t>
            </w:r>
          </w:p>
        </w:tc>
        <w:tc>
          <w:tcPr>
            <w:tcBorders>
              <w:bottom w:val="single"/>
            </w:tcBorders>
            <w:vAlign w:val="bottom"/>
          </w:tcPr>
          <w:p>
            <w:pPr>
              <w:pStyle w:val="Compact"/>
              <w:jc w:val="left"/>
            </w:pPr>
            <w:r>
              <w:t xml:space="preserve">Mean (claims-only)</w:t>
            </w:r>
          </w:p>
        </w:tc>
        <w:tc>
          <w:tcPr>
            <w:tcBorders>
              <w:bottom w:val="single"/>
            </w:tcBorders>
            <w:vAlign w:val="bottom"/>
          </w:tcPr>
          <w:p>
            <w:pPr>
              <w:pStyle w:val="Compact"/>
              <w:jc w:val="left"/>
            </w:pPr>
            <w:r>
              <w:t xml:space="preserve">Mean (chunk-aware)</w:t>
            </w:r>
          </w:p>
        </w:tc>
        <w:tc>
          <w:tcPr>
            <w:tcBorders>
              <w:bottom w:val="single"/>
            </w:tcBorders>
            <w:vAlign w:val="bottom"/>
          </w:tcPr>
          <w:p>
            <w:pPr>
              <w:pStyle w:val="Compact"/>
              <w:jc w:val="left"/>
            </w:pPr>
            <w:r>
              <w:t xml:space="preserve">Δ</w:t>
            </w:r>
          </w:p>
        </w:tc>
      </w:tr>
      <w:tr>
        <w:tc>
          <w:p>
            <w:pPr>
              <w:pStyle w:val="Compact"/>
              <w:jc w:val="left"/>
            </w:pPr>
            <w:r>
              <w:t xml:space="preserve">Specificity</w:t>
            </w:r>
          </w:p>
        </w:tc>
        <w:tc>
          <w:p>
            <w:pPr>
              <w:pStyle w:val="Compact"/>
              <w:jc w:val="left"/>
            </w:pPr>
            <w:r>
              <w:t xml:space="preserve">1.78</w:t>
            </w:r>
          </w:p>
        </w:tc>
        <w:tc>
          <w:p>
            <w:pPr>
              <w:pStyle w:val="Compact"/>
              <w:jc w:val="left"/>
            </w:pPr>
            <w:r>
              <w:t xml:space="preserve">1.90</w:t>
            </w:r>
          </w:p>
        </w:tc>
        <w:tc>
          <w:p>
            <w:pPr>
              <w:pStyle w:val="Compact"/>
              <w:jc w:val="left"/>
            </w:pPr>
            <w:r>
              <w:t xml:space="preserve">+0.13</w:t>
            </w:r>
          </w:p>
        </w:tc>
      </w:tr>
      <w:tr>
        <w:tc>
          <w:p>
            <w:pPr>
              <w:pStyle w:val="Compact"/>
              <w:jc w:val="left"/>
            </w:pPr>
            <w:r>
              <w:t xml:space="preserve">Measurability</w:t>
            </w:r>
          </w:p>
        </w:tc>
        <w:tc>
          <w:p>
            <w:pPr>
              <w:pStyle w:val="Compact"/>
              <w:jc w:val="left"/>
            </w:pPr>
            <w:r>
              <w:t xml:space="preserve">0.73</w:t>
            </w:r>
          </w:p>
        </w:tc>
        <w:tc>
          <w:p>
            <w:pPr>
              <w:pStyle w:val="Compact"/>
              <w:jc w:val="left"/>
            </w:pPr>
            <w:r>
              <w:t xml:space="preserve">0.73</w:t>
            </w:r>
          </w:p>
        </w:tc>
        <w:tc>
          <w:p>
            <w:pPr>
              <w:pStyle w:val="Compact"/>
              <w:jc w:val="left"/>
            </w:pPr>
            <w:r>
              <w:t xml:space="preserve">0.00</w:t>
            </w:r>
          </w:p>
        </w:tc>
      </w:tr>
      <w:tr>
        <w:tc>
          <w:p>
            <w:pPr>
              <w:pStyle w:val="Compact"/>
              <w:jc w:val="left"/>
            </w:pPr>
            <w:r>
              <w:t xml:space="preserve">Temporality</w:t>
            </w:r>
          </w:p>
        </w:tc>
        <w:tc>
          <w:p>
            <w:pPr>
              <w:pStyle w:val="Compact"/>
              <w:jc w:val="left"/>
            </w:pPr>
            <w:r>
              <w:t xml:space="preserve">0.86</w:t>
            </w:r>
          </w:p>
        </w:tc>
        <w:tc>
          <w:p>
            <w:pPr>
              <w:pStyle w:val="Compact"/>
              <w:jc w:val="left"/>
            </w:pPr>
            <w:r>
              <w:t xml:space="preserve">0.86</w:t>
            </w:r>
          </w:p>
        </w:tc>
        <w:tc>
          <w:p>
            <w:pPr>
              <w:pStyle w:val="Compact"/>
              <w:jc w:val="left"/>
            </w:pPr>
            <w:r>
              <w:t xml:space="preserve">0.00</w:t>
            </w:r>
          </w:p>
        </w:tc>
      </w:tr>
      <w:tr>
        <w:tc>
          <w:p>
            <w:pPr>
              <w:pStyle w:val="Compact"/>
              <w:jc w:val="left"/>
            </w:pPr>
            <w:r>
              <w:t xml:space="preserve">Evidence</w:t>
            </w:r>
          </w:p>
        </w:tc>
        <w:tc>
          <w:p>
            <w:pPr>
              <w:pStyle w:val="Compact"/>
              <w:jc w:val="left"/>
            </w:pPr>
            <w:r>
              <w:t xml:space="preserve">1.35</w:t>
            </w:r>
          </w:p>
        </w:tc>
        <w:tc>
          <w:p>
            <w:pPr>
              <w:pStyle w:val="Compact"/>
              <w:jc w:val="left"/>
            </w:pPr>
            <w:r>
              <w:t xml:space="preserve">1.32</w:t>
            </w:r>
          </w:p>
        </w:tc>
        <w:tc>
          <w:p>
            <w:pPr>
              <w:pStyle w:val="Compact"/>
              <w:jc w:val="left"/>
            </w:pPr>
            <w:r>
              <w:t xml:space="preserve">−0.03</w:t>
            </w:r>
          </w:p>
        </w:tc>
      </w:tr>
      <w:tr>
        <w:tc>
          <w:p>
            <w:pPr>
              <w:pStyle w:val="Compact"/>
              <w:jc w:val="left"/>
            </w:pPr>
            <w:r>
              <w:t xml:space="preserve">Consistency</w:t>
            </w:r>
          </w:p>
        </w:tc>
        <w:tc>
          <w:p>
            <w:pPr>
              <w:pStyle w:val="Compact"/>
              <w:jc w:val="left"/>
            </w:pPr>
            <w:r>
              <w:t xml:space="preserve">2.43</w:t>
            </w:r>
          </w:p>
        </w:tc>
        <w:tc>
          <w:p>
            <w:pPr>
              <w:pStyle w:val="Compact"/>
              <w:jc w:val="left"/>
            </w:pPr>
            <w:r>
              <w:t xml:space="preserve">2.76</w:t>
            </w:r>
          </w:p>
        </w:tc>
        <w:tc>
          <w:p>
            <w:pPr>
              <w:pStyle w:val="Compact"/>
              <w:jc w:val="left"/>
            </w:pPr>
            <w:r>
              <w:t xml:space="preserve">+0.33</w:t>
            </w:r>
          </w:p>
        </w:tc>
      </w:tr>
    </w:tbl>
    <w:p>
      <w:pPr>
        <w:pStyle w:val="BodyText"/>
      </w:pPr>
      <w:r>
        <w:t xml:space="preserve">The effect concentrates in the context-dependent dimensions (Consistency</w:t>
      </w:r>
      <w:r>
        <w:t xml:space="preserve"> </w:t>
      </w:r>
      <w:r>
        <w:t xml:space="preserve">+0.33, Specificity +0.13); Measurability and Temporality are formally</w:t>
      </w:r>
      <w:r>
        <w:t xml:space="preserve"> </w:t>
      </w:r>
      <w:r>
        <w:t xml:space="preserve">invariant, confirming the prediction that retrieval quality affects</w:t>
      </w:r>
      <w:r>
        <w:t xml:space="preserve"> </w:t>
      </w:r>
      <w:r>
        <w:t xml:space="preserve">dimensions scored from cross-section context more than those scored from</w:t>
      </w:r>
      <w:r>
        <w:t xml:space="preserve"> </w:t>
      </w:r>
      <w:r>
        <w:t xml:space="preserve">claim text alone.</w:t>
      </w:r>
    </w:p>
    <w:p>
      <w:pPr>
        <w:pStyle w:val="Heading2"/>
      </w:pPr>
      <w:bookmarkStart w:id="26" w:name="s5.-retrieval-sensitivity-tier-shift"/>
      <w:r>
        <w:t xml:space="preserve">S5. Retrieval sensitivity — tier shift</w:t>
      </w:r>
      <w:bookmarkEnd w:id="26"/>
    </w:p>
    <w:p>
      <w:pPr>
        <w:pStyle w:val="FirstParagraph"/>
      </w:pPr>
      <w:r>
        <w:t xml:space="preserve">Table S5 reports the credibility-tier distribution shift under</w:t>
      </w:r>
      <w:r>
        <w:t xml:space="preserve"> </w:t>
      </w:r>
      <w:r>
        <w:t xml:space="preserve">chunk-aware retrieval for the 63-claim sample (§4.3): 25 of 63 claims</w:t>
      </w:r>
      <w:r>
        <w:t xml:space="preserve"> </w:t>
      </w:r>
      <w:r>
        <w:t xml:space="preserve">(40%) cross a tier boundary, 18 upward and 7 downward.</w:t>
      </w:r>
    </w:p>
    <w:p>
      <w:pPr>
        <w:pStyle w:val="BodyText"/>
      </w:pPr>
      <w:r>
        <w:rPr>
          <w:b/>
        </w:rPr>
        <w:t xml:space="preserve">Table S5.</w:t>
      </w:r>
      <w:r>
        <w:t xml:space="preserve"> </w:t>
      </w:r>
      <w:r>
        <w:t xml:space="preserve">Credibility-tier shift under chunk-aware retrieval</w:t>
      </w:r>
      <w:r>
        <w:t xml:space="preserve"> </w:t>
      </w:r>
      <w:r>
        <w:t xml:space="preserve">(63-claim sample).</w:t>
      </w:r>
    </w:p>
    <w:tbl>
      <w:tblPr>
        <w:tblStyle w:val="Table"/>
        <w:tblW w:type="pct" w:w="0.0"/>
        <w:tblLook w:firstRow="1"/>
      </w:tblPr>
      <w:tblGrid/>
      <w:tr>
        <w:trPr>
          <w:cnfStyle w:firstRow="1"/>
        </w:trPr>
        <w:tc>
          <w:tcPr>
            <w:tcBorders>
              <w:bottom w:val="single"/>
            </w:tcBorders>
            <w:vAlign w:val="bottom"/>
          </w:tcPr>
          <w:p>
            <w:pPr>
              <w:pStyle w:val="Compact"/>
              <w:jc w:val="left"/>
            </w:pPr>
            <w:r>
              <w:t xml:space="preserve">Tier</w:t>
            </w:r>
          </w:p>
        </w:tc>
        <w:tc>
          <w:tcPr>
            <w:tcBorders>
              <w:bottom w:val="single"/>
            </w:tcBorders>
            <w:vAlign w:val="bottom"/>
          </w:tcPr>
          <w:p>
            <w:pPr>
              <w:pStyle w:val="Compact"/>
              <w:jc w:val="left"/>
            </w:pPr>
            <w:r>
              <w:t xml:space="preserve">Old retrieval</w:t>
            </w:r>
          </w:p>
        </w:tc>
        <w:tc>
          <w:tcPr>
            <w:tcBorders>
              <w:bottom w:val="single"/>
            </w:tcBorders>
            <w:vAlign w:val="bottom"/>
          </w:tcPr>
          <w:p>
            <w:pPr>
              <w:pStyle w:val="Compact"/>
              <w:jc w:val="left"/>
            </w:pPr>
            <w:r>
              <w:t xml:space="preserve">New retrieval</w:t>
            </w:r>
          </w:p>
        </w:tc>
        <w:tc>
          <w:tcPr>
            <w:tcBorders>
              <w:bottom w:val="single"/>
            </w:tcBorders>
            <w:vAlign w:val="bottom"/>
          </w:tcPr>
          <w:p>
            <w:pPr>
              <w:pStyle w:val="Compact"/>
              <w:jc w:val="left"/>
            </w:pPr>
            <w:r>
              <w:t xml:space="preserve">Δ</w:t>
            </w:r>
          </w:p>
        </w:tc>
      </w:tr>
      <w:tr>
        <w:tc>
          <w:p>
            <w:pPr>
              <w:pStyle w:val="Compact"/>
              <w:jc w:val="left"/>
            </w:pPr>
            <w:r>
              <w:t xml:space="preserve">Symbolic</w:t>
            </w:r>
          </w:p>
        </w:tc>
        <w:tc>
          <w:p>
            <w:pPr>
              <w:pStyle w:val="Compact"/>
              <w:jc w:val="left"/>
            </w:pPr>
            <w:r>
              <w:t xml:space="preserve">21</w:t>
            </w:r>
          </w:p>
        </w:tc>
        <w:tc>
          <w:p>
            <w:pPr>
              <w:pStyle w:val="Compact"/>
              <w:jc w:val="left"/>
            </w:pPr>
            <w:r>
              <w:t xml:space="preserve">3</w:t>
            </w:r>
          </w:p>
        </w:tc>
        <w:tc>
          <w:p>
            <w:pPr>
              <w:pStyle w:val="Compact"/>
              <w:jc w:val="left"/>
            </w:pPr>
            <w:r>
              <w:t xml:space="preserve">−18</w:t>
            </w:r>
          </w:p>
        </w:tc>
      </w:tr>
      <w:tr>
        <w:tc>
          <w:p>
            <w:pPr>
              <w:pStyle w:val="Compact"/>
              <w:jc w:val="left"/>
            </w:pPr>
            <w:r>
              <w:t xml:space="preserve">Partially Substantive</w:t>
            </w:r>
          </w:p>
        </w:tc>
        <w:tc>
          <w:p>
            <w:pPr>
              <w:pStyle w:val="Compact"/>
              <w:jc w:val="left"/>
            </w:pPr>
            <w:r>
              <w:t xml:space="preserve">20</w:t>
            </w:r>
          </w:p>
        </w:tc>
        <w:tc>
          <w:p>
            <w:pPr>
              <w:pStyle w:val="Compact"/>
              <w:jc w:val="left"/>
            </w:pPr>
            <w:r>
              <w:t xml:space="preserve">44</w:t>
            </w:r>
          </w:p>
        </w:tc>
        <w:tc>
          <w:p>
            <w:pPr>
              <w:pStyle w:val="Compact"/>
              <w:jc w:val="left"/>
            </w:pPr>
            <w:r>
              <w:t xml:space="preserve">+24</w:t>
            </w:r>
          </w:p>
        </w:tc>
      </w:tr>
      <w:tr>
        <w:tc>
          <w:p>
            <w:pPr>
              <w:pStyle w:val="Compact"/>
              <w:jc w:val="left"/>
            </w:pPr>
            <w:r>
              <w:t xml:space="preserve">Substantive</w:t>
            </w:r>
          </w:p>
        </w:tc>
        <w:tc>
          <w:p>
            <w:pPr>
              <w:pStyle w:val="Compact"/>
              <w:jc w:val="left"/>
            </w:pPr>
            <w:r>
              <w:t xml:space="preserve">22</w:t>
            </w:r>
          </w:p>
        </w:tc>
        <w:tc>
          <w:p>
            <w:pPr>
              <w:pStyle w:val="Compact"/>
              <w:jc w:val="left"/>
            </w:pPr>
            <w:r>
              <w:t xml:space="preserve">16</w:t>
            </w:r>
          </w:p>
        </w:tc>
        <w:tc>
          <w:p>
            <w:pPr>
              <w:pStyle w:val="Compact"/>
              <w:jc w:val="left"/>
            </w:pPr>
            <w:r>
              <w:t xml:space="preserve">−6</w:t>
            </w:r>
          </w:p>
        </w:tc>
      </w:tr>
    </w:tbl>
    <w:p>
      <w:pPr>
        <w:pStyle w:val="BodyText"/>
      </w:pPr>
      <w:r>
        <w:t xml:space="preserve">Upward shifts are predominantly out of the Symbolic tier (claims</w:t>
      </w:r>
      <w:r>
        <w:t xml:space="preserve"> </w:t>
      </w:r>
      <w:r>
        <w:t xml:space="preserve">previously under-scored because the old retrieval surfaced no</w:t>
      </w:r>
      <w:r>
        <w:t xml:space="preserve"> </w:t>
      </w:r>
      <w:r>
        <w:t xml:space="preserve">cross-section evidence); downward shifts are predominantly out of the</w:t>
      </w:r>
      <w:r>
        <w:t xml:space="preserve"> </w:t>
      </w:r>
      <w:r>
        <w:t xml:space="preserve">Substantive tier (claims previously over-scored because same-section</w:t>
      </w:r>
      <w:r>
        <w:t xml:space="preserve"> </w:t>
      </w:r>
      <w:r>
        <w:t xml:space="preserve">paraphrases were mistaken for corroboration). Both corrections are</w:t>
      </w:r>
      <w:r>
        <w:t xml:space="preserve"> </w:t>
      </w:r>
      <w:r>
        <w:t xml:space="preserve">addressed by the production chunk-aware retrieval.</w:t>
      </w:r>
    </w:p>
    <w:p>
      <w:pPr>
        <w:pStyle w:val="Heading2"/>
      </w:pPr>
      <w:bookmarkStart w:id="27" w:name="X96085bd4cdfd92b2370e78a4b07be1cc39c82f1"/>
      <w:r>
        <w:t xml:space="preserve">S6. SMTEC scoring rubric — definitions and worked examples</w:t>
      </w:r>
      <w:bookmarkEnd w:id="27"/>
    </w:p>
    <w:p>
      <w:pPr>
        <w:pStyle w:val="FirstParagraph"/>
      </w:pPr>
      <w:r>
        <w:t xml:space="preserve">The Scorer Agent applies the five-dimensional SMTEC rubric below (production prompt, Version 3). Each dimension is scored 0–3 independently, and the composite Credibility Score is the arithmetic mean. Table S6 gives the score anchors with worked examples.</w:t>
      </w:r>
    </w:p>
    <w:p>
      <w:pPr>
        <w:pStyle w:val="BodyText"/>
      </w:pPr>
      <w:r>
        <w:rPr>
          <w:b/>
        </w:rPr>
        <w:t xml:space="preserve">Table S6.</w:t>
      </w:r>
      <w:r>
        <w:t xml:space="preserve"> </w:t>
      </w:r>
      <w:r>
        <w:t xml:space="preserve">SMTEC scoring rubric: score anchors (0–3) with worked examples.</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Dimension</w:t>
            </w:r>
          </w:p>
        </w:tc>
        <w:tc>
          <w:tcPr>
            <w:tcBorders>
              <w:bottom w:val="single"/>
            </w:tcBorders>
            <w:vAlign w:val="bottom"/>
          </w:tcPr>
          <w:p>
            <w:pPr>
              <w:pStyle w:val="Compact"/>
              <w:jc w:val="left"/>
            </w:pPr>
            <w:r>
              <w:t xml:space="preserve">0</w:t>
            </w:r>
          </w:p>
        </w:tc>
        <w:tc>
          <w:tcPr>
            <w:tcBorders>
              <w:bottom w:val="single"/>
            </w:tcBorders>
            <w:vAlign w:val="bottom"/>
          </w:tcPr>
          <w:p>
            <w:pPr>
              <w:pStyle w:val="Compact"/>
              <w:jc w:val="left"/>
            </w:pPr>
            <w:r>
              <w:t xml:space="preserve">1</w:t>
            </w:r>
          </w:p>
        </w:tc>
        <w:tc>
          <w:tcPr>
            <w:tcBorders>
              <w:bottom w:val="single"/>
            </w:tcBorders>
            <w:vAlign w:val="bottom"/>
          </w:tcPr>
          <w:p>
            <w:pPr>
              <w:pStyle w:val="Compact"/>
              <w:jc w:val="left"/>
            </w:pPr>
            <w:r>
              <w:t xml:space="preserve">2</w:t>
            </w:r>
          </w:p>
        </w:tc>
        <w:tc>
          <w:tcPr>
            <w:tcBorders>
              <w:bottom w:val="single"/>
            </w:tcBorders>
            <w:vAlign w:val="bottom"/>
          </w:tcPr>
          <w:p>
            <w:pPr>
              <w:pStyle w:val="Compact"/>
              <w:jc w:val="left"/>
            </w:pPr>
            <w:r>
              <w:t xml:space="preserve">3</w:t>
            </w:r>
          </w:p>
        </w:tc>
      </w:tr>
      <w:tr>
        <w:tc>
          <w:p>
            <w:pPr>
              <w:pStyle w:val="Compact"/>
              <w:jc w:val="left"/>
            </w:pPr>
            <w:r>
              <w:rPr>
                <w:b/>
              </w:rPr>
              <w:t xml:space="preserve">S</w:t>
            </w:r>
            <w:r>
              <w:t xml:space="preserve">pecificity</w:t>
            </w:r>
          </w:p>
        </w:tc>
        <w:tc>
          <w:p>
            <w:pPr>
              <w:pStyle w:val="Compact"/>
              <w:jc w:val="left"/>
            </w:pPr>
            <w:r>
              <w:t xml:space="preserve">No specific claim (</w:t>
            </w:r>
            <w:r>
              <w:t xml:space="preserve">“</w:t>
            </w:r>
            <w:r>
              <w:t xml:space="preserve">We support sustainable development</w:t>
            </w:r>
            <w:r>
              <w:t xml:space="preserve">”</w:t>
            </w:r>
            <w:r>
              <w:t xml:space="preserve">)</w:t>
            </w:r>
          </w:p>
        </w:tc>
        <w:tc>
          <w:p>
            <w:pPr>
              <w:pStyle w:val="Compact"/>
              <w:jc w:val="left"/>
            </w:pPr>
            <w:r>
              <w:t xml:space="preserve">Vague theme; no concrete initiative (</w:t>
            </w:r>
            <w:r>
              <w:t xml:space="preserve">“</w:t>
            </w:r>
            <w:r>
              <w:t xml:space="preserve">We invest in community programmes</w:t>
            </w:r>
            <w:r>
              <w:t xml:space="preserve">”</w:t>
            </w:r>
            <w:r>
              <w:t xml:space="preserve">)</w:t>
            </w:r>
          </w:p>
        </w:tc>
        <w:tc>
          <w:p>
            <w:pPr>
              <w:pStyle w:val="Compact"/>
              <w:jc w:val="left"/>
            </w:pPr>
            <w:r>
              <w:t xml:space="preserve">Specific programme/target area or quantified target (</w:t>
            </w:r>
            <w:r>
              <w:t xml:space="preserve">“</w:t>
            </w:r>
            <w:r>
              <w:t xml:space="preserve">Solar Rooftop Programme at 12 facilities</w:t>
            </w:r>
            <w:r>
              <w:t xml:space="preserve">”</w:t>
            </w:r>
            <w:r>
              <w:t xml:space="preserve">)</w:t>
            </w:r>
          </w:p>
        </w:tc>
        <w:tc>
          <w:p>
            <w:pPr>
              <w:pStyle w:val="Compact"/>
              <w:jc w:val="left"/>
            </w:pPr>
            <w:r>
              <w:t xml:space="preserve">Named initiative + scope + quantified target (</w:t>
            </w:r>
            <w:r>
              <w:t xml:space="preserve">“</w:t>
            </w:r>
            <w:r>
              <w:t xml:space="preserve">Solar Rooftop Programme: 4.2 MW across 12 facilities in Rayong and Chonburi, FY2023</w:t>
            </w:r>
            <w:r>
              <w:t xml:space="preserve">”</w:t>
            </w:r>
            <w:r>
              <w:t xml:space="preserve">)</w:t>
            </w:r>
          </w:p>
        </w:tc>
      </w:tr>
      <w:tr>
        <w:tc>
          <w:p>
            <w:pPr>
              <w:pStyle w:val="Compact"/>
              <w:jc w:val="left"/>
            </w:pPr>
            <w:r>
              <w:rPr>
                <w:b/>
              </w:rPr>
              <w:t xml:space="preserve">M</w:t>
            </w:r>
            <w:r>
              <w:t xml:space="preserve">easurability</w:t>
            </w:r>
          </w:p>
        </w:tc>
        <w:tc>
          <w:p>
            <w:pPr>
              <w:pStyle w:val="Compact"/>
              <w:jc w:val="left"/>
            </w:pPr>
            <w:r>
              <w:t xml:space="preserve">No metrics; directional verbs without numbers (</w:t>
            </w:r>
            <w:r>
              <w:t xml:space="preserve">“</w:t>
            </w:r>
            <w:r>
              <w:t xml:space="preserve">enhance</w:t>
            </w:r>
            <w:r>
              <w:t xml:space="preserve">”</w:t>
            </w:r>
            <w:r>
              <w:t xml:space="preserve">,</w:t>
            </w:r>
            <w:r>
              <w:t xml:space="preserve"> </w:t>
            </w:r>
            <w:r>
              <w:t xml:space="preserve">“</w:t>
            </w:r>
            <w:r>
              <w:t xml:space="preserve">reduce</w:t>
            </w:r>
            <w:r>
              <w:t xml:space="preserve">”</w:t>
            </w:r>
            <w:r>
              <w:t xml:space="preserve">)</w:t>
            </w:r>
          </w:p>
        </w:tc>
        <w:tc>
          <w:p>
            <w:pPr>
              <w:pStyle w:val="Compact"/>
              <w:jc w:val="left"/>
            </w:pPr>
            <w:r>
              <w:t xml:space="preserve">Comparative/directional with rough magnitude (</w:t>
            </w:r>
            <w:r>
              <w:t xml:space="preserve">“</w:t>
            </w:r>
            <w:r>
              <w:t xml:space="preserve">significantly reduced</w:t>
            </w:r>
            <w:r>
              <w:t xml:space="preserve">”</w:t>
            </w:r>
            <w:r>
              <w:t xml:space="preserve">)</w:t>
            </w:r>
          </w:p>
        </w:tc>
        <w:tc>
          <w:p>
            <w:pPr>
              <w:pStyle w:val="Compact"/>
              <w:jc w:val="left"/>
            </w:pPr>
            <w:r>
              <w:t xml:space="preserve">A specific number but missing baseline or target (</w:t>
            </w:r>
            <w:r>
              <w:t xml:space="preserve">“</w:t>
            </w:r>
            <w:r>
              <w:t xml:space="preserve">reduced water by 15%</w:t>
            </w:r>
            <w:r>
              <w:t xml:space="preserve">”</w:t>
            </w:r>
            <w:r>
              <w:t xml:space="preserve">)</w:t>
            </w:r>
          </w:p>
        </w:tc>
        <w:tc>
          <w:p>
            <w:pPr>
              <w:pStyle w:val="Compact"/>
              <w:jc w:val="left"/>
            </w:pPr>
            <w:r>
              <w:t xml:space="preserve">KPI with baseline and target/units (</w:t>
            </w:r>
            <w:r>
              <w:t xml:space="preserve">“</w:t>
            </w:r>
            <w:r>
              <w:t xml:space="preserve">Water intensity 4.2→3.6 m³/tonne, −14.3% vs FY2020</w:t>
            </w:r>
            <w:r>
              <w:t xml:space="preserve">”</w:t>
            </w:r>
            <w:r>
              <w:t xml:space="preserve">)</w:t>
            </w:r>
          </w:p>
        </w:tc>
      </w:tr>
      <w:tr>
        <w:tc>
          <w:p>
            <w:pPr>
              <w:pStyle w:val="Compact"/>
              <w:jc w:val="left"/>
            </w:pPr>
            <w:r>
              <w:rPr>
                <w:b/>
              </w:rPr>
              <w:t xml:space="preserve">T</w:t>
            </w:r>
            <w:r>
              <w:t xml:space="preserve">emporality</w:t>
            </w:r>
          </w:p>
        </w:tc>
        <w:tc>
          <w:p>
            <w:pPr>
              <w:pStyle w:val="Compact"/>
              <w:jc w:val="left"/>
            </w:pPr>
            <w:r>
              <w:t xml:space="preserve">No temporal reference (</w:t>
            </w:r>
            <w:r>
              <w:t xml:space="preserve">“</w:t>
            </w:r>
            <w:r>
              <w:t xml:space="preserve">we are committed to…</w:t>
            </w:r>
            <w:r>
              <w:t xml:space="preserve">”</w:t>
            </w:r>
            <w:r>
              <w:t xml:space="preserve">)</w:t>
            </w:r>
          </w:p>
        </w:tc>
        <w:tc>
          <w:p>
            <w:pPr>
              <w:pStyle w:val="Compact"/>
              <w:jc w:val="left"/>
            </w:pPr>
            <w:r>
              <w:t xml:space="preserve">Vague timing, or past-tense achievement marker without a date (</w:t>
            </w:r>
            <w:r>
              <w:t xml:space="preserve">“</w:t>
            </w:r>
            <w:r>
              <w:t xml:space="preserve">have completed</w:t>
            </w:r>
            <w:r>
              <w:t xml:space="preserve">”</w:t>
            </w:r>
            <w:r>
              <w:t xml:space="preserve">)</w:t>
            </w:r>
          </w:p>
        </w:tc>
        <w:tc>
          <w:p>
            <w:pPr>
              <w:pStyle w:val="Compact"/>
              <w:jc w:val="left"/>
            </w:pPr>
            <w:r>
              <w:t xml:space="preserve">One specific time point (</w:t>
            </w:r>
            <w:r>
              <w:t xml:space="preserve">“</w:t>
            </w:r>
            <w:r>
              <w:t xml:space="preserve">by 2030</w:t>
            </w:r>
            <w:r>
              <w:t xml:space="preserve">”</w:t>
            </w:r>
            <w:r>
              <w:t xml:space="preserve">,</w:t>
            </w:r>
            <w:r>
              <w:t xml:space="preserve"> </w:t>
            </w:r>
            <w:r>
              <w:t xml:space="preserve">“</w:t>
            </w:r>
            <w:r>
              <w:t xml:space="preserve">in FY2024</w:t>
            </w:r>
            <w:r>
              <w:t xml:space="preserve">”</w:t>
            </w:r>
            <w:r>
              <w:t xml:space="preserve">)</w:t>
            </w:r>
          </w:p>
        </w:tc>
        <w:tc>
          <w:p>
            <w:pPr>
              <w:pStyle w:val="Compact"/>
              <w:jc w:val="left"/>
            </w:pPr>
            <w:r>
              <w:t xml:space="preserve">≥2 time points / interim milestones (</w:t>
            </w:r>
            <w:r>
              <w:t xml:space="preserve">“</w:t>
            </w:r>
            <w:r>
              <w:t xml:space="preserve">Net zero by 2030: 25% by FY2023, 50% by 2026</w:t>
            </w:r>
            <w:r>
              <w:t xml:space="preserve">”</w:t>
            </w:r>
            <w:r>
              <w:t xml:space="preserve">)</w:t>
            </w:r>
          </w:p>
        </w:tc>
      </w:tr>
      <w:tr>
        <w:tc>
          <w:p>
            <w:pPr>
              <w:pStyle w:val="Compact"/>
              <w:jc w:val="left"/>
            </w:pPr>
            <w:r>
              <w:rPr>
                <w:b/>
              </w:rPr>
              <w:t xml:space="preserve">E</w:t>
            </w:r>
            <w:r>
              <w:t xml:space="preserve">vidence</w:t>
            </w:r>
          </w:p>
        </w:tc>
        <w:tc>
          <w:p>
            <w:pPr>
              <w:pStyle w:val="Compact"/>
              <w:jc w:val="left"/>
            </w:pPr>
            <w:r>
              <w:t xml:space="preserve">No supporting evidence</w:t>
            </w:r>
          </w:p>
        </w:tc>
        <w:tc>
          <w:p>
            <w:pPr>
              <w:pStyle w:val="Compact"/>
              <w:jc w:val="left"/>
            </w:pPr>
            <w:r>
              <w:t xml:space="preserve">Self-reported only, no methodology</w:t>
            </w:r>
          </w:p>
        </w:tc>
        <w:tc>
          <w:p>
            <w:pPr>
              <w:pStyle w:val="Compact"/>
              <w:jc w:val="left"/>
            </w:pPr>
            <w:r>
              <w:t xml:space="preserve">Internal data with methodology, or a partial external reference (</w:t>
            </w:r>
            <w:r>
              <w:t xml:space="preserve">“</w:t>
            </w:r>
            <w:r>
              <w:t xml:space="preserve">aligned with GRI 305</w:t>
            </w:r>
            <w:r>
              <w:t xml:space="preserve">”</w:t>
            </w:r>
            <w:r>
              <w:t xml:space="preserve">)</w:t>
            </w:r>
          </w:p>
        </w:tc>
        <w:tc>
          <w:p>
            <w:pPr>
              <w:pStyle w:val="Compact"/>
              <w:jc w:val="left"/>
            </w:pPr>
            <w:r>
              <w:t xml:space="preserve">Third-party verified — external assurance, audit, or recognised certification</w:t>
            </w:r>
          </w:p>
        </w:tc>
      </w:tr>
      <w:tr>
        <w:tc>
          <w:p>
            <w:pPr>
              <w:pStyle w:val="Compact"/>
              <w:jc w:val="left"/>
            </w:pPr>
            <w:r>
              <w:rPr>
                <w:b/>
              </w:rPr>
              <w:t xml:space="preserve">C</w:t>
            </w:r>
            <w:r>
              <w:t xml:space="preserve">onsistency</w:t>
            </w:r>
          </w:p>
        </w:tc>
        <w:tc>
          <w:p>
            <w:pPr>
              <w:pStyle w:val="Compact"/>
              <w:jc w:val="left"/>
            </w:pPr>
            <w:r>
              <w:t xml:space="preserve">Direct contradiction with other report content</w:t>
            </w:r>
          </w:p>
        </w:tc>
        <w:tc>
          <w:p>
            <w:pPr>
              <w:pStyle w:val="Compact"/>
              <w:jc w:val="left"/>
            </w:pPr>
            <w:r>
              <w:t xml:space="preserve">No cross-section corroboration</w:t>
            </w:r>
          </w:p>
        </w:tc>
        <w:tc>
          <w:p>
            <w:pPr>
              <w:pStyle w:val="Compact"/>
              <w:jc w:val="left"/>
            </w:pPr>
            <w:r>
              <w:t xml:space="preserve">One INDIRECT cross-section reference</w:t>
            </w:r>
          </w:p>
        </w:tc>
        <w:tc>
          <w:p>
            <w:pPr>
              <w:pStyle w:val="Compact"/>
              <w:jc w:val="left"/>
            </w:pPr>
            <w:r>
              <w:t xml:space="preserve">One DIRECT cross-section reference, or ≥2 cross-section references of any classification</w:t>
            </w:r>
          </w:p>
        </w:tc>
      </w:tr>
    </w:tbl>
    <w:p>
      <w:pPr>
        <w:pStyle w:val="BodyText"/>
      </w:pPr>
      <w:r>
        <w:rPr>
          <w:i/>
        </w:rPr>
        <w:t xml:space="preserve">Worked example.</w:t>
      </w:r>
      <w:r>
        <w:t xml:space="preserve"> </w:t>
      </w:r>
      <w:r>
        <w:t xml:space="preserve">A claim scored S = 2 (names a programme, lacks location), M = 1 (directional, no numbers), T = 2 (cites FY2023, no interim milestone), E = 1 (self-reported, no methodology), C = 3 (one DIRECT plus one INDIRECT cross-section reference) yields a composite of 1.8 — Partially Substantive: a real programme with cross-report corroboration but lacking the baselines and verification needed for full substantiation.</w:t>
      </w:r>
    </w:p>
    <w:p>
      <w:pPr>
        <w:pStyle w:val="BodyText"/>
      </w:pPr>
      <w:r>
        <w:rPr>
          <w:i/>
        </w:rPr>
        <w:t xml:space="preserve">Grounding.</w:t>
      </w:r>
      <w:r>
        <w:t xml:space="preserve"> </w:t>
      </w:r>
      <w:r>
        <w:t xml:space="preserve">Specificity, Measurability, and Temporality operationalise the SMART goal-setting criteria (Doran, 1981) and the GRI reporting-quality principles (Global Reporting Initiative, 2021). Evidence operationalises accountability theory’s information-sufficiency requirement (Gray et al., 1996; Unerman and O’Dwyer, 2007), rewarding independently verifiable substantiation. Consistency operationalises the legitimacy-theory distinction between substantive and symbolic disclosure (Suchman, 1995) by testing cross-section corroboration. Signalling theory (Connelly et al., 2011) motivates the rubric as a whole: claims that are specific, measurable, time-bound, evidenced, and internally consistent function as costly signals that are difficult to fabricate without genuine action.</w:t>
      </w:r>
    </w:p>
    <w:p>
      <w:pPr>
        <w:pStyle w:val="Heading2"/>
      </w:pPr>
      <w:bookmarkStart w:id="28" w:name="X99d41e3cec9655624f60dafe94740a76545cd7f"/>
      <w:r>
        <w:t xml:space="preserve">S7. Self-declared versus substantive SDG engagement (per goal)</w:t>
      </w:r>
      <w:bookmarkEnd w:id="28"/>
    </w:p>
    <w:p>
      <w:pPr>
        <w:pStyle w:val="FirstParagraph"/>
      </w:pPr>
      <w:r>
        <w:t xml:space="preserve">Across the corpus, firms declared a mean of 4.2 SDGs each (range 1–15) but engaged substantively with 15.1 on average. Only one over-claim appears (CP ALL declaring SDG 1 without sufficient corroboration), against 326 instances (72.1%) of substantive-but-undeclared engagement and 126 (27.8%) aligned declarations (main-text Table 10). Table S7 tabulates the goals with the largest declaration gaps (the goals shown in Fig. 5): the number of firms (of 30) engaging substantively with each goal versus the number declaring it as a strategic priority.</w:t>
      </w:r>
    </w:p>
    <w:p>
      <w:pPr>
        <w:pStyle w:val="BodyText"/>
      </w:pPr>
      <w:r>
        <w:rPr>
          <w:b/>
        </w:rPr>
        <w:t xml:space="preserve">Table S7.</w:t>
      </w:r>
      <w:r>
        <w:t xml:space="preserve"> </w:t>
      </w:r>
      <w:r>
        <w:t xml:space="preserve">Self-declared versus substantive engagement for the most under-reported SDGs (firms, of 30).</w:t>
      </w:r>
    </w:p>
    <w:tbl>
      <w:tblPr>
        <w:tblStyle w:val="Table"/>
        <w:tblW w:type="pct" w:w="0.0"/>
        <w:tblLook w:firstRow="1"/>
      </w:tblPr>
      <w:tblGrid/>
      <w:tr>
        <w:trPr>
          <w:cnfStyle w:firstRow="1"/>
        </w:trPr>
        <w:tc>
          <w:tcPr>
            <w:tcBorders>
              <w:bottom w:val="single"/>
            </w:tcBorders>
            <w:vAlign w:val="bottom"/>
          </w:tcPr>
          <w:p>
            <w:pPr>
              <w:pStyle w:val="Compact"/>
              <w:jc w:val="left"/>
            </w:pPr>
            <w:r>
              <w:t xml:space="preserve">SDG goal</w:t>
            </w:r>
          </w:p>
        </w:tc>
        <w:tc>
          <w:tcPr>
            <w:tcBorders>
              <w:bottom w:val="single"/>
            </w:tcBorders>
            <w:vAlign w:val="bottom"/>
          </w:tcPr>
          <w:p>
            <w:pPr>
              <w:pStyle w:val="Compact"/>
              <w:jc w:val="left"/>
            </w:pPr>
            <w:r>
              <w:t xml:space="preserve">Substantive engagement</w:t>
            </w:r>
          </w:p>
        </w:tc>
        <w:tc>
          <w:tcPr>
            <w:tcBorders>
              <w:bottom w:val="single"/>
            </w:tcBorders>
            <w:vAlign w:val="bottom"/>
          </w:tcPr>
          <w:p>
            <w:pPr>
              <w:pStyle w:val="Compact"/>
              <w:jc w:val="left"/>
            </w:pPr>
            <w:r>
              <w:t xml:space="preserve">Declared</w:t>
            </w:r>
          </w:p>
        </w:tc>
      </w:tr>
      <w:tr>
        <w:tc>
          <w:p>
            <w:pPr>
              <w:pStyle w:val="Compact"/>
              <w:jc w:val="left"/>
            </w:pPr>
            <w:r>
              <w:t xml:space="preserve">SDG 11 Sustainable Cities</w:t>
            </w:r>
          </w:p>
        </w:tc>
        <w:tc>
          <w:p>
            <w:pPr>
              <w:pStyle w:val="Compact"/>
              <w:jc w:val="left"/>
            </w:pPr>
            <w:r>
              <w:t xml:space="preserve">28</w:t>
            </w:r>
          </w:p>
        </w:tc>
        <w:tc>
          <w:p>
            <w:pPr>
              <w:pStyle w:val="Compact"/>
              <w:jc w:val="left"/>
            </w:pPr>
            <w:r>
              <w:t xml:space="preserve">1</w:t>
            </w:r>
          </w:p>
        </w:tc>
      </w:tr>
      <w:tr>
        <w:tc>
          <w:p>
            <w:pPr>
              <w:pStyle w:val="Compact"/>
              <w:jc w:val="left"/>
            </w:pPr>
            <w:r>
              <w:t xml:space="preserve">SDG 17 Partnerships</w:t>
            </w:r>
          </w:p>
        </w:tc>
        <w:tc>
          <w:p>
            <w:pPr>
              <w:pStyle w:val="Compact"/>
              <w:jc w:val="left"/>
            </w:pPr>
            <w:r>
              <w:t xml:space="preserve">29</w:t>
            </w:r>
          </w:p>
        </w:tc>
        <w:tc>
          <w:p>
            <w:pPr>
              <w:pStyle w:val="Compact"/>
              <w:jc w:val="left"/>
            </w:pPr>
            <w:r>
              <w:t xml:space="preserve">2</w:t>
            </w:r>
          </w:p>
        </w:tc>
      </w:tr>
      <w:tr>
        <w:tc>
          <w:p>
            <w:pPr>
              <w:pStyle w:val="Compact"/>
              <w:jc w:val="left"/>
            </w:pPr>
            <w:r>
              <w:t xml:space="preserve">SDG 4 Quality Education</w:t>
            </w:r>
          </w:p>
        </w:tc>
        <w:tc>
          <w:p>
            <w:pPr>
              <w:pStyle w:val="Compact"/>
              <w:jc w:val="left"/>
            </w:pPr>
            <w:r>
              <w:t xml:space="preserve">30</w:t>
            </w:r>
          </w:p>
        </w:tc>
        <w:tc>
          <w:p>
            <w:pPr>
              <w:pStyle w:val="Compact"/>
              <w:jc w:val="left"/>
            </w:pPr>
            <w:r>
              <w:t xml:space="preserve">4</w:t>
            </w:r>
          </w:p>
        </w:tc>
      </w:tr>
      <w:tr>
        <w:tc>
          <w:p>
            <w:pPr>
              <w:pStyle w:val="Compact"/>
              <w:jc w:val="left"/>
            </w:pPr>
            <w:r>
              <w:t xml:space="preserve">SDG 16 Peace, Justice, Strong Institutions</w:t>
            </w:r>
          </w:p>
        </w:tc>
        <w:tc>
          <w:p>
            <w:pPr>
              <w:pStyle w:val="Compact"/>
              <w:jc w:val="left"/>
            </w:pPr>
            <w:r>
              <w:t xml:space="preserve">30</w:t>
            </w:r>
          </w:p>
        </w:tc>
        <w:tc>
          <w:p>
            <w:pPr>
              <w:pStyle w:val="Compact"/>
              <w:jc w:val="left"/>
            </w:pPr>
            <w:r>
              <w:t xml:space="preserve">5</w:t>
            </w:r>
          </w:p>
        </w:tc>
      </w:tr>
      <w:tr>
        <w:tc>
          <w:p>
            <w:pPr>
              <w:pStyle w:val="Compact"/>
              <w:jc w:val="left"/>
            </w:pPr>
            <w:r>
              <w:t xml:space="preserve">SDG 9 Industry, Innovation, Infrastructure</w:t>
            </w:r>
          </w:p>
        </w:tc>
        <w:tc>
          <w:p>
            <w:pPr>
              <w:pStyle w:val="Compact"/>
              <w:jc w:val="left"/>
            </w:pPr>
            <w:r>
              <w:t xml:space="preserve">29</w:t>
            </w:r>
          </w:p>
        </w:tc>
        <w:tc>
          <w:p>
            <w:pPr>
              <w:pStyle w:val="Compact"/>
              <w:jc w:val="left"/>
            </w:pPr>
            <w:r>
              <w:t xml:space="preserve">6</w:t>
            </w:r>
          </w:p>
        </w:tc>
      </w:tr>
      <w:tr>
        <w:tc>
          <w:p>
            <w:pPr>
              <w:pStyle w:val="Compact"/>
              <w:jc w:val="left"/>
            </w:pPr>
            <w:r>
              <w:t xml:space="preserve">SDG 8 Decent Work</w:t>
            </w:r>
          </w:p>
        </w:tc>
        <w:tc>
          <w:p>
            <w:pPr>
              <w:pStyle w:val="Compact"/>
              <w:jc w:val="left"/>
            </w:pPr>
            <w:r>
              <w:t xml:space="preserve">30</w:t>
            </w:r>
          </w:p>
        </w:tc>
        <w:tc>
          <w:p>
            <w:pPr>
              <w:pStyle w:val="Compact"/>
              <w:jc w:val="left"/>
            </w:pPr>
            <w:r>
              <w:t xml:space="preserve">8</w:t>
            </w:r>
          </w:p>
        </w:tc>
      </w:tr>
      <w:tr>
        <w:tc>
          <w:p>
            <w:pPr>
              <w:pStyle w:val="Compact"/>
              <w:jc w:val="left"/>
            </w:pPr>
            <w:r>
              <w:t xml:space="preserve">SDG 12 Responsible Consumption</w:t>
            </w:r>
          </w:p>
        </w:tc>
        <w:tc>
          <w:p>
            <w:pPr>
              <w:pStyle w:val="Compact"/>
              <w:jc w:val="left"/>
            </w:pPr>
            <w:r>
              <w:t xml:space="preserve">30</w:t>
            </w:r>
          </w:p>
        </w:tc>
        <w:tc>
          <w:p>
            <w:pPr>
              <w:pStyle w:val="Compact"/>
              <w:jc w:val="left"/>
            </w:pPr>
            <w:r>
              <w:t xml:space="preserve">19</w:t>
            </w:r>
          </w:p>
        </w:tc>
      </w:tr>
      <w:tr>
        <w:tc>
          <w:p>
            <w:pPr>
              <w:pStyle w:val="Compact"/>
              <w:jc w:val="left"/>
            </w:pPr>
            <w:r>
              <w:t xml:space="preserve">SDG 13 Climate Action</w:t>
            </w:r>
          </w:p>
        </w:tc>
        <w:tc>
          <w:p>
            <w:pPr>
              <w:pStyle w:val="Compact"/>
              <w:jc w:val="left"/>
            </w:pPr>
            <w:r>
              <w:t xml:space="preserve">30</w:t>
            </w:r>
          </w:p>
        </w:tc>
        <w:tc>
          <w:p>
            <w:pPr>
              <w:pStyle w:val="Compact"/>
              <w:jc w:val="left"/>
            </w:pPr>
            <w:r>
              <w:t xml:space="preserve">26</w:t>
            </w:r>
          </w:p>
        </w:tc>
      </w:tr>
    </w:tbl>
    <w:p>
      <w:pPr>
        <w:pStyle w:val="BodyText"/>
      </w:pPr>
      <w:r>
        <w:t xml:space="preserve">SDG 11 is the most under-reported goal in the corpus — operationally present in 28 of 30 reports yet declared by a single firm — while SDG 13 (Climate) shows the closest alignment between substantive engagement and strategic declaration.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2E74B5"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2E74B5"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2E74B5"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2E74B5"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2E74B5"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2E74B5"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2E74B5"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2E74B5"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2E74B5"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2E74B5"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2" Target="media/rId22.png"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2026-06-27T10:07:30Z</dcterms:created>
  <dcterms:modified xsi:type="dcterms:W3CDTF">2026-06-27T10:07:30Z</dcterms:modified>
</cp:coreProperties>
</file>

<file path=docProps/custom.xml><?xml version="1.0" encoding="utf-8"?>
<Properties xmlns="http://schemas.openxmlformats.org/officeDocument/2006/custom-properties" xmlns:vt="http://schemas.openxmlformats.org/officeDocument/2006/docPropsVTypes"/>
</file>