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48556">
      <w:bookmarkStart w:id="0" w:name="_GoBack"/>
      <w:bookmarkEnd w:id="0"/>
    </w:p>
    <w:p w14:paraId="42DD7FD3">
      <w:pPr>
        <w:pStyle w:val="2"/>
      </w:pPr>
      <w:r>
        <w:t>Table 2. Pre-post outcome changes</w:t>
      </w:r>
    </w:p>
    <w:p w14:paraId="739E30B6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663"/>
        <w:gridCol w:w="1567"/>
        <w:gridCol w:w="1631"/>
        <w:gridCol w:w="1035"/>
        <w:gridCol w:w="758"/>
        <w:gridCol w:w="755"/>
        <w:gridCol w:w="876"/>
      </w:tblGrid>
      <w:tr w14:paraId="4DD9F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11FAF29B">
            <w:pPr>
              <w:spacing w:after="0" w:line="240" w:lineRule="auto"/>
            </w:pPr>
            <w:r>
              <w:rPr>
                <w:b/>
              </w:rPr>
              <w:t>Outcome</w:t>
            </w:r>
          </w:p>
        </w:tc>
        <w:tc>
          <w:tcPr>
            <w:tcW w:w="1170" w:type="dxa"/>
          </w:tcPr>
          <w:p w14:paraId="41D0BA8F">
            <w:pPr>
              <w:spacing w:after="0" w:line="240" w:lineRule="auto"/>
            </w:pPr>
            <w:r>
              <w:rPr>
                <w:b/>
              </w:rPr>
              <w:t>Scale</w:t>
            </w:r>
          </w:p>
        </w:tc>
        <w:tc>
          <w:tcPr>
            <w:tcW w:w="1170" w:type="dxa"/>
          </w:tcPr>
          <w:p w14:paraId="1F43D4F6">
            <w:pPr>
              <w:spacing w:after="0" w:line="240" w:lineRule="auto"/>
            </w:pPr>
            <w:r>
              <w:rPr>
                <w:b/>
              </w:rPr>
              <w:t>Pre-intervention mean (SD)</w:t>
            </w:r>
          </w:p>
        </w:tc>
        <w:tc>
          <w:tcPr>
            <w:tcW w:w="1170" w:type="dxa"/>
          </w:tcPr>
          <w:p w14:paraId="0A434122">
            <w:pPr>
              <w:spacing w:after="0" w:line="240" w:lineRule="auto"/>
            </w:pPr>
            <w:r>
              <w:rPr>
                <w:b/>
              </w:rPr>
              <w:t>Post-intervention mean (SD)</w:t>
            </w:r>
          </w:p>
        </w:tc>
        <w:tc>
          <w:tcPr>
            <w:tcW w:w="1170" w:type="dxa"/>
          </w:tcPr>
          <w:p w14:paraId="17893029">
            <w:pPr>
              <w:spacing w:after="0" w:line="240" w:lineRule="auto"/>
            </w:pPr>
            <w:r>
              <w:rPr>
                <w:b/>
              </w:rPr>
              <w:t>Mean difference (95% CI)</w:t>
            </w:r>
          </w:p>
        </w:tc>
        <w:tc>
          <w:tcPr>
            <w:tcW w:w="1170" w:type="dxa"/>
          </w:tcPr>
          <w:p w14:paraId="6DCF4190">
            <w:pPr>
              <w:spacing w:after="0" w:line="240" w:lineRule="auto"/>
            </w:pPr>
            <w:r>
              <w:rPr>
                <w:b/>
              </w:rPr>
              <w:t>Paired t</w:t>
            </w:r>
          </w:p>
        </w:tc>
        <w:tc>
          <w:tcPr>
            <w:tcW w:w="1170" w:type="dxa"/>
          </w:tcPr>
          <w:p w14:paraId="5E0DB49E">
            <w:pPr>
              <w:spacing w:after="0" w:line="240" w:lineRule="auto"/>
            </w:pPr>
            <w:r>
              <w:rPr>
                <w:b/>
              </w:rPr>
              <w:t>p value</w:t>
            </w:r>
          </w:p>
        </w:tc>
        <w:tc>
          <w:tcPr>
            <w:tcW w:w="1170" w:type="dxa"/>
          </w:tcPr>
          <w:p w14:paraId="7D770483">
            <w:pPr>
              <w:spacing w:after="0" w:line="240" w:lineRule="auto"/>
            </w:pPr>
            <w:r>
              <w:rPr>
                <w:b/>
              </w:rPr>
              <w:t>Cohen's dz</w:t>
            </w:r>
          </w:p>
        </w:tc>
      </w:tr>
      <w:tr w14:paraId="1D511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09B457D9">
            <w:pPr>
              <w:spacing w:after="0" w:line="240" w:lineRule="auto"/>
            </w:pPr>
            <w:r>
              <w:t>Legal knowledge</w:t>
            </w:r>
          </w:p>
        </w:tc>
        <w:tc>
          <w:tcPr>
            <w:tcW w:w="1170" w:type="dxa"/>
          </w:tcPr>
          <w:p w14:paraId="4B33C488">
            <w:pPr>
              <w:spacing w:after="0" w:line="240" w:lineRule="auto"/>
            </w:pPr>
            <w:r>
              <w:t>0-100</w:t>
            </w:r>
          </w:p>
        </w:tc>
        <w:tc>
          <w:tcPr>
            <w:tcW w:w="1170" w:type="dxa"/>
          </w:tcPr>
          <w:p w14:paraId="09E193F6">
            <w:pPr>
              <w:spacing w:after="0" w:line="240" w:lineRule="auto"/>
            </w:pPr>
            <w:r>
              <w:t>50.76 (13.03)</w:t>
            </w:r>
          </w:p>
        </w:tc>
        <w:tc>
          <w:tcPr>
            <w:tcW w:w="1170" w:type="dxa"/>
          </w:tcPr>
          <w:p w14:paraId="11B5EB40">
            <w:pPr>
              <w:spacing w:after="0" w:line="240" w:lineRule="auto"/>
            </w:pPr>
            <w:r>
              <w:t>80.64 (12.29)</w:t>
            </w:r>
          </w:p>
        </w:tc>
        <w:tc>
          <w:tcPr>
            <w:tcW w:w="1170" w:type="dxa"/>
          </w:tcPr>
          <w:p w14:paraId="7C0EB25A">
            <w:pPr>
              <w:spacing w:after="0" w:line="240" w:lineRule="auto"/>
            </w:pPr>
            <w:r>
              <w:t>29.89 (28.38 to 31.39)</w:t>
            </w:r>
          </w:p>
        </w:tc>
        <w:tc>
          <w:tcPr>
            <w:tcW w:w="1170" w:type="dxa"/>
          </w:tcPr>
          <w:p w14:paraId="3CD2A885">
            <w:pPr>
              <w:spacing w:after="0" w:line="240" w:lineRule="auto"/>
            </w:pPr>
            <w:r>
              <w:t>38.97</w:t>
            </w:r>
          </w:p>
        </w:tc>
        <w:tc>
          <w:tcPr>
            <w:tcW w:w="1170" w:type="dxa"/>
          </w:tcPr>
          <w:p w14:paraId="27B1968F">
            <w:pPr>
              <w:spacing w:after="0" w:line="240" w:lineRule="auto"/>
            </w:pPr>
            <w:r>
              <w:t>&lt;0.001</w:t>
            </w:r>
          </w:p>
        </w:tc>
        <w:tc>
          <w:tcPr>
            <w:tcW w:w="1170" w:type="dxa"/>
          </w:tcPr>
          <w:p w14:paraId="44CBA6DC">
            <w:pPr>
              <w:spacing w:after="0" w:line="240" w:lineRule="auto"/>
            </w:pPr>
            <w:r>
              <w:t>3.86</w:t>
            </w:r>
          </w:p>
        </w:tc>
      </w:tr>
      <w:tr w14:paraId="0528C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2EE2BAC4">
            <w:pPr>
              <w:spacing w:after="0" w:line="240" w:lineRule="auto"/>
            </w:pPr>
            <w:r>
              <w:t>Risk identification</w:t>
            </w:r>
          </w:p>
        </w:tc>
        <w:tc>
          <w:tcPr>
            <w:tcW w:w="1170" w:type="dxa"/>
          </w:tcPr>
          <w:p w14:paraId="4D0E1853">
            <w:pPr>
              <w:spacing w:after="0" w:line="240" w:lineRule="auto"/>
            </w:pPr>
            <w:r>
              <w:t>0-100</w:t>
            </w:r>
          </w:p>
        </w:tc>
        <w:tc>
          <w:tcPr>
            <w:tcW w:w="1170" w:type="dxa"/>
          </w:tcPr>
          <w:p w14:paraId="21B74E1F">
            <w:pPr>
              <w:spacing w:after="0" w:line="240" w:lineRule="auto"/>
            </w:pPr>
            <w:r>
              <w:t>50.03 (10.36)</w:t>
            </w:r>
          </w:p>
        </w:tc>
        <w:tc>
          <w:tcPr>
            <w:tcW w:w="1170" w:type="dxa"/>
          </w:tcPr>
          <w:p w14:paraId="059F9D63">
            <w:pPr>
              <w:spacing w:after="0" w:line="240" w:lineRule="auto"/>
            </w:pPr>
            <w:r>
              <w:t>76.85 (10.79)</w:t>
            </w:r>
          </w:p>
        </w:tc>
        <w:tc>
          <w:tcPr>
            <w:tcW w:w="1170" w:type="dxa"/>
          </w:tcPr>
          <w:p w14:paraId="203C2D73">
            <w:pPr>
              <w:spacing w:after="0" w:line="240" w:lineRule="auto"/>
            </w:pPr>
            <w:r>
              <w:t>26.82 (25.41 to 28.24)</w:t>
            </w:r>
          </w:p>
        </w:tc>
        <w:tc>
          <w:tcPr>
            <w:tcW w:w="1170" w:type="dxa"/>
          </w:tcPr>
          <w:p w14:paraId="2CC0EF4B">
            <w:pPr>
              <w:spacing w:after="0" w:line="240" w:lineRule="auto"/>
            </w:pPr>
            <w:r>
              <w:t>37.19</w:t>
            </w:r>
          </w:p>
        </w:tc>
        <w:tc>
          <w:tcPr>
            <w:tcW w:w="1170" w:type="dxa"/>
          </w:tcPr>
          <w:p w14:paraId="6F916EA7">
            <w:pPr>
              <w:spacing w:after="0" w:line="240" w:lineRule="auto"/>
            </w:pPr>
            <w:r>
              <w:t>&lt;0.001</w:t>
            </w:r>
          </w:p>
        </w:tc>
        <w:tc>
          <w:tcPr>
            <w:tcW w:w="1170" w:type="dxa"/>
          </w:tcPr>
          <w:p w14:paraId="06A4F707">
            <w:pPr>
              <w:spacing w:after="0" w:line="240" w:lineRule="auto"/>
            </w:pPr>
            <w:r>
              <w:t>3.68</w:t>
            </w:r>
          </w:p>
        </w:tc>
      </w:tr>
      <w:tr w14:paraId="3A971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39E86BE5">
            <w:pPr>
              <w:spacing w:after="0" w:line="240" w:lineRule="auto"/>
            </w:pPr>
            <w:r>
              <w:t>Learning attitude</w:t>
            </w:r>
          </w:p>
        </w:tc>
        <w:tc>
          <w:tcPr>
            <w:tcW w:w="1170" w:type="dxa"/>
          </w:tcPr>
          <w:p w14:paraId="77A380C1">
            <w:pPr>
              <w:spacing w:after="0" w:line="240" w:lineRule="auto"/>
            </w:pPr>
            <w:r>
              <w:t>1-5</w:t>
            </w:r>
          </w:p>
        </w:tc>
        <w:tc>
          <w:tcPr>
            <w:tcW w:w="1170" w:type="dxa"/>
          </w:tcPr>
          <w:p w14:paraId="2D3C1689">
            <w:pPr>
              <w:spacing w:after="0" w:line="240" w:lineRule="auto"/>
            </w:pPr>
            <w:r>
              <w:t>3.48 (0.56)</w:t>
            </w:r>
          </w:p>
        </w:tc>
        <w:tc>
          <w:tcPr>
            <w:tcW w:w="1170" w:type="dxa"/>
          </w:tcPr>
          <w:p w14:paraId="59FE3E81">
            <w:pPr>
              <w:spacing w:after="0" w:line="240" w:lineRule="auto"/>
            </w:pPr>
            <w:r>
              <w:t>4.30 (0.49)</w:t>
            </w:r>
          </w:p>
        </w:tc>
        <w:tc>
          <w:tcPr>
            <w:tcW w:w="1170" w:type="dxa"/>
          </w:tcPr>
          <w:p w14:paraId="6D970A9A">
            <w:pPr>
              <w:spacing w:after="0" w:line="240" w:lineRule="auto"/>
            </w:pPr>
            <w:r>
              <w:t>0.82 (0.77 to 0.87)</w:t>
            </w:r>
          </w:p>
        </w:tc>
        <w:tc>
          <w:tcPr>
            <w:tcW w:w="1170" w:type="dxa"/>
          </w:tcPr>
          <w:p w14:paraId="54923BAC">
            <w:pPr>
              <w:spacing w:after="0" w:line="240" w:lineRule="auto"/>
            </w:pPr>
            <w:r>
              <w:t>30.42</w:t>
            </w:r>
          </w:p>
        </w:tc>
        <w:tc>
          <w:tcPr>
            <w:tcW w:w="1170" w:type="dxa"/>
          </w:tcPr>
          <w:p w14:paraId="674E06B8">
            <w:pPr>
              <w:spacing w:after="0" w:line="240" w:lineRule="auto"/>
            </w:pPr>
            <w:r>
              <w:t>&lt;0.001</w:t>
            </w:r>
          </w:p>
        </w:tc>
        <w:tc>
          <w:tcPr>
            <w:tcW w:w="1170" w:type="dxa"/>
          </w:tcPr>
          <w:p w14:paraId="4FACE5FC">
            <w:pPr>
              <w:spacing w:after="0" w:line="240" w:lineRule="auto"/>
            </w:pPr>
            <w:r>
              <w:t>3.01</w:t>
            </w:r>
          </w:p>
        </w:tc>
      </w:tr>
      <w:tr w14:paraId="3C268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310AAA86">
            <w:pPr>
              <w:spacing w:after="0" w:line="240" w:lineRule="auto"/>
            </w:pPr>
            <w:r>
              <w:t>Course satisfaction</w:t>
            </w:r>
          </w:p>
        </w:tc>
        <w:tc>
          <w:tcPr>
            <w:tcW w:w="1170" w:type="dxa"/>
          </w:tcPr>
          <w:p w14:paraId="488339B4">
            <w:pPr>
              <w:spacing w:after="0" w:line="240" w:lineRule="auto"/>
            </w:pPr>
            <w:r>
              <w:t>1-5</w:t>
            </w:r>
          </w:p>
        </w:tc>
        <w:tc>
          <w:tcPr>
            <w:tcW w:w="1170" w:type="dxa"/>
          </w:tcPr>
          <w:p w14:paraId="214BD505">
            <w:pPr>
              <w:spacing w:after="0" w:line="240" w:lineRule="auto"/>
            </w:pPr>
            <w:r>
              <w:t>3.39 (0.52)</w:t>
            </w:r>
          </w:p>
        </w:tc>
        <w:tc>
          <w:tcPr>
            <w:tcW w:w="1170" w:type="dxa"/>
          </w:tcPr>
          <w:p w14:paraId="7B439DD3">
            <w:pPr>
              <w:spacing w:after="0" w:line="240" w:lineRule="auto"/>
            </w:pPr>
            <w:r>
              <w:t>4.26 (0.52)</w:t>
            </w:r>
          </w:p>
        </w:tc>
        <w:tc>
          <w:tcPr>
            <w:tcW w:w="1170" w:type="dxa"/>
          </w:tcPr>
          <w:p w14:paraId="2CFD8D5F">
            <w:pPr>
              <w:spacing w:after="0" w:line="240" w:lineRule="auto"/>
            </w:pPr>
            <w:r>
              <w:t>0.87 (0.83 to 0.92)</w:t>
            </w:r>
          </w:p>
        </w:tc>
        <w:tc>
          <w:tcPr>
            <w:tcW w:w="1170" w:type="dxa"/>
          </w:tcPr>
          <w:p w14:paraId="618AF8DB">
            <w:pPr>
              <w:spacing w:after="0" w:line="240" w:lineRule="auto"/>
            </w:pPr>
            <w:r>
              <w:t>34.80</w:t>
            </w:r>
          </w:p>
        </w:tc>
        <w:tc>
          <w:tcPr>
            <w:tcW w:w="1170" w:type="dxa"/>
          </w:tcPr>
          <w:p w14:paraId="2A473D2C">
            <w:pPr>
              <w:spacing w:after="0" w:line="240" w:lineRule="auto"/>
            </w:pPr>
            <w:r>
              <w:t>&lt;0.001</w:t>
            </w:r>
          </w:p>
        </w:tc>
        <w:tc>
          <w:tcPr>
            <w:tcW w:w="1170" w:type="dxa"/>
          </w:tcPr>
          <w:p w14:paraId="03CCD6A9">
            <w:pPr>
              <w:spacing w:after="0" w:line="240" w:lineRule="auto"/>
            </w:pPr>
            <w:r>
              <w:t>3.45</w:t>
            </w:r>
          </w:p>
        </w:tc>
      </w:tr>
    </w:tbl>
    <w:p w14:paraId="5FD1A63F"/>
    <w:p w14:paraId="7F09AD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B2F52"/>
    <w:rsid w:val="0BAB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874CB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2026-06-27T09:10:00Z</dcterms:created>
  <dc:creator>Qian Zhang</dc:creator>
  <cp:lastModifiedBy>Qian Zhang</cp:lastModifiedBy>
  <dcterms:modified xsi:type="dcterms:W3CDTF">2026-06-27T09:12:07Z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56235AE18040465A886C87C9265AD605_11</vt:lpwstr>
  </property>
  <property fmtid="{D5CDD505-2E9C-101B-9397-08002B2CF9AE}" pid="4" name="KSOTemplateDocerSaveRecord">
    <vt:lpwstr>eyJoZGlkIjoiOTY3ZTIxMzUyNDBjMzQ4YTgzZTdhYzlmYTBkOGFjODciLCJ1c2VySWQiOiIyMzYyMjMwMjQifQ==</vt:lpwstr>
  </property>
</Properties>
</file>