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Supplementary Materials</w:t>
      </w:r>
    </w:p>
    <w:p/>
    <w:p>
      <w:pPr>
        <w:pStyle w:val="Heading1"/>
      </w:pPr>
      <w:r>
        <w:t>Supplementary Table 1. Eighteen-hour curriculum blueprint</w:t>
      </w:r>
    </w:p>
    <w:p/>
    <w:tbl>
      <w:tblPr>
        <w:tblStyle w:val="TableGrid"/>
        <w:tblW w:type="auto" w:w="0"/>
        <w:tblLook w:firstColumn="1" w:firstRow="1" w:lastColumn="0" w:lastRow="0" w:noHBand="0" w:noVBand="1" w:val="04A0"/>
      </w:tblPr>
      <w:tblGrid>
        <w:gridCol w:w="1560"/>
        <w:gridCol w:w="1560"/>
        <w:gridCol w:w="1560"/>
        <w:gridCol w:w="1560"/>
        <w:gridCol w:w="1560"/>
        <w:gridCol w:w="1560"/>
      </w:tblGrid>
      <w:tr>
        <w:tc>
          <w:tcPr>
            <w:tcW w:type="dxa" w:w="1560"/>
          </w:tcPr>
          <w:p>
            <w:r>
              <w:rPr>
                <w:b/>
              </w:rPr>
              <w:t>Module</w:t>
            </w:r>
          </w:p>
        </w:tc>
        <w:tc>
          <w:tcPr>
            <w:tcW w:type="dxa" w:w="1560"/>
          </w:tcPr>
          <w:p>
            <w:r>
              <w:rPr>
                <w:b/>
              </w:rPr>
              <w:t>Teaching hours</w:t>
            </w:r>
          </w:p>
        </w:tc>
        <w:tc>
          <w:tcPr>
            <w:tcW w:type="dxa" w:w="1560"/>
          </w:tcPr>
          <w:p>
            <w:r>
              <w:rPr>
                <w:b/>
              </w:rPr>
              <w:t>Core topic</w:t>
            </w:r>
          </w:p>
        </w:tc>
        <w:tc>
          <w:tcPr>
            <w:tcW w:type="dxa" w:w="1560"/>
          </w:tcPr>
          <w:p>
            <w:r>
              <w:rPr>
                <w:b/>
              </w:rPr>
              <w:t>Case focus</w:t>
            </w:r>
          </w:p>
        </w:tc>
        <w:tc>
          <w:tcPr>
            <w:tcW w:type="dxa" w:w="1560"/>
          </w:tcPr>
          <w:p>
            <w:r>
              <w:rPr>
                <w:b/>
              </w:rPr>
              <w:t>Learning objective</w:t>
            </w:r>
          </w:p>
        </w:tc>
        <w:tc>
          <w:tcPr>
            <w:tcW w:type="dxa" w:w="1560"/>
          </w:tcPr>
          <w:p>
            <w:r>
              <w:rPr>
                <w:b/>
              </w:rPr>
              <w:t>Assessment alignment</w:t>
            </w:r>
          </w:p>
        </w:tc>
      </w:tr>
      <w:tr>
        <w:tc>
          <w:tcPr>
            <w:tcW w:type="dxa" w:w="1560"/>
          </w:tcPr>
          <w:p>
            <w:r>
              <w:t>1</w:t>
            </w:r>
          </w:p>
        </w:tc>
        <w:tc>
          <w:tcPr>
            <w:tcW w:type="dxa" w:w="1560"/>
          </w:tcPr>
          <w:p>
            <w:r>
              <w:t>2</w:t>
            </w:r>
          </w:p>
        </w:tc>
        <w:tc>
          <w:tcPr>
            <w:tcW w:type="dxa" w:w="1560"/>
          </w:tcPr>
          <w:p>
            <w:r>
              <w:t>Legal responsibilities of rehabilitation therapists</w:t>
            </w:r>
          </w:p>
        </w:tc>
        <w:tc>
          <w:tcPr>
            <w:tcW w:type="dxa" w:w="1560"/>
          </w:tcPr>
          <w:p>
            <w:r>
              <w:t>Professional role boundaries during supervised rehabilitation practice</w:t>
            </w:r>
          </w:p>
        </w:tc>
        <w:tc>
          <w:tcPr>
            <w:tcW w:type="dxa" w:w="1560"/>
          </w:tcPr>
          <w:p>
            <w:r>
              <w:t>Explain why legal literacy is part of rehabilitation professional competence</w:t>
            </w:r>
          </w:p>
        </w:tc>
        <w:tc>
          <w:tcPr>
            <w:tcW w:type="dxa" w:w="1560"/>
          </w:tcPr>
          <w:p>
            <w:r>
              <w:t>Legal knowledge</w:t>
            </w:r>
          </w:p>
        </w:tc>
      </w:tr>
      <w:tr>
        <w:tc>
          <w:tcPr>
            <w:tcW w:type="dxa" w:w="1560"/>
          </w:tcPr>
          <w:p>
            <w:r>
              <w:t>2</w:t>
            </w:r>
          </w:p>
        </w:tc>
        <w:tc>
          <w:tcPr>
            <w:tcW w:type="dxa" w:w="1560"/>
          </w:tcPr>
          <w:p>
            <w:r>
              <w:t>3</w:t>
            </w:r>
          </w:p>
        </w:tc>
        <w:tc>
          <w:tcPr>
            <w:tcW w:type="dxa" w:w="1560"/>
          </w:tcPr>
          <w:p>
            <w:r>
              <w:t>Patient rights, informed consent, and medical risk disclosure</w:t>
            </w:r>
          </w:p>
        </w:tc>
        <w:tc>
          <w:tcPr>
            <w:tcW w:type="dxa" w:w="1560"/>
          </w:tcPr>
          <w:p>
            <w:r>
              <w:t>A patient or family member later claims that treatment risks were not explained before rehabilitation intervention</w:t>
            </w:r>
          </w:p>
        </w:tc>
        <w:tc>
          <w:tcPr>
            <w:tcW w:type="dxa" w:w="1560"/>
          </w:tcPr>
          <w:p>
            <w:r>
              <w:t>Identify what should be disclosed, to whom, and when</w:t>
            </w:r>
          </w:p>
        </w:tc>
        <w:tc>
          <w:tcPr>
            <w:tcW w:type="dxa" w:w="1560"/>
          </w:tcPr>
          <w:p>
            <w:r>
              <w:t>Legal knowledge; risk identification</w:t>
            </w:r>
          </w:p>
        </w:tc>
      </w:tr>
      <w:tr>
        <w:tc>
          <w:tcPr>
            <w:tcW w:type="dxa" w:w="1560"/>
          </w:tcPr>
          <w:p>
            <w:r>
              <w:t>3</w:t>
            </w:r>
          </w:p>
        </w:tc>
        <w:tc>
          <w:tcPr>
            <w:tcW w:type="dxa" w:w="1560"/>
          </w:tcPr>
          <w:p>
            <w:r>
              <w:t>3</w:t>
            </w:r>
          </w:p>
        </w:tc>
        <w:tc>
          <w:tcPr>
            <w:tcW w:type="dxa" w:w="1560"/>
          </w:tcPr>
          <w:p>
            <w:r>
              <w:t>Patient-therapist communication and dispute prevention</w:t>
            </w:r>
          </w:p>
        </w:tc>
        <w:tc>
          <w:tcPr>
            <w:tcW w:type="dxa" w:w="1560"/>
          </w:tcPr>
          <w:p>
            <w:r>
              <w:t>A misunderstanding develops during repeated rehabilitation sessions because treatment goals and expected outcomes were not aligned</w:t>
            </w:r>
          </w:p>
        </w:tc>
        <w:tc>
          <w:tcPr>
            <w:tcW w:type="dxa" w:w="1560"/>
          </w:tcPr>
          <w:p>
            <w:r>
              <w:t>Recognize communication failures that may escalate into complaints or disputes</w:t>
            </w:r>
          </w:p>
        </w:tc>
        <w:tc>
          <w:tcPr>
            <w:tcW w:type="dxa" w:w="1560"/>
          </w:tcPr>
          <w:p>
            <w:r>
              <w:t>Risk identification; learning attitude</w:t>
            </w:r>
          </w:p>
        </w:tc>
      </w:tr>
      <w:tr>
        <w:tc>
          <w:tcPr>
            <w:tcW w:type="dxa" w:w="1560"/>
          </w:tcPr>
          <w:p>
            <w:r>
              <w:t>4</w:t>
            </w:r>
          </w:p>
        </w:tc>
        <w:tc>
          <w:tcPr>
            <w:tcW w:type="dxa" w:w="1560"/>
          </w:tcPr>
          <w:p>
            <w:r>
              <w:t>3</w:t>
            </w:r>
          </w:p>
        </w:tc>
        <w:tc>
          <w:tcPr>
            <w:tcW w:type="dxa" w:w="1560"/>
          </w:tcPr>
          <w:p>
            <w:r>
              <w:t>Privacy protection and documentation</w:t>
            </w:r>
          </w:p>
        </w:tc>
        <w:tc>
          <w:tcPr>
            <w:tcW w:type="dxa" w:w="1560"/>
          </w:tcPr>
          <w:p>
            <w:r>
              <w:t>Privacy exposure during ward-based training or incomplete documentation after an adverse response</w:t>
            </w:r>
          </w:p>
        </w:tc>
        <w:tc>
          <w:tcPr>
            <w:tcW w:type="dxa" w:w="1560"/>
          </w:tcPr>
          <w:p>
            <w:r>
              <w:t>Identify privacy and documentation risks in routine rehabilitation care</w:t>
            </w:r>
          </w:p>
        </w:tc>
        <w:tc>
          <w:tcPr>
            <w:tcW w:type="dxa" w:w="1560"/>
          </w:tcPr>
          <w:p>
            <w:r>
              <w:t>Legal knowledge; risk identification</w:t>
            </w:r>
          </w:p>
        </w:tc>
      </w:tr>
      <w:tr>
        <w:tc>
          <w:tcPr>
            <w:tcW w:type="dxa" w:w="1560"/>
          </w:tcPr>
          <w:p>
            <w:r>
              <w:t>5</w:t>
            </w:r>
          </w:p>
        </w:tc>
        <w:tc>
          <w:tcPr>
            <w:tcW w:type="dxa" w:w="1560"/>
          </w:tcPr>
          <w:p>
            <w:r>
              <w:t>3</w:t>
            </w:r>
          </w:p>
        </w:tc>
        <w:tc>
          <w:tcPr>
            <w:tcW w:type="dxa" w:w="1560"/>
          </w:tcPr>
          <w:p>
            <w:r>
              <w:t>Medical damage liability and handling complaints</w:t>
            </w:r>
          </w:p>
        </w:tc>
        <w:tc>
          <w:tcPr>
            <w:tcW w:type="dxa" w:w="1560"/>
          </w:tcPr>
          <w:p>
            <w:r>
              <w:t>A patient reports dissatisfaction or injury after rehabilitation treatment and the therapist must respond appropriately</w:t>
            </w:r>
          </w:p>
        </w:tc>
        <w:tc>
          <w:tcPr>
            <w:tcW w:type="dxa" w:w="1560"/>
          </w:tcPr>
          <w:p>
            <w:r>
              <w:t>Distinguish clinical explanation, documentation, escalation, and dispute-management steps</w:t>
            </w:r>
          </w:p>
        </w:tc>
        <w:tc>
          <w:tcPr>
            <w:tcW w:type="dxa" w:w="1560"/>
          </w:tcPr>
          <w:p>
            <w:r>
              <w:t>Risk identification</w:t>
            </w:r>
          </w:p>
        </w:tc>
      </w:tr>
      <w:tr>
        <w:tc>
          <w:tcPr>
            <w:tcW w:type="dxa" w:w="1560"/>
          </w:tcPr>
          <w:p>
            <w:r>
              <w:t>6</w:t>
            </w:r>
          </w:p>
        </w:tc>
        <w:tc>
          <w:tcPr>
            <w:tcW w:type="dxa" w:w="1560"/>
          </w:tcPr>
          <w:p>
            <w:r>
              <w:t>4</w:t>
            </w:r>
          </w:p>
        </w:tc>
        <w:tc>
          <w:tcPr>
            <w:tcW w:type="dxa" w:w="1560"/>
          </w:tcPr>
          <w:p>
            <w:r>
              <w:t>Integrated case analysis and scenario-based risk identification</w:t>
            </w:r>
          </w:p>
        </w:tc>
        <w:tc>
          <w:tcPr>
            <w:tcW w:type="dxa" w:w="1560"/>
          </w:tcPr>
          <w:p>
            <w:r>
              <w:t>Multi-step rehabilitation dispute scenario involving communication, consent, documentation, and professional boundaries</w:t>
            </w:r>
          </w:p>
        </w:tc>
        <w:tc>
          <w:tcPr>
            <w:tcW w:type="dxa" w:w="1560"/>
          </w:tcPr>
          <w:p>
            <w:r>
              <w:t>Apply legal and ethical reasoning to a realistic rehabilitation case</w:t>
            </w:r>
          </w:p>
        </w:tc>
        <w:tc>
          <w:tcPr>
            <w:tcW w:type="dxa" w:w="1560"/>
          </w:tcPr>
          <w:p>
            <w:r>
              <w:t>All outcomes</w:t>
            </w:r>
          </w:p>
        </w:tc>
      </w:tr>
    </w:tbl>
    <w:p/>
    <w:p>
      <w:pPr>
        <w:pStyle w:val="Heading1"/>
      </w:pPr>
      <w:r>
        <w:t>Supplementary Table 2. Case-based teaching sequence</w:t>
      </w:r>
    </w:p>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r>
              <w:rPr>
                <w:b/>
              </w:rPr>
              <w:t>Step</w:t>
            </w:r>
          </w:p>
        </w:tc>
        <w:tc>
          <w:tcPr>
            <w:tcW w:type="dxa" w:w="2340"/>
          </w:tcPr>
          <w:p>
            <w:r>
              <w:rPr>
                <w:b/>
              </w:rPr>
              <w:t>Teaching activity</w:t>
            </w:r>
          </w:p>
        </w:tc>
        <w:tc>
          <w:tcPr>
            <w:tcW w:type="dxa" w:w="2340"/>
          </w:tcPr>
          <w:p>
            <w:r>
              <w:rPr>
                <w:b/>
              </w:rPr>
              <w:t>Student task</w:t>
            </w:r>
          </w:p>
        </w:tc>
        <w:tc>
          <w:tcPr>
            <w:tcW w:type="dxa" w:w="2340"/>
          </w:tcPr>
          <w:p>
            <w:r>
              <w:rPr>
                <w:b/>
              </w:rPr>
              <w:t>Instructor role</w:t>
            </w:r>
          </w:p>
        </w:tc>
      </w:tr>
      <w:tr>
        <w:tc>
          <w:tcPr>
            <w:tcW w:type="dxa" w:w="2340"/>
          </w:tcPr>
          <w:p>
            <w:r>
              <w:t>1</w:t>
            </w:r>
          </w:p>
        </w:tc>
        <w:tc>
          <w:tcPr>
            <w:tcW w:type="dxa" w:w="2340"/>
          </w:tcPr>
          <w:p>
            <w:r>
              <w:t>Case presentation</w:t>
            </w:r>
          </w:p>
        </w:tc>
        <w:tc>
          <w:tcPr>
            <w:tcW w:type="dxa" w:w="2340"/>
          </w:tcPr>
          <w:p>
            <w:r>
              <w:t>Read the scenario and identify the clinical procedure, patient concern, and potential conflict point</w:t>
            </w:r>
          </w:p>
        </w:tc>
        <w:tc>
          <w:tcPr>
            <w:tcW w:type="dxa" w:w="2340"/>
          </w:tcPr>
          <w:p>
            <w:r>
              <w:t>Provide the clinical context without immediately naming the legal issue</w:t>
            </w:r>
          </w:p>
        </w:tc>
      </w:tr>
      <w:tr>
        <w:tc>
          <w:tcPr>
            <w:tcW w:type="dxa" w:w="2340"/>
          </w:tcPr>
          <w:p>
            <w:r>
              <w:t>2</w:t>
            </w:r>
          </w:p>
        </w:tc>
        <w:tc>
          <w:tcPr>
            <w:tcW w:type="dxa" w:w="2340"/>
          </w:tcPr>
          <w:p>
            <w:r>
              <w:t>Risk identification</w:t>
            </w:r>
          </w:p>
        </w:tc>
        <w:tc>
          <w:tcPr>
            <w:tcW w:type="dxa" w:w="2340"/>
          </w:tcPr>
          <w:p>
            <w:r>
              <w:t>List possible legal, ethical, communication, and documentation risks</w:t>
            </w:r>
          </w:p>
        </w:tc>
        <w:tc>
          <w:tcPr>
            <w:tcW w:type="dxa" w:w="2340"/>
          </w:tcPr>
          <w:p>
            <w:r>
              <w:t>Guide students to distinguish clinical risk from legal risk</w:t>
            </w:r>
          </w:p>
        </w:tc>
      </w:tr>
      <w:tr>
        <w:tc>
          <w:tcPr>
            <w:tcW w:type="dxa" w:w="2340"/>
          </w:tcPr>
          <w:p>
            <w:r>
              <w:t>3</w:t>
            </w:r>
          </w:p>
        </w:tc>
        <w:tc>
          <w:tcPr>
            <w:tcW w:type="dxa" w:w="2340"/>
          </w:tcPr>
          <w:p>
            <w:r>
              <w:t>Legal principle mapping</w:t>
            </w:r>
          </w:p>
        </w:tc>
        <w:tc>
          <w:tcPr>
            <w:tcW w:type="dxa" w:w="2340"/>
          </w:tcPr>
          <w:p>
            <w:r>
              <w:t>Connect the case to patient rights, consent, risk disclosure, privacy, documentation, or liability</w:t>
            </w:r>
          </w:p>
        </w:tc>
        <w:tc>
          <w:tcPr>
            <w:tcW w:type="dxa" w:w="2340"/>
          </w:tcPr>
          <w:p>
            <w:r>
              <w:t>Clarify legal concepts and correct misconceptions</w:t>
            </w:r>
          </w:p>
        </w:tc>
      </w:tr>
      <w:tr>
        <w:tc>
          <w:tcPr>
            <w:tcW w:type="dxa" w:w="2340"/>
          </w:tcPr>
          <w:p>
            <w:r>
              <w:t>4</w:t>
            </w:r>
          </w:p>
        </w:tc>
        <w:tc>
          <w:tcPr>
            <w:tcW w:type="dxa" w:w="2340"/>
          </w:tcPr>
          <w:p>
            <w:r>
              <w:t>Response planning</w:t>
            </w:r>
          </w:p>
        </w:tc>
        <w:tc>
          <w:tcPr>
            <w:tcW w:type="dxa" w:w="2340"/>
          </w:tcPr>
          <w:p>
            <w:r>
              <w:t>Propose what the therapist should explain, record, and escalate</w:t>
            </w:r>
          </w:p>
        </w:tc>
        <w:tc>
          <w:tcPr>
            <w:tcW w:type="dxa" w:w="2340"/>
          </w:tcPr>
          <w:p>
            <w:r>
              <w:t>Emphasize practical steps appropriate for rehabilitation practice</w:t>
            </w:r>
          </w:p>
        </w:tc>
      </w:tr>
      <w:tr>
        <w:tc>
          <w:tcPr>
            <w:tcW w:type="dxa" w:w="2340"/>
          </w:tcPr>
          <w:p>
            <w:r>
              <w:t>5</w:t>
            </w:r>
          </w:p>
        </w:tc>
        <w:tc>
          <w:tcPr>
            <w:tcW w:type="dxa" w:w="2340"/>
          </w:tcPr>
          <w:p>
            <w:r>
              <w:t>Debriefing</w:t>
            </w:r>
          </w:p>
        </w:tc>
        <w:tc>
          <w:tcPr>
            <w:tcW w:type="dxa" w:w="2340"/>
          </w:tcPr>
          <w:p>
            <w:r>
              <w:t>Reflect on how the dispute could have been prevented</w:t>
            </w:r>
          </w:p>
        </w:tc>
        <w:tc>
          <w:tcPr>
            <w:tcW w:type="dxa" w:w="2340"/>
          </w:tcPr>
          <w:p>
            <w:r>
              <w:t>Summarize key legal risk points and link them to future internship behavior</w:t>
            </w:r>
          </w:p>
        </w:tc>
      </w:tr>
    </w:tbl>
    <w:p/>
    <w:p>
      <w:pPr>
        <w:pStyle w:val="Heading1"/>
      </w:pPr>
      <w:r>
        <w:t>Supplementary Table 3. Assessment domains and scoring framework</w:t>
      </w:r>
    </w:p>
    <w:p/>
    <w:tbl>
      <w:tblPr>
        <w:tblStyle w:val="TableGrid"/>
        <w:tblW w:type="auto" w:w="0"/>
        <w:tblLook w:firstColumn="1" w:firstRow="1" w:lastColumn="0" w:lastRow="0" w:noHBand="0" w:noVBand="1" w:val="04A0"/>
      </w:tblPr>
      <w:tblGrid>
        <w:gridCol w:w="1872"/>
        <w:gridCol w:w="1872"/>
        <w:gridCol w:w="1872"/>
        <w:gridCol w:w="1872"/>
        <w:gridCol w:w="1872"/>
      </w:tblGrid>
      <w:tr>
        <w:tc>
          <w:tcPr>
            <w:tcW w:type="dxa" w:w="1872"/>
          </w:tcPr>
          <w:p>
            <w:r>
              <w:rPr>
                <w:b/>
              </w:rPr>
              <w:t>Domain</w:t>
            </w:r>
          </w:p>
        </w:tc>
        <w:tc>
          <w:tcPr>
            <w:tcW w:type="dxa" w:w="1872"/>
          </w:tcPr>
          <w:p>
            <w:r>
              <w:rPr>
                <w:b/>
              </w:rPr>
              <w:t>Score range</w:t>
            </w:r>
          </w:p>
        </w:tc>
        <w:tc>
          <w:tcPr>
            <w:tcW w:type="dxa" w:w="1872"/>
          </w:tcPr>
          <w:p>
            <w:r>
              <w:rPr>
                <w:b/>
              </w:rPr>
              <w:t>Content assessed</w:t>
            </w:r>
          </w:p>
        </w:tc>
        <w:tc>
          <w:tcPr>
            <w:tcW w:type="dxa" w:w="1872"/>
          </w:tcPr>
          <w:p>
            <w:r>
              <w:rPr>
                <w:b/>
              </w:rPr>
              <w:t>Item format</w:t>
            </w:r>
          </w:p>
        </w:tc>
        <w:tc>
          <w:tcPr>
            <w:tcW w:type="dxa" w:w="1872"/>
          </w:tcPr>
          <w:p>
            <w:r>
              <w:rPr>
                <w:b/>
              </w:rPr>
              <w:t>Interpretation</w:t>
            </w:r>
          </w:p>
        </w:tc>
      </w:tr>
      <w:tr>
        <w:tc>
          <w:tcPr>
            <w:tcW w:type="dxa" w:w="1872"/>
          </w:tcPr>
          <w:p>
            <w:r>
              <w:t>Legal knowledge</w:t>
            </w:r>
          </w:p>
        </w:tc>
        <w:tc>
          <w:tcPr>
            <w:tcW w:type="dxa" w:w="1872"/>
          </w:tcPr>
          <w:p>
            <w:r>
              <w:t>0-100</w:t>
            </w:r>
          </w:p>
        </w:tc>
        <w:tc>
          <w:tcPr>
            <w:tcW w:type="dxa" w:w="1872"/>
          </w:tcPr>
          <w:p>
            <w:r>
              <w:t>Informed consent, patient rights, privacy protection, documentation, medical damage liability, therapist practice boundaries</w:t>
            </w:r>
          </w:p>
        </w:tc>
        <w:tc>
          <w:tcPr>
            <w:tcW w:type="dxa" w:w="1872"/>
          </w:tcPr>
          <w:p>
            <w:r>
              <w:t>Knowledge questions mapped to course content</w:t>
            </w:r>
          </w:p>
        </w:tc>
        <w:tc>
          <w:tcPr>
            <w:tcW w:type="dxa" w:w="1872"/>
          </w:tcPr>
          <w:p>
            <w:r>
              <w:t>Higher scores indicate better command of basic health law concepts relevant to rehabilitation therapy</w:t>
            </w:r>
          </w:p>
        </w:tc>
      </w:tr>
      <w:tr>
        <w:tc>
          <w:tcPr>
            <w:tcW w:type="dxa" w:w="1872"/>
          </w:tcPr>
          <w:p>
            <w:r>
              <w:t>Clinical legal risk identification</w:t>
            </w:r>
          </w:p>
        </w:tc>
        <w:tc>
          <w:tcPr>
            <w:tcW w:type="dxa" w:w="1872"/>
          </w:tcPr>
          <w:p>
            <w:r>
              <w:t>0-100</w:t>
            </w:r>
          </w:p>
        </w:tc>
        <w:tc>
          <w:tcPr>
            <w:tcW w:type="dxa" w:w="1872"/>
          </w:tcPr>
          <w:p>
            <w:r>
              <w:t>Recognition of legal and communication risks in rehabilitation scenarios</w:t>
            </w:r>
          </w:p>
        </w:tc>
        <w:tc>
          <w:tcPr>
            <w:tcW w:type="dxa" w:w="1872"/>
          </w:tcPr>
          <w:p>
            <w:r>
              <w:t>Case-vignette or scenario-based risk identification items</w:t>
            </w:r>
          </w:p>
        </w:tc>
        <w:tc>
          <w:tcPr>
            <w:tcW w:type="dxa" w:w="1872"/>
          </w:tcPr>
          <w:p>
            <w:r>
              <w:t>Higher scores indicate stronger ability to detect risk points in realistic practice situations</w:t>
            </w:r>
          </w:p>
        </w:tc>
      </w:tr>
      <w:tr>
        <w:tc>
          <w:tcPr>
            <w:tcW w:type="dxa" w:w="1872"/>
          </w:tcPr>
          <w:p>
            <w:r>
              <w:t>Learning attitude</w:t>
            </w:r>
          </w:p>
        </w:tc>
        <w:tc>
          <w:tcPr>
            <w:tcW w:type="dxa" w:w="1872"/>
          </w:tcPr>
          <w:p>
            <w:r>
              <w:t>1-5</w:t>
            </w:r>
          </w:p>
        </w:tc>
        <w:tc>
          <w:tcPr>
            <w:tcW w:type="dxa" w:w="1872"/>
          </w:tcPr>
          <w:p>
            <w:r>
              <w:t>Perceived relevance, motivation, and acceptance of health law learning</w:t>
            </w:r>
          </w:p>
        </w:tc>
        <w:tc>
          <w:tcPr>
            <w:tcW w:type="dxa" w:w="1872"/>
          </w:tcPr>
          <w:p>
            <w:r>
              <w:t>Likert-scale items</w:t>
            </w:r>
          </w:p>
        </w:tc>
        <w:tc>
          <w:tcPr>
            <w:tcW w:type="dxa" w:w="1872"/>
          </w:tcPr>
          <w:p>
            <w:r>
              <w:t>Higher scores indicate more positive learning attitude</w:t>
            </w:r>
          </w:p>
        </w:tc>
      </w:tr>
      <w:tr>
        <w:tc>
          <w:tcPr>
            <w:tcW w:type="dxa" w:w="1872"/>
          </w:tcPr>
          <w:p>
            <w:r>
              <w:t>Course satisfaction</w:t>
            </w:r>
          </w:p>
        </w:tc>
        <w:tc>
          <w:tcPr>
            <w:tcW w:type="dxa" w:w="1872"/>
          </w:tcPr>
          <w:p>
            <w:r>
              <w:t>1-5</w:t>
            </w:r>
          </w:p>
        </w:tc>
        <w:tc>
          <w:tcPr>
            <w:tcW w:type="dxa" w:w="1872"/>
          </w:tcPr>
          <w:p>
            <w:r>
              <w:t>Satisfaction with course content, case relevance, teaching method, and perceived usefulness</w:t>
            </w:r>
          </w:p>
        </w:tc>
        <w:tc>
          <w:tcPr>
            <w:tcW w:type="dxa" w:w="1872"/>
          </w:tcPr>
          <w:p>
            <w:r>
              <w:t>Likert-scale items</w:t>
            </w:r>
          </w:p>
        </w:tc>
        <w:tc>
          <w:tcPr>
            <w:tcW w:type="dxa" w:w="1872"/>
          </w:tcPr>
          <w:p>
            <w:r>
              <w:t>Higher scores indicate greater course satisfaction</w:t>
            </w:r>
          </w:p>
        </w:tc>
      </w:tr>
    </w:tbl>
    <w:p/>
    <w:p>
      <w:pPr>
        <w:spacing w:line="360" w:lineRule="auto"/>
      </w:pPr>
      <w:r>
        <w:rPr>
          <w:b w:val="0"/>
        </w:rPr>
        <w:t>The same scoring framework was used before and after the intervention. If identical or highly similar items were used in both assessments, the possibility of test familiarity should be considered when interpreting the magnitude of improvement.</w:t>
      </w:r>
    </w:p>
    <w:p/>
    <w:p>
      <w:pPr>
        <w:pStyle w:val="Heading1"/>
      </w:pPr>
      <w:r>
        <w:t>Supplementary Table 4. Exploratory changes by grade</w:t>
      </w:r>
    </w:p>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r>
              <w:rPr>
                <w:b/>
              </w:rPr>
              <w:t>Outcome</w:t>
            </w:r>
          </w:p>
        </w:tc>
        <w:tc>
          <w:tcPr>
            <w:tcW w:type="dxa" w:w="2340"/>
          </w:tcPr>
          <w:p>
            <w:r>
              <w:rPr>
                <w:b/>
              </w:rPr>
              <w:t>Year 3 mean change (SD), n=39</w:t>
            </w:r>
          </w:p>
        </w:tc>
        <w:tc>
          <w:tcPr>
            <w:tcW w:type="dxa" w:w="2340"/>
          </w:tcPr>
          <w:p>
            <w:r>
              <w:rPr>
                <w:b/>
              </w:rPr>
              <w:t>Year 4 / internship mean change (SD), n=63</w:t>
            </w:r>
          </w:p>
        </w:tc>
        <w:tc>
          <w:tcPr>
            <w:tcW w:type="dxa" w:w="2340"/>
          </w:tcPr>
          <w:p>
            <w:r>
              <w:rPr>
                <w:b/>
              </w:rPr>
              <w:t>Between-group p value</w:t>
            </w:r>
          </w:p>
        </w:tc>
      </w:tr>
      <w:tr>
        <w:tc>
          <w:tcPr>
            <w:tcW w:type="dxa" w:w="2340"/>
          </w:tcPr>
          <w:p>
            <w:r>
              <w:t>Legal knowledge</w:t>
            </w:r>
          </w:p>
        </w:tc>
        <w:tc>
          <w:tcPr>
            <w:tcW w:type="dxa" w:w="2340"/>
          </w:tcPr>
          <w:p>
            <w:r>
              <w:t>30.12 (8.17)</w:t>
            </w:r>
          </w:p>
        </w:tc>
        <w:tc>
          <w:tcPr>
            <w:tcW w:type="dxa" w:w="2340"/>
          </w:tcPr>
          <w:p>
            <w:r>
              <w:t>29.74 (7.54)</w:t>
            </w:r>
          </w:p>
        </w:tc>
        <w:tc>
          <w:tcPr>
            <w:tcW w:type="dxa" w:w="2340"/>
          </w:tcPr>
          <w:p>
            <w:r>
              <w:t>0.812</w:t>
            </w:r>
          </w:p>
        </w:tc>
      </w:tr>
      <w:tr>
        <w:tc>
          <w:tcPr>
            <w:tcW w:type="dxa" w:w="2340"/>
          </w:tcPr>
          <w:p>
            <w:r>
              <w:t>Risk identification</w:t>
            </w:r>
          </w:p>
        </w:tc>
        <w:tc>
          <w:tcPr>
            <w:tcW w:type="dxa" w:w="2340"/>
          </w:tcPr>
          <w:p>
            <w:r>
              <w:t>27.31 (7.31)</w:t>
            </w:r>
          </w:p>
        </w:tc>
        <w:tc>
          <w:tcPr>
            <w:tcW w:type="dxa" w:w="2340"/>
          </w:tcPr>
          <w:p>
            <w:r>
              <w:t>26.52 (7.31)</w:t>
            </w:r>
          </w:p>
        </w:tc>
        <w:tc>
          <w:tcPr>
            <w:tcW w:type="dxa" w:w="2340"/>
          </w:tcPr>
          <w:p>
            <w:r>
              <w:t>0.601</w:t>
            </w:r>
          </w:p>
        </w:tc>
      </w:tr>
      <w:tr>
        <w:tc>
          <w:tcPr>
            <w:tcW w:type="dxa" w:w="2340"/>
          </w:tcPr>
          <w:p>
            <w:r>
              <w:t>Learning attitude</w:t>
            </w:r>
          </w:p>
        </w:tc>
        <w:tc>
          <w:tcPr>
            <w:tcW w:type="dxa" w:w="2340"/>
          </w:tcPr>
          <w:p>
            <w:r>
              <w:t>0.81 (0.27)</w:t>
            </w:r>
          </w:p>
        </w:tc>
        <w:tc>
          <w:tcPr>
            <w:tcW w:type="dxa" w:w="2340"/>
          </w:tcPr>
          <w:p>
            <w:r>
              <w:t>0.82 (0.27)</w:t>
            </w:r>
          </w:p>
        </w:tc>
        <w:tc>
          <w:tcPr>
            <w:tcW w:type="dxa" w:w="2340"/>
          </w:tcPr>
          <w:p>
            <w:r>
              <w:t>0.772</w:t>
            </w:r>
          </w:p>
        </w:tc>
      </w:tr>
      <w:tr>
        <w:tc>
          <w:tcPr>
            <w:tcW w:type="dxa" w:w="2340"/>
          </w:tcPr>
          <w:p>
            <w:r>
              <w:t>Course satisfaction</w:t>
            </w:r>
          </w:p>
        </w:tc>
        <w:tc>
          <w:tcPr>
            <w:tcW w:type="dxa" w:w="2340"/>
          </w:tcPr>
          <w:p>
            <w:r>
              <w:t>0.92 (0.24)</w:t>
            </w:r>
          </w:p>
        </w:tc>
        <w:tc>
          <w:tcPr>
            <w:tcW w:type="dxa" w:w="2340"/>
          </w:tcPr>
          <w:p>
            <w:r>
              <w:t>0.85 (0.26)</w:t>
            </w:r>
          </w:p>
        </w:tc>
        <w:tc>
          <w:tcPr>
            <w:tcW w:type="dxa" w:w="2340"/>
          </w:tcPr>
          <w:p>
            <w:r>
              <w:t>0.198</w:t>
            </w:r>
          </w:p>
        </w:tc>
      </w:tr>
    </w:tbl>
    <w:p/>
    <w:p>
      <w:pPr>
        <w:spacing w:line="360" w:lineRule="auto"/>
      </w:pPr>
      <w:r>
        <w:rPr>
          <w:b w:val="0"/>
        </w:rPr>
        <w:t>Welch's two-sample t tests were used for exploratory comparisons of change scores between grade groups. These analyses were not powered as primary subgroup comparisons and should be interpreted descriptively.</w:t>
      </w:r>
    </w:p>
    <w:p/>
    <w:p>
      <w:pPr>
        <w:pStyle w:val="Heading1"/>
      </w:pPr>
      <w:r>
        <w:t>Supplementary Table 5. Representative composite case vignette</w:t>
      </w:r>
    </w:p>
    <w:p/>
    <w:tbl>
      <w:tblPr>
        <w:tblStyle w:val="TableGrid"/>
        <w:tblW w:type="auto" w:w="0"/>
        <w:tblLook w:firstColumn="1" w:firstRow="1" w:lastColumn="0" w:lastRow="0" w:noHBand="0" w:noVBand="1" w:val="04A0"/>
      </w:tblPr>
      <w:tblGrid>
        <w:gridCol w:w="4680"/>
        <w:gridCol w:w="4680"/>
      </w:tblGrid>
      <w:tr>
        <w:tc>
          <w:tcPr>
            <w:tcW w:type="dxa" w:w="4680"/>
          </w:tcPr>
          <w:p>
            <w:r>
              <w:rPr>
                <w:b/>
              </w:rPr>
              <w:t>Element</w:t>
            </w:r>
          </w:p>
        </w:tc>
        <w:tc>
          <w:tcPr>
            <w:tcW w:type="dxa" w:w="4680"/>
          </w:tcPr>
          <w:p>
            <w:r>
              <w:rPr>
                <w:b/>
              </w:rPr>
              <w:t>Content</w:t>
            </w:r>
          </w:p>
        </w:tc>
      </w:tr>
      <w:tr>
        <w:tc>
          <w:tcPr>
            <w:tcW w:type="dxa" w:w="4680"/>
          </w:tcPr>
          <w:p>
            <w:r>
              <w:t>Case title</w:t>
            </w:r>
          </w:p>
        </w:tc>
        <w:tc>
          <w:tcPr>
            <w:tcW w:type="dxa" w:w="4680"/>
          </w:tcPr>
          <w:p>
            <w:r>
              <w:t>Insufficient risk disclosure and delayed response during rehabilitation training</w:t>
            </w:r>
          </w:p>
        </w:tc>
      </w:tr>
      <w:tr>
        <w:tc>
          <w:tcPr>
            <w:tcW w:type="dxa" w:w="4680"/>
          </w:tcPr>
          <w:p>
            <w:r>
              <w:t>Clinical setting</w:t>
            </w:r>
          </w:p>
        </w:tc>
        <w:tc>
          <w:tcPr>
            <w:tcW w:type="dxa" w:w="4680"/>
          </w:tcPr>
          <w:p>
            <w:r>
              <w:t>Inpatient rehabilitation ward during lower-limb functional training</w:t>
            </w:r>
          </w:p>
        </w:tc>
      </w:tr>
      <w:tr>
        <w:tc>
          <w:tcPr>
            <w:tcW w:type="dxa" w:w="4680"/>
          </w:tcPr>
          <w:p>
            <w:r>
              <w:t>Scenario</w:t>
            </w:r>
          </w:p>
        </w:tc>
        <w:tc>
          <w:tcPr>
            <w:tcW w:type="dxa" w:w="4680"/>
          </w:tcPr>
          <w:p>
            <w:r>
              <w:t>A patient recovering from neurological injury begins assisted gait and balance training under therapist supervision. Before treatment, the therapist briefly tells the patient that training will help walking ability but does not explain foreseeable risks such as fatigue, dizziness, fall risk, temporary pain aggravation, or the need to stop training when symptoms occur. During one session, the patient reports discomfort but continues training after encouragement. The next day, the family complains that the therapist did not explain the risk, did not respond adequately to discomfort, and did not document the episode clearly.</w:t>
            </w:r>
          </w:p>
        </w:tc>
      </w:tr>
      <w:tr>
        <w:tc>
          <w:tcPr>
            <w:tcW w:type="dxa" w:w="4680"/>
          </w:tcPr>
          <w:p>
            <w:r>
              <w:t>Student task</w:t>
            </w:r>
          </w:p>
        </w:tc>
        <w:tc>
          <w:tcPr>
            <w:tcW w:type="dxa" w:w="4680"/>
          </w:tcPr>
          <w:p>
            <w:r>
              <w:t>Identify the legal, ethical, communication, and documentation risks; decide what information should have been disclosed before treatment; propose how the therapist should communicate with the patient and family after the complaint; identify when a supervisor or multidisciplinary team member should be involved.</w:t>
            </w:r>
          </w:p>
        </w:tc>
      </w:tr>
      <w:tr>
        <w:tc>
          <w:tcPr>
            <w:tcW w:type="dxa" w:w="4680"/>
          </w:tcPr>
          <w:p>
            <w:r>
              <w:t>Key teaching points</w:t>
            </w:r>
          </w:p>
        </w:tc>
        <w:tc>
          <w:tcPr>
            <w:tcW w:type="dxa" w:w="4680"/>
          </w:tcPr>
          <w:p>
            <w:r>
              <w:t>Risk disclosure should be specific to the rehabilitation procedure; patient understanding and willingness should be checked; discomfort or adverse responses should be documented; complaints should be handled through timely explanation, escalation, and appropriate institutional procedures.</w:t>
            </w:r>
          </w:p>
        </w:tc>
      </w:tr>
      <w:tr>
        <w:tc>
          <w:tcPr>
            <w:tcW w:type="dxa" w:w="4680"/>
          </w:tcPr>
          <w:p>
            <w:r>
              <w:t>Intended learning outcome</w:t>
            </w:r>
          </w:p>
        </w:tc>
        <w:tc>
          <w:tcPr>
            <w:tcW w:type="dxa" w:w="4680"/>
          </w:tcPr>
          <w:p>
            <w:r>
              <w:t>Students should connect informed consent, risk disclosure, documentation, and communication into a practical dispute-prevention workflow.</w:t>
            </w:r>
          </w:p>
        </w:tc>
      </w:tr>
    </w:tbl>
    <w:p/>
    <w:p>
      <w:pPr>
        <w:spacing w:line="360" w:lineRule="auto"/>
      </w:pPr>
      <w:r>
        <w:rPr>
          <w:b w:val="0"/>
        </w:rPr>
        <w:t>This vignette is a composite teaching example based on common rehabilitation-related medico-legal issues and is not a description of an identifiable patient.</w:t>
      </w:r>
    </w:p>
    <w:p/>
    <w:p>
      <w:pPr>
        <w:pStyle w:val="Heading1"/>
      </w:pPr>
      <w:r>
        <w:t>Supplementary Table 6. Scoring rubric excerpt for scenario-based risk identification</w:t>
      </w:r>
    </w:p>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r>
              <w:rPr>
                <w:b/>
              </w:rPr>
              <w:t>Scoring domain</w:t>
            </w:r>
          </w:p>
        </w:tc>
        <w:tc>
          <w:tcPr>
            <w:tcW w:type="dxa" w:w="2340"/>
          </w:tcPr>
          <w:p>
            <w:r>
              <w:rPr>
                <w:b/>
              </w:rPr>
              <w:t>Full-credit response characteristics</w:t>
            </w:r>
          </w:p>
        </w:tc>
        <w:tc>
          <w:tcPr>
            <w:tcW w:type="dxa" w:w="2340"/>
          </w:tcPr>
          <w:p>
            <w:r>
              <w:rPr>
                <w:b/>
              </w:rPr>
              <w:t>Partial-credit response characteristics</w:t>
            </w:r>
          </w:p>
        </w:tc>
        <w:tc>
          <w:tcPr>
            <w:tcW w:type="dxa" w:w="2340"/>
          </w:tcPr>
          <w:p>
            <w:r>
              <w:rPr>
                <w:b/>
              </w:rPr>
              <w:t>No-credit response characteristics</w:t>
            </w:r>
          </w:p>
        </w:tc>
      </w:tr>
      <w:tr>
        <w:tc>
          <w:tcPr>
            <w:tcW w:type="dxa" w:w="2340"/>
          </w:tcPr>
          <w:p>
            <w:r>
              <w:t>Risk disclosure</w:t>
            </w:r>
          </w:p>
        </w:tc>
        <w:tc>
          <w:tcPr>
            <w:tcW w:type="dxa" w:w="2340"/>
          </w:tcPr>
          <w:p>
            <w:r>
              <w:t>Identifies procedure-specific foreseeable risks, explains the need to communicate risks before intervention, and recognizes the need to confirm patient understanding</w:t>
            </w:r>
          </w:p>
        </w:tc>
        <w:tc>
          <w:tcPr>
            <w:tcW w:type="dxa" w:w="2340"/>
          </w:tcPr>
          <w:p>
            <w:r>
              <w:t>Mentions risk disclosure generally but does not specify timing, procedure-specific risks, or patient understanding</w:t>
            </w:r>
          </w:p>
        </w:tc>
        <w:tc>
          <w:tcPr>
            <w:tcW w:type="dxa" w:w="2340"/>
          </w:tcPr>
          <w:p>
            <w:r>
              <w:t>Does not identify missing risk disclosure</w:t>
            </w:r>
          </w:p>
        </w:tc>
      </w:tr>
      <w:tr>
        <w:tc>
          <w:tcPr>
            <w:tcW w:type="dxa" w:w="2340"/>
          </w:tcPr>
          <w:p>
            <w:r>
              <w:t>Patient communication</w:t>
            </w:r>
          </w:p>
        </w:tc>
        <w:tc>
          <w:tcPr>
            <w:tcW w:type="dxa" w:w="2340"/>
          </w:tcPr>
          <w:p>
            <w:r>
              <w:t>Proposes clear, respectful explanation to the patient or family, acknowledges concerns, avoids defensive language, and seeks shared understanding</w:t>
            </w:r>
          </w:p>
        </w:tc>
        <w:tc>
          <w:tcPr>
            <w:tcW w:type="dxa" w:w="2340"/>
          </w:tcPr>
          <w:p>
            <w:r>
              <w:t>Proposes communication but focuses mainly on reassurance or apology without clarifying facts and expectations</w:t>
            </w:r>
          </w:p>
        </w:tc>
        <w:tc>
          <w:tcPr>
            <w:tcW w:type="dxa" w:w="2340"/>
          </w:tcPr>
          <w:p>
            <w:r>
              <w:t>Does not propose patient or family communication</w:t>
            </w:r>
          </w:p>
        </w:tc>
      </w:tr>
      <w:tr>
        <w:tc>
          <w:tcPr>
            <w:tcW w:type="dxa" w:w="2340"/>
          </w:tcPr>
          <w:p>
            <w:r>
              <w:t>Documentation</w:t>
            </w:r>
          </w:p>
        </w:tc>
        <w:tc>
          <w:tcPr>
            <w:tcW w:type="dxa" w:w="2340"/>
          </w:tcPr>
          <w:p>
            <w:r>
              <w:t>Notes the need to document discomfort, therapist response, patient decision, and follow-up plan</w:t>
            </w:r>
          </w:p>
        </w:tc>
        <w:tc>
          <w:tcPr>
            <w:tcW w:type="dxa" w:w="2340"/>
          </w:tcPr>
          <w:p>
            <w:r>
              <w:t>Mentions documentation generally but omits key elements</w:t>
            </w:r>
          </w:p>
        </w:tc>
        <w:tc>
          <w:tcPr>
            <w:tcW w:type="dxa" w:w="2340"/>
          </w:tcPr>
          <w:p>
            <w:r>
              <w:t>Does not mention documentation</w:t>
            </w:r>
          </w:p>
        </w:tc>
      </w:tr>
      <w:tr>
        <w:tc>
          <w:tcPr>
            <w:tcW w:type="dxa" w:w="2340"/>
          </w:tcPr>
          <w:p>
            <w:r>
              <w:t>Escalation and team response</w:t>
            </w:r>
          </w:p>
        </w:tc>
        <w:tc>
          <w:tcPr>
            <w:tcW w:type="dxa" w:w="2340"/>
          </w:tcPr>
          <w:p>
            <w:r>
              <w:t>Recognizes when to involve a supervisor, clinical teacher, physician, or institutional dispute-management process</w:t>
            </w:r>
          </w:p>
        </w:tc>
        <w:tc>
          <w:tcPr>
            <w:tcW w:type="dxa" w:w="2340"/>
          </w:tcPr>
          <w:p>
            <w:r>
              <w:t>Mentions asking for help but does not specify appropriate escalation pathway</w:t>
            </w:r>
          </w:p>
        </w:tc>
        <w:tc>
          <w:tcPr>
            <w:tcW w:type="dxa" w:w="2340"/>
          </w:tcPr>
          <w:p>
            <w:r>
              <w:t>Treats the issue as the individual therapist's problem only</w:t>
            </w:r>
          </w:p>
        </w:tc>
      </w:tr>
      <w:tr>
        <w:tc>
          <w:tcPr>
            <w:tcW w:type="dxa" w:w="2340"/>
          </w:tcPr>
          <w:p>
            <w:r>
              <w:t>Professional boundaries</w:t>
            </w:r>
          </w:p>
        </w:tc>
        <w:tc>
          <w:tcPr>
            <w:tcW w:type="dxa" w:w="2340"/>
          </w:tcPr>
          <w:p>
            <w:r>
              <w:t>Recognizes limits of student/therapist authority and the need to act within supervised rehabilitation practice</w:t>
            </w:r>
          </w:p>
        </w:tc>
        <w:tc>
          <w:tcPr>
            <w:tcW w:type="dxa" w:w="2340"/>
          </w:tcPr>
          <w:p>
            <w:r>
              <w:t>Mentions supervision but not professional boundary implications</w:t>
            </w:r>
          </w:p>
        </w:tc>
        <w:tc>
          <w:tcPr>
            <w:tcW w:type="dxa" w:w="2340"/>
          </w:tcPr>
          <w:p>
            <w:r>
              <w:t>Ignores scope of practice and supervision</w:t>
            </w:r>
          </w:p>
        </w:tc>
      </w:tr>
    </w:tbl>
    <w:p/>
    <w:p>
      <w:pPr>
        <w:spacing w:line="360" w:lineRule="auto"/>
      </w:pPr>
      <w:r>
        <w:rPr>
          <w:b w:val="0"/>
        </w:rPr>
        <w:t>The rubric excerpt illustrates the scoring logic used for course-aligned scenario-based assessment. The analysis dataset available for this manuscript contained domain-level scores only, so item-level reliability statistics could not be calculated.</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