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53F4" w14:textId="77777777" w:rsidR="00AF0F03" w:rsidRDefault="00000000">
      <w:pPr>
        <w:pStyle w:val="1"/>
        <w:spacing w:before="240" w:after="120"/>
      </w:pPr>
      <w:r>
        <w:rPr>
          <w:rFonts w:eastAsia="Times New Roman"/>
          <w:b/>
          <w:bCs/>
          <w:color w:val="1F3864"/>
          <w:sz w:val="28"/>
          <w:szCs w:val="28"/>
        </w:rPr>
        <w:t>SUPPLEMENTARY MATERIALS</w:t>
      </w:r>
    </w:p>
    <w:p w14:paraId="1F6FA869" w14:textId="77777777" w:rsidR="00AF0F03" w:rsidRDefault="00000000">
      <w:pPr>
        <w:spacing w:before="100" w:after="120" w:line="360" w:lineRule="auto"/>
        <w:jc w:val="both"/>
      </w:pPr>
      <w:r>
        <w:rPr>
          <w:rFonts w:eastAsia="Times New Roman"/>
        </w:rPr>
        <w:t>Article: Early Physiological Trajectory-Based Phenotyping in Surgical Intensive Care Unit Patients: A Gaussian Mixture Modeling Approach</w:t>
      </w:r>
    </w:p>
    <w:p w14:paraId="24C807DD" w14:textId="65120F7E" w:rsidR="00AF0F03" w:rsidRDefault="00000000" w:rsidP="008B6AFA">
      <w:r>
        <w:rPr>
          <w:rFonts w:eastAsia="Times New Roman"/>
          <w:b/>
          <w:bCs/>
          <w:color w:val="2E75B6"/>
          <w:sz w:val="26"/>
          <w:szCs w:val="26"/>
        </w:rPr>
        <w:t>Table S1. Full List of Data Tables and Variables</w:t>
      </w:r>
    </w:p>
    <w:tbl>
      <w:tblPr>
        <w:tblW w:w="6500" w:type="dxa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5"/>
        <w:gridCol w:w="869"/>
        <w:gridCol w:w="2531"/>
        <w:gridCol w:w="1375"/>
      </w:tblGrid>
      <w:tr w:rsidR="00AF0F03" w14:paraId="004D8420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bottom w:val="single" w:sz="1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E272F1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Source Table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60503C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Size</w:t>
            </w:r>
          </w:p>
        </w:tc>
        <w:tc>
          <w:tcPr>
            <w:tcW w:w="2600" w:type="dxa"/>
            <w:tcBorders>
              <w:bottom w:val="single" w:sz="1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F2C89E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Key Variables</w:t>
            </w:r>
          </w:p>
        </w:tc>
        <w:tc>
          <w:tcPr>
            <w:tcW w:w="1400" w:type="dxa"/>
            <w:tcBorders>
              <w:bottom w:val="single" w:sz="12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071F6D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Purpose</w:t>
            </w:r>
          </w:p>
        </w:tc>
      </w:tr>
      <w:tr w:rsidR="00AF0F03" w14:paraId="304E3FB2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D265D7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patients.csv</w:t>
            </w:r>
          </w:p>
        </w:tc>
        <w:tc>
          <w:tcPr>
            <w:tcW w:w="900" w:type="dxa"/>
            <w:tcBorders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99B502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3.9 MB</w:t>
            </w:r>
          </w:p>
        </w:tc>
        <w:tc>
          <w:tcPr>
            <w:tcW w:w="2600" w:type="dxa"/>
            <w:tcBorders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C1F606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demographics, diagnosis, admission/discharge time</w:t>
            </w:r>
          </w:p>
        </w:tc>
        <w:tc>
          <w:tcPr>
            <w:tcW w:w="1400" w:type="dxa"/>
            <w:tcBorders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083E64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Patient ID, outcomes</w:t>
            </w:r>
          </w:p>
        </w:tc>
      </w:tr>
      <w:tr w:rsidR="00AF0F03" w14:paraId="3A058C5E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EE6070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bedside.csv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F67B30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5.5 GB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E09364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TEMP, CVP, FB at minute resolution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832A95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Primary trajectory vars</w:t>
            </w:r>
          </w:p>
        </w:tc>
      </w:tr>
      <w:tr w:rsidR="00AF0F03" w14:paraId="5805E774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E6BDC1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xueTang.csv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0A5328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3.5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24E84C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Blood glucose (GLU)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F0700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Glycemic trajectory</w:t>
            </w:r>
          </w:p>
        </w:tc>
      </w:tr>
      <w:tr w:rsidR="00AF0F03" w14:paraId="3CA19D7C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8D3836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bGATemp.csv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B25F1C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91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F799CC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ABG parameters, FiO2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D42524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Oxygenation data</w:t>
            </w:r>
          </w:p>
        </w:tc>
      </w:tr>
      <w:tr w:rsidR="00AF0F03" w14:paraId="66B21A94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237BDC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scoreNurse.csv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536A49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63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213150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APACHE II total (scoreType=apacheII)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6D85C8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Severity validation</w:t>
            </w:r>
          </w:p>
        </w:tc>
      </w:tr>
      <w:tr w:rsidR="00AF0F03" w14:paraId="7A20FBB6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B28032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drugUsage.csv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ECF59A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115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96DCF4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Medication records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A74579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  <w:tr w:rsidR="00AF0F03" w14:paraId="3D8D6758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655D44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nurse.csv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B7E61F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106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042D19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Nursing notes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42D90C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  <w:tr w:rsidR="00AF0F03" w14:paraId="7D9F3502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C26778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nurseExe.csv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0851E4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986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3A75DE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Nursing execution records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C8778D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  <w:tr w:rsidR="00AF0F03" w14:paraId="6EBD1920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C1974B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yaoDay.csv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D604F8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231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89671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Daily medication orders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441A99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  <w:tr w:rsidR="00AF0F03" w14:paraId="6B3F1983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79CDA5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yaoExe.csv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D317DF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1004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479330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Medication execution records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E675B8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  <w:tr w:rsidR="00AF0F03" w14:paraId="3C5E2261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C2B897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tubeExe.csv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305864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583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BBBE95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Tube/drainage records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8B3432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  <w:tr w:rsidR="00AF0F03" w14:paraId="492D5439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59B045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deviceCap.csv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CBF00D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194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C50A47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Device records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28115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  <w:tr w:rsidR="00AF0F03" w14:paraId="1366CB75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04FBF3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jiaoBanRecord.csv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429309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31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0FA08D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Shift handover records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8F2AB9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  <w:tr w:rsidR="00AF0F03" w14:paraId="7F0A8D16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980F95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huLiPingGu.csv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9ABD4B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0.3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5CAAE2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Nursing assessment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14624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  <w:tr w:rsidR="00AF0F03" w14:paraId="6ACAE02C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D382A5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account.csv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47E550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0.05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34DAB8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Staff accounts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B7A89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  <w:tr w:rsidR="00AF0F03" w14:paraId="4F9A1BED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06F0D9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yueSuTongYi.csv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5267DC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0.4 MB</w:t>
            </w:r>
          </w:p>
        </w:tc>
        <w:tc>
          <w:tcPr>
            <w:tcW w:w="26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673127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Restraint consent forms</w:t>
            </w:r>
          </w:p>
        </w:tc>
        <w:tc>
          <w:tcPr>
            <w:tcW w:w="1400" w:type="dxa"/>
            <w:tcBorders>
              <w:top w:val="nil"/>
              <w:bottom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D54A8E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  <w:tr w:rsidR="00AF0F03" w14:paraId="252AA353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2E33FA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zuZhangZhiKong.csv</w:t>
            </w:r>
          </w:p>
        </w:tc>
        <w:tc>
          <w:tcPr>
            <w:tcW w:w="900" w:type="dxa"/>
            <w:tcBorders>
              <w:top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8CF8B5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696 MB</w:t>
            </w:r>
          </w:p>
        </w:tc>
        <w:tc>
          <w:tcPr>
            <w:tcW w:w="2600" w:type="dxa"/>
            <w:tcBorders>
              <w:top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2DE708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Quality control records</w:t>
            </w:r>
          </w:p>
        </w:tc>
        <w:tc>
          <w:tcPr>
            <w:tcW w:w="1400" w:type="dxa"/>
            <w:tcBorders>
              <w:top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050F58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Not used</w:t>
            </w:r>
          </w:p>
        </w:tc>
      </w:tr>
    </w:tbl>
    <w:p w14:paraId="6FC86065" w14:textId="77777777" w:rsidR="00AF0F03" w:rsidRDefault="00AF0F03">
      <w:pPr>
        <w:spacing w:after="120" w:line="360" w:lineRule="auto"/>
        <w:jc w:val="both"/>
      </w:pPr>
    </w:p>
    <w:p w14:paraId="7526FA33" w14:textId="77777777" w:rsidR="00AF0F03" w:rsidRDefault="00000000">
      <w:pPr>
        <w:pStyle w:val="2"/>
        <w:spacing w:before="180" w:after="80"/>
      </w:pPr>
      <w:r>
        <w:rPr>
          <w:rFonts w:eastAsia="Times New Roman"/>
          <w:b/>
          <w:bCs/>
          <w:color w:val="2E75B6"/>
        </w:rPr>
        <w:t>Table S2. Missing Data Proportions</w:t>
      </w:r>
    </w:p>
    <w:tbl>
      <w:tblPr>
        <w:tblW w:w="6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1700"/>
        <w:gridCol w:w="1700"/>
        <w:gridCol w:w="1800"/>
      </w:tblGrid>
      <w:tr w:rsidR="00AF0F03" w14:paraId="3F1D0F53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596BF0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7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8EC84E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Pre-imputation %</w:t>
            </w:r>
          </w:p>
        </w:tc>
        <w:tc>
          <w:tcPr>
            <w:tcW w:w="17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A72464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Post-imputation %</w:t>
            </w:r>
          </w:p>
        </w:tc>
        <w:tc>
          <w:tcPr>
            <w:tcW w:w="18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2BD1D1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Method</w:t>
            </w:r>
          </w:p>
        </w:tc>
      </w:tr>
      <w:tr w:rsidR="00AF0F03" w14:paraId="205EE440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E1B92B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TEMP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89948A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28.4 (12.1-45.7)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145DE1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626238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Linear interp + ffill/bfill</w:t>
            </w:r>
          </w:p>
        </w:tc>
      </w:tr>
      <w:tr w:rsidR="00AF0F03" w14:paraId="3FBB843C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671FEC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CVP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40952C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35.2 (18.3-52.6)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A79D51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4AE837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Linear interp + ffill/bfill</w:t>
            </w:r>
          </w:p>
        </w:tc>
      </w:tr>
      <w:tr w:rsidR="00AF0F03" w14:paraId="5D10E6F3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CCCE1C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FB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0BD99F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31.8 (15.0-48.9)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A86D40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73E47A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Linear interp + ffill/bfill</w:t>
            </w:r>
          </w:p>
        </w:tc>
      </w:tr>
      <w:tr w:rsidR="00AF0F03" w14:paraId="272C9A9C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78CED1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GLU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A32042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62.5 (42.1-78.3)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197964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52BD14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Linear interp + ffill/bfill</w:t>
            </w:r>
          </w:p>
        </w:tc>
      </w:tr>
    </w:tbl>
    <w:p w14:paraId="75340D30" w14:textId="77777777" w:rsidR="00AF0F03" w:rsidRDefault="00000000">
      <w:pPr>
        <w:spacing w:after="200" w:line="360" w:lineRule="auto"/>
        <w:jc w:val="both"/>
      </w:pPr>
      <w:r>
        <w:rPr>
          <w:rFonts w:eastAsia="Times New Roman"/>
        </w:rPr>
        <w:t>Missing rates highest for GLU due to intermittent POC testing. Imputation produced complete 72x4=288-dim matrix. Sensitivity analyses using LOCF/median imputation showed &gt;94% agreement.</w:t>
      </w:r>
    </w:p>
    <w:p w14:paraId="3336665F" w14:textId="77777777" w:rsidR="006E2E44" w:rsidRDefault="006E2E44">
      <w:pPr>
        <w:pStyle w:val="2"/>
        <w:spacing w:before="180" w:after="80"/>
        <w:rPr>
          <w:b/>
          <w:bCs/>
          <w:color w:val="2E75B6"/>
        </w:rPr>
      </w:pPr>
    </w:p>
    <w:p w14:paraId="587D5D8A" w14:textId="77777777" w:rsidR="006E2E44" w:rsidRDefault="006E2E44">
      <w:pPr>
        <w:pStyle w:val="2"/>
        <w:spacing w:before="180" w:after="80"/>
        <w:rPr>
          <w:rFonts w:hint="eastAsia"/>
          <w:b/>
          <w:bCs/>
          <w:color w:val="2E75B6"/>
        </w:rPr>
      </w:pPr>
    </w:p>
    <w:p w14:paraId="68EAE551" w14:textId="00BC7266" w:rsidR="00AF0F03" w:rsidRDefault="00000000">
      <w:pPr>
        <w:pStyle w:val="2"/>
        <w:spacing w:before="180" w:after="80"/>
      </w:pPr>
      <w:r>
        <w:rPr>
          <w:rFonts w:eastAsia="Times New Roman"/>
          <w:b/>
          <w:bCs/>
          <w:color w:val="2E75B6"/>
        </w:rPr>
        <w:t>Table S3. PCA Loading Matrix for First Five Principal Components</w:t>
      </w:r>
    </w:p>
    <w:tbl>
      <w:tblPr>
        <w:tblW w:w="7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100"/>
        <w:gridCol w:w="1100"/>
        <w:gridCol w:w="1100"/>
        <w:gridCol w:w="1100"/>
        <w:gridCol w:w="1100"/>
      </w:tblGrid>
      <w:tr w:rsidR="00AF0F03" w14:paraId="3847F331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6C506F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1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567D67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PC1</w:t>
            </w:r>
          </w:p>
        </w:tc>
        <w:tc>
          <w:tcPr>
            <w:tcW w:w="11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15B269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PC2</w:t>
            </w:r>
          </w:p>
        </w:tc>
        <w:tc>
          <w:tcPr>
            <w:tcW w:w="11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6A1F63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PC3</w:t>
            </w:r>
          </w:p>
        </w:tc>
        <w:tc>
          <w:tcPr>
            <w:tcW w:w="11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43107B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PC4</w:t>
            </w:r>
          </w:p>
        </w:tc>
        <w:tc>
          <w:tcPr>
            <w:tcW w:w="11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DBE75F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PC5</w:t>
            </w:r>
          </w:p>
        </w:tc>
      </w:tr>
      <w:tr w:rsidR="00AF0F03" w14:paraId="5CB34531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4963CF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TEMP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86E135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0.07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7A5C0A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0.32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299E6F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-0.05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AFE802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0.08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646CEB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0.11</w:t>
            </w:r>
          </w:p>
        </w:tc>
      </w:tr>
      <w:tr w:rsidR="00AF0F03" w14:paraId="2AEEC5F0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725020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CVP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78C7F9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9C67F6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4D0D4C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042102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-0.04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732212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0.06</w:t>
            </w:r>
          </w:p>
        </w:tc>
      </w:tr>
      <w:tr w:rsidR="00AF0F03" w14:paraId="5C9D86A8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2C40E9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FB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C2F161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B2DBB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-0.05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A3241E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AD4E51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A254D7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-0.03</w:t>
            </w:r>
          </w:p>
        </w:tc>
      </w:tr>
      <w:tr w:rsidR="00AF0F03" w14:paraId="7EA55BF1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43D0F8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GLU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B49030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0C4FF7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6477FE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5C2D22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3C2D5E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-0.07</w:t>
            </w:r>
          </w:p>
        </w:tc>
      </w:tr>
      <w:tr w:rsidR="00AF0F03" w14:paraId="773FED28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C53140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Cum. Var. (%)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FF321A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56.2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31DEB8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83.7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3A196D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90.5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EE49AE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93.6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8D854E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95.6</w:t>
            </w:r>
          </w:p>
        </w:tc>
      </w:tr>
    </w:tbl>
    <w:p w14:paraId="6A79FFFB" w14:textId="77777777" w:rsidR="00AF0F03" w:rsidRDefault="00000000">
      <w:pPr>
        <w:spacing w:after="200" w:line="360" w:lineRule="auto"/>
        <w:jc w:val="both"/>
      </w:pPr>
      <w:r>
        <w:rPr>
          <w:rFonts w:eastAsia="Times New Roman"/>
        </w:rPr>
        <w:t>PC1 dominated by FB dynamics; PC2 by TEMP; PC3 by CVP; PC4 by GLU trajectories.</w:t>
      </w:r>
    </w:p>
    <w:p w14:paraId="655E221D" w14:textId="77777777" w:rsidR="00AF0F03" w:rsidRDefault="00000000">
      <w:pPr>
        <w:pStyle w:val="2"/>
        <w:spacing w:before="180" w:after="80"/>
      </w:pPr>
      <w:r>
        <w:rPr>
          <w:rFonts w:eastAsia="Times New Roman"/>
          <w:b/>
          <w:bCs/>
          <w:color w:val="2E75B6"/>
        </w:rPr>
        <w:t>Table S4. GMM Parameters for K = 5 Model</w:t>
      </w:r>
    </w:p>
    <w:tbl>
      <w:tblPr>
        <w:tblW w:w="7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1200"/>
        <w:gridCol w:w="1200"/>
        <w:gridCol w:w="1200"/>
        <w:gridCol w:w="1200"/>
        <w:gridCol w:w="1200"/>
      </w:tblGrid>
      <w:tr w:rsidR="00AF0F03" w14:paraId="4693877C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4F9BE2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1C15C6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G1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7C439D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G2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3AD372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G3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CEAE88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G4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0A6362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G5</w:t>
            </w:r>
          </w:p>
        </w:tc>
      </w:tr>
      <w:tr w:rsidR="00AF0F03" w14:paraId="09EE1473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C17491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Mixing weight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A1B452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0.456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8F78DE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0.097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1CB6A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0.206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976AD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0.140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E9F1CC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0.101</w:t>
            </w:r>
          </w:p>
        </w:tc>
      </w:tr>
      <w:tr w:rsidR="00AF0F03" w14:paraId="1A417D1F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93447D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Cluster size (n)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B7388A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1,593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00EAC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338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3B1281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721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41CCA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488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5440A9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353</w:t>
            </w:r>
          </w:p>
        </w:tc>
      </w:tr>
      <w:tr w:rsidR="00AF0F03" w14:paraId="10139B2F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69CD20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Mean silhouette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EF2DAD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B812A5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B04B1D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0.154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3E6516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0.098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B8D6C2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0.121</w:t>
            </w:r>
          </w:p>
        </w:tc>
      </w:tr>
    </w:tbl>
    <w:p w14:paraId="5B351138" w14:textId="77777777" w:rsidR="00AF0F03" w:rsidRDefault="00000000">
      <w:pPr>
        <w:spacing w:after="200" w:line="360" w:lineRule="auto"/>
        <w:jc w:val="both"/>
      </w:pPr>
      <w:r>
        <w:rPr>
          <w:rFonts w:eastAsia="Times New Roman"/>
        </w:rPr>
        <w:t>Full covariance matrices; EM convergence tol=1e-3, max iter=1000. Ten random init per K, best log-likelihood retained.</w:t>
      </w:r>
    </w:p>
    <w:p w14:paraId="1DE2858F" w14:textId="77777777" w:rsidR="00AF0F03" w:rsidRDefault="00000000">
      <w:pPr>
        <w:pStyle w:val="2"/>
        <w:spacing w:before="180" w:after="80"/>
      </w:pPr>
      <w:r>
        <w:rPr>
          <w:rFonts w:eastAsia="Times New Roman"/>
          <w:b/>
          <w:bCs/>
          <w:color w:val="2E75B6"/>
        </w:rPr>
        <w:t>Table S5. Sensitivity Analysis: K = 4 and K = 6</w:t>
      </w:r>
    </w:p>
    <w:tbl>
      <w:tblPr>
        <w:tblW w:w="6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300"/>
        <w:gridCol w:w="2200"/>
        <w:gridCol w:w="2000"/>
      </w:tblGrid>
      <w:tr w:rsidR="00AF0F03" w14:paraId="243DB296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2A8E3A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9F0149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BIC</w:t>
            </w:r>
          </w:p>
        </w:tc>
        <w:tc>
          <w:tcPr>
            <w:tcW w:w="2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0152E4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Groups</w:t>
            </w:r>
          </w:p>
        </w:tc>
        <w:tc>
          <w:tcPr>
            <w:tcW w:w="20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D5DAF5" w14:textId="77777777" w:rsidR="00AF0F03" w:rsidRDefault="00000000">
            <w:r>
              <w:rPr>
                <w:rFonts w:eastAsia="Times New Roman"/>
                <w:b/>
                <w:bCs/>
                <w:sz w:val="18"/>
                <w:szCs w:val="18"/>
              </w:rPr>
              <w:t>Agreement with K=5</w:t>
            </w:r>
          </w:p>
        </w:tc>
      </w:tr>
      <w:tr w:rsidR="00AF0F03" w14:paraId="2DC14BBE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F8E634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K = 4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A43E3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1,310,200</w:t>
            </w:r>
          </w:p>
        </w:tc>
        <w:tc>
          <w:tcPr>
            <w:tcW w:w="22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F2CDD2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G4 merged into G2</w:t>
            </w:r>
          </w:p>
        </w:tc>
        <w:tc>
          <w:tcPr>
            <w:tcW w:w="20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CEB9F8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G2:78.4%, G1:92.1%, G3:88.6%, G5:85.2%</w:t>
            </w:r>
          </w:p>
        </w:tc>
      </w:tr>
      <w:tr w:rsidR="00AF0F03" w14:paraId="66914A4D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837A2F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K =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F345D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1,294,830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CA8717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5 groups (chosen)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AD7C96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Reference</w:t>
            </w:r>
          </w:p>
        </w:tc>
      </w:tr>
      <w:tr w:rsidR="00AF0F03" w14:paraId="6C4C2318" w14:textId="77777777" w:rsidTr="006E2E4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DC5492" w14:textId="77777777" w:rsidR="00AF0F03" w:rsidRDefault="00000000">
            <w:r>
              <w:rPr>
                <w:rFonts w:eastAsia="Times New Roman"/>
                <w:sz w:val="18"/>
                <w:szCs w:val="18"/>
              </w:rPr>
              <w:t>K =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A554C3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1,302,000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B169BA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G2 splits into G2a/G2b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31B07A" w14:textId="77777777" w:rsidR="00AF0F03" w:rsidRDefault="00000000">
            <w:pPr>
              <w:jc w:val="center"/>
            </w:pPr>
            <w:r>
              <w:rPr>
                <w:rFonts w:eastAsia="Times New Roman"/>
                <w:sz w:val="18"/>
                <w:szCs w:val="18"/>
              </w:rPr>
              <w:t>G1:91.3%, G3:87.9%, G4:84.5%, G5:86.1%</w:t>
            </w:r>
          </w:p>
        </w:tc>
      </w:tr>
    </w:tbl>
    <w:p w14:paraId="3FEB3A58" w14:textId="77777777" w:rsidR="00AF0F03" w:rsidRDefault="00000000">
      <w:pPr>
        <w:spacing w:after="200" w:line="360" w:lineRule="auto"/>
        <w:jc w:val="both"/>
      </w:pPr>
      <w:r>
        <w:rPr>
          <w:rFonts w:eastAsia="Times New Roman"/>
        </w:rPr>
        <w:t>K=4 fails to separate G4; K=6 introduces subdivision without improving interpretability. K=5 optimal.</w:t>
      </w:r>
    </w:p>
    <w:p w14:paraId="6D774887" w14:textId="0DCAA1E8" w:rsidR="00AF0F03" w:rsidRDefault="00000000" w:rsidP="008B6AFA">
      <w:r>
        <w:rPr>
          <w:rFonts w:eastAsia="Times New Roman"/>
          <w:b/>
          <w:bCs/>
          <w:color w:val="1F3864"/>
          <w:sz w:val="28"/>
          <w:szCs w:val="28"/>
        </w:rPr>
        <w:t>SUPPLEMENTARY METHODS</w:t>
      </w:r>
    </w:p>
    <w:p w14:paraId="14265AB5" w14:textId="77777777" w:rsidR="00AF0F03" w:rsidRDefault="00000000">
      <w:pPr>
        <w:pStyle w:val="2"/>
        <w:spacing w:before="180" w:after="80"/>
      </w:pPr>
      <w:r>
        <w:rPr>
          <w:rFonts w:eastAsia="Times New Roman"/>
          <w:b/>
          <w:bCs/>
          <w:color w:val="2E75B6"/>
        </w:rPr>
        <w:t>S1. Python Environment and Package Versions</w:t>
      </w:r>
    </w:p>
    <w:p w14:paraId="1E728861" w14:textId="77777777" w:rsidR="00AF0F03" w:rsidRDefault="00000000">
      <w:pPr>
        <w:spacing w:after="120" w:line="360" w:lineRule="auto"/>
        <w:jc w:val="both"/>
      </w:pPr>
      <w:r>
        <w:rPr>
          <w:rFonts w:eastAsia="Times New Roman"/>
        </w:rPr>
        <w:t>All analyses: Python 3.13. Key packages: numpy 1.26+, pandas 2.0+, scikit-learn 1.3+ (PCA, GaussianMixture), scipy 1.11+, statsmodels 0.14+, lifelines 0.27+, matplotlib 3.8+.</w:t>
      </w:r>
    </w:p>
    <w:p w14:paraId="2AE6B4AD" w14:textId="77777777" w:rsidR="00AF0F03" w:rsidRDefault="00000000">
      <w:pPr>
        <w:pStyle w:val="2"/>
        <w:spacing w:before="180" w:after="80"/>
      </w:pPr>
      <w:r>
        <w:rPr>
          <w:rFonts w:eastAsia="Times New Roman"/>
          <w:b/>
          <w:bCs/>
          <w:color w:val="2E75B6"/>
        </w:rPr>
        <w:t>S2. Bed-to-Patient Bridge for FiO2 Data</w:t>
      </w:r>
    </w:p>
    <w:p w14:paraId="6FAE169A" w14:textId="77777777" w:rsidR="00AF0F03" w:rsidRDefault="00000000">
      <w:pPr>
        <w:spacing w:after="120" w:line="360" w:lineRule="auto"/>
        <w:jc w:val="both"/>
      </w:pPr>
      <w:r>
        <w:rPr>
          <w:rFonts w:eastAsia="Times New Roman"/>
        </w:rPr>
        <w:t>The bGATemp.csv table records by bed ID. A bridge was constructed by matching bed IDs from bedside.csv to patient IDs using overlapping admission-discharge time windows.</w:t>
      </w:r>
    </w:p>
    <w:p w14:paraId="04A61646" w14:textId="77777777" w:rsidR="00AF0F03" w:rsidRDefault="00000000">
      <w:pPr>
        <w:pStyle w:val="2"/>
        <w:spacing w:before="180" w:after="80"/>
      </w:pPr>
      <w:r>
        <w:rPr>
          <w:rFonts w:eastAsia="Times New Roman"/>
          <w:b/>
          <w:bCs/>
          <w:color w:val="2E75B6"/>
        </w:rPr>
        <w:t>S3. APACHE II Extraction Validation</w:t>
      </w:r>
    </w:p>
    <w:p w14:paraId="72B12683" w14:textId="77777777" w:rsidR="00AF0F03" w:rsidRDefault="00000000">
      <w:pPr>
        <w:spacing w:after="120" w:line="360" w:lineRule="auto"/>
        <w:jc w:val="both"/>
      </w:pPr>
      <w:r>
        <w:rPr>
          <w:rFonts w:eastAsia="Times New Roman"/>
        </w:rPr>
        <w:t xml:space="preserve">APACHE II from scoreNurse.csv: scoreType='apacheII', total field. Validation: 2,255/3,493 (64.6%) had at least one record; all values within 0-71; mean 17.4 consistent with mixed medical-surgical ICU; </w:t>
      </w:r>
      <w:r>
        <w:rPr>
          <w:rFonts w:eastAsia="Times New Roman"/>
        </w:rPr>
        <w:lastRenderedPageBreak/>
        <w:t>maximum retained for patients with multiple records.</w:t>
      </w:r>
    </w:p>
    <w:sectPr w:rsidR="00AF0F03">
      <w:pgSz w:w="12240" w:h="15840"/>
      <w:pgMar w:top="1440" w:right="1200" w:bottom="144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7C64"/>
    <w:multiLevelType w:val="hybridMultilevel"/>
    <w:tmpl w:val="B956A834"/>
    <w:lvl w:ilvl="0" w:tplc="7468404E">
      <w:start w:val="1"/>
      <w:numFmt w:val="bullet"/>
      <w:lvlText w:val="●"/>
      <w:lvlJc w:val="left"/>
      <w:pPr>
        <w:ind w:left="720" w:hanging="360"/>
      </w:pPr>
    </w:lvl>
    <w:lvl w:ilvl="1" w:tplc="70C8088A">
      <w:start w:val="1"/>
      <w:numFmt w:val="bullet"/>
      <w:lvlText w:val="○"/>
      <w:lvlJc w:val="left"/>
      <w:pPr>
        <w:ind w:left="1440" w:hanging="360"/>
      </w:pPr>
    </w:lvl>
    <w:lvl w:ilvl="2" w:tplc="03F89C7C">
      <w:start w:val="1"/>
      <w:numFmt w:val="bullet"/>
      <w:lvlText w:val="■"/>
      <w:lvlJc w:val="left"/>
      <w:pPr>
        <w:ind w:left="2160" w:hanging="360"/>
      </w:pPr>
    </w:lvl>
    <w:lvl w:ilvl="3" w:tplc="BC105250">
      <w:start w:val="1"/>
      <w:numFmt w:val="bullet"/>
      <w:lvlText w:val="●"/>
      <w:lvlJc w:val="left"/>
      <w:pPr>
        <w:ind w:left="2880" w:hanging="360"/>
      </w:pPr>
    </w:lvl>
    <w:lvl w:ilvl="4" w:tplc="1E1EBAEE">
      <w:start w:val="1"/>
      <w:numFmt w:val="bullet"/>
      <w:lvlText w:val="○"/>
      <w:lvlJc w:val="left"/>
      <w:pPr>
        <w:ind w:left="3600" w:hanging="360"/>
      </w:pPr>
    </w:lvl>
    <w:lvl w:ilvl="5" w:tplc="F0DA7180">
      <w:start w:val="1"/>
      <w:numFmt w:val="bullet"/>
      <w:lvlText w:val="■"/>
      <w:lvlJc w:val="left"/>
      <w:pPr>
        <w:ind w:left="4320" w:hanging="360"/>
      </w:pPr>
    </w:lvl>
    <w:lvl w:ilvl="6" w:tplc="96C22622">
      <w:start w:val="1"/>
      <w:numFmt w:val="bullet"/>
      <w:lvlText w:val="●"/>
      <w:lvlJc w:val="left"/>
      <w:pPr>
        <w:ind w:left="5040" w:hanging="360"/>
      </w:pPr>
    </w:lvl>
    <w:lvl w:ilvl="7" w:tplc="731A39FE">
      <w:start w:val="1"/>
      <w:numFmt w:val="bullet"/>
      <w:lvlText w:val="●"/>
      <w:lvlJc w:val="left"/>
      <w:pPr>
        <w:ind w:left="5760" w:hanging="360"/>
      </w:pPr>
    </w:lvl>
    <w:lvl w:ilvl="8" w:tplc="3F02AAEE">
      <w:start w:val="1"/>
      <w:numFmt w:val="bullet"/>
      <w:lvlText w:val="●"/>
      <w:lvlJc w:val="left"/>
      <w:pPr>
        <w:ind w:left="6480" w:hanging="360"/>
      </w:pPr>
    </w:lvl>
  </w:abstractNum>
  <w:num w:numId="1" w16cid:durableId="18854804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F03"/>
    <w:rsid w:val="006E2E44"/>
    <w:rsid w:val="008B6AFA"/>
    <w:rsid w:val="00AF0F03"/>
    <w:rsid w:val="00C3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7C1D44"/>
  <w15:docId w15:val="{E5194E48-A7EC-4941-AB49-3FDFA120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519</Words>
  <Characters>2999</Characters>
  <Application>Microsoft Office Word</Application>
  <DocSecurity>0</DocSecurity>
  <Lines>214</Lines>
  <Paragraphs>219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chunlin hu</cp:lastModifiedBy>
  <cp:revision>3</cp:revision>
  <dcterms:created xsi:type="dcterms:W3CDTF">2026-06-19T08:39:00Z</dcterms:created>
  <dcterms:modified xsi:type="dcterms:W3CDTF">2026-06-19T08:48:00Z</dcterms:modified>
</cp:coreProperties>
</file>