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A1E02">
      <w:pPr>
        <w:pStyle w:val="2"/>
        <w:jc w:val="center"/>
        <w:rPr>
          <w:lang w:val="en-GB"/>
        </w:rPr>
      </w:pPr>
      <w:r>
        <w:rPr>
          <w:rFonts w:ascii="Times New Roman" w:hAnsi="Times New Roman" w:cs="Times New Roman"/>
          <w:b/>
          <w:bCs w:val="0"/>
          <w:color w:val="000000" w:themeColor="text1"/>
          <w:sz w:val="28"/>
          <w:szCs w:val="22"/>
          <w:lang w:val="en-GB"/>
          <w14:textFill>
            <w14:solidFill>
              <w14:schemeClr w14:val="tx1"/>
            </w14:solidFill>
          </w14:textFill>
        </w:rPr>
        <w:t>Does the Degree of Social Security in China’s Gig Economy Affect Job Satisfaction?</w:t>
      </w:r>
    </w:p>
    <w:p w14:paraId="6990F55A">
      <w:pPr>
        <w:pStyle w:val="3"/>
        <w:keepNext w:val="0"/>
        <w:widowControl/>
        <w:rPr>
          <w:rFonts w:hint="eastAsia" w:ascii="Times New Roman" w:hAnsi="Times New Roman"/>
          <w:i/>
          <w:iCs/>
          <w:sz w:val="24"/>
          <w:szCs w:val="21"/>
          <w:lang w:val="en-GB" w:eastAsia="zh-CN"/>
        </w:rPr>
      </w:pPr>
      <w:r>
        <w:rPr>
          <w:rFonts w:hint="eastAsia" w:ascii="Times New Roman" w:hAnsi="Times New Roman"/>
          <w:i/>
          <w:iCs/>
          <w:sz w:val="24"/>
          <w:szCs w:val="21"/>
          <w:lang w:val="en-GB" w:eastAsia="zh-CN"/>
        </w:rPr>
        <w:t>Descriptive statistics</w:t>
      </w:r>
    </w:p>
    <w:p w14:paraId="0A123AB8">
      <w:pPr>
        <w:rPr>
          <w:rFonts w:ascii="Times New Roman" w:hAnsi="Times New Roman" w:cs="Times New Roman"/>
          <w:lang w:val="en-GB"/>
        </w:rPr>
      </w:pPr>
      <w:r>
        <w:rPr>
          <w:rFonts w:ascii="Times New Roman" w:hAnsi="Times New Roman" w:cs="Times New Roman"/>
          <w:color w:val="4874CB" w:themeColor="accent1"/>
          <w:lang w:val="en-GB"/>
          <w14:textFill>
            <w14:solidFill>
              <w14:schemeClr w14:val="accent1"/>
            </w14:solidFill>
          </w14:textFill>
        </w:rPr>
        <w:t>Table 1</w:t>
      </w:r>
      <w:r>
        <w:rPr>
          <w:rFonts w:ascii="Times New Roman" w:hAnsi="Times New Roman" w:cs="Times New Roman"/>
          <w:lang w:val="en-GB"/>
        </w:rPr>
        <w:t xml:space="preserve"> presents the summary characteristics. Data on the key variables are used to explore the relationship between the availability of social insurance and individual job satisfaction.</w:t>
      </w:r>
    </w:p>
    <w:p w14:paraId="10B29A96">
      <w:pPr>
        <w:rPr>
          <w:rFonts w:ascii="Times New Roman" w:hAnsi="Times New Roman" w:cs="Times New Roman"/>
          <w:b/>
          <w:bCs/>
          <w:lang w:val="en-GB"/>
        </w:rPr>
      </w:pPr>
      <w:r>
        <w:rPr>
          <w:rFonts w:ascii="Times New Roman" w:hAnsi="Times New Roman" w:cs="Times New Roman"/>
          <w:b/>
          <w:bCs/>
          <w:lang w:val="en-GB"/>
        </w:rPr>
        <w:t>Table1</w:t>
      </w:r>
    </w:p>
    <w:p w14:paraId="0A249957">
      <w:pPr>
        <w:rPr>
          <w:rFonts w:ascii="Times New Roman" w:hAnsi="Times New Roman" w:cs="Times New Roman"/>
          <w:lang w:val="en-GB"/>
        </w:rPr>
      </w:pPr>
      <w:r>
        <w:rPr>
          <w:rFonts w:ascii="Times New Roman" w:hAnsi="Times New Roman" w:cs="Times New Roman"/>
          <w:lang w:val="en-GB"/>
        </w:rPr>
        <w:t>Summary characteristics.</w:t>
      </w:r>
    </w:p>
    <w:tbl>
      <w:tblPr>
        <w:tblStyle w:val="5"/>
        <w:tblW w:w="8512" w:type="dxa"/>
        <w:tblInd w:w="108" w:type="dxa"/>
        <w:tblLayout w:type="fixed"/>
        <w:tblCellMar>
          <w:top w:w="0" w:type="dxa"/>
          <w:left w:w="108" w:type="dxa"/>
          <w:bottom w:w="0" w:type="dxa"/>
          <w:right w:w="108" w:type="dxa"/>
        </w:tblCellMar>
      </w:tblPr>
      <w:tblGrid>
        <w:gridCol w:w="1216"/>
        <w:gridCol w:w="1216"/>
        <w:gridCol w:w="1216"/>
        <w:gridCol w:w="1216"/>
        <w:gridCol w:w="1216"/>
        <w:gridCol w:w="1216"/>
        <w:gridCol w:w="1216"/>
      </w:tblGrid>
      <w:tr w14:paraId="6D9E2E7A">
        <w:tblPrEx>
          <w:tblCellMar>
            <w:top w:w="0" w:type="dxa"/>
            <w:left w:w="108" w:type="dxa"/>
            <w:bottom w:w="0" w:type="dxa"/>
            <w:right w:w="108" w:type="dxa"/>
          </w:tblCellMar>
        </w:tblPrEx>
        <w:trPr>
          <w:trHeight w:val="266" w:hRule="atLeast"/>
        </w:trPr>
        <w:tc>
          <w:tcPr>
            <w:tcW w:w="1216" w:type="dxa"/>
            <w:tcBorders>
              <w:top w:val="single" w:color="auto" w:sz="12" w:space="0"/>
              <w:left w:val="nil"/>
              <w:bottom w:val="single" w:color="auto" w:sz="12" w:space="0"/>
              <w:right w:val="nil"/>
            </w:tcBorders>
            <w:shd w:val="clear" w:color="auto" w:fill="auto"/>
            <w:noWrap/>
            <w:vAlign w:val="center"/>
          </w:tcPr>
          <w:p w14:paraId="42A50775">
            <w:pPr>
              <w:widowControl/>
              <w:jc w:val="left"/>
              <w:textAlignment w:val="bottom"/>
              <w:rPr>
                <w:rFonts w:ascii="Times New Roman" w:hAnsi="Times New Roman" w:eastAsia="宋体" w:cs="Times New Roman"/>
                <w:color w:val="000000"/>
                <w:kern w:val="0"/>
                <w:sz w:val="18"/>
                <w:szCs w:val="18"/>
                <w:lang w:val="en-GB" w:bidi="ar"/>
              </w:rPr>
            </w:pPr>
            <w:bookmarkStart w:id="0" w:name="RANGE!A1"/>
            <w:r>
              <w:rPr>
                <w:rFonts w:ascii="Times New Roman" w:hAnsi="Times New Roman" w:eastAsia="宋体" w:cs="Times New Roman"/>
                <w:color w:val="000000"/>
                <w:kern w:val="0"/>
                <w:sz w:val="18"/>
                <w:szCs w:val="18"/>
                <w:lang w:val="en-GB" w:bidi="ar"/>
              </w:rPr>
              <w:t>Variable</w:t>
            </w:r>
            <w:bookmarkEnd w:id="0"/>
          </w:p>
        </w:tc>
        <w:tc>
          <w:tcPr>
            <w:tcW w:w="1216" w:type="dxa"/>
            <w:tcBorders>
              <w:top w:val="single" w:color="auto" w:sz="12" w:space="0"/>
              <w:left w:val="nil"/>
              <w:bottom w:val="single" w:color="auto" w:sz="12" w:space="0"/>
              <w:right w:val="nil"/>
            </w:tcBorders>
            <w:shd w:val="clear" w:color="auto" w:fill="auto"/>
            <w:noWrap/>
            <w:vAlign w:val="center"/>
          </w:tcPr>
          <w:p w14:paraId="0CEC4EB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Description</w:t>
            </w:r>
          </w:p>
        </w:tc>
        <w:tc>
          <w:tcPr>
            <w:tcW w:w="1216" w:type="dxa"/>
            <w:tcBorders>
              <w:top w:val="single" w:color="auto" w:sz="12" w:space="0"/>
              <w:left w:val="nil"/>
              <w:bottom w:val="single" w:color="auto" w:sz="12" w:space="0"/>
              <w:right w:val="nil"/>
            </w:tcBorders>
            <w:shd w:val="clear" w:color="auto" w:fill="auto"/>
            <w:noWrap/>
            <w:vAlign w:val="center"/>
          </w:tcPr>
          <w:p w14:paraId="0E002CD9">
            <w:pPr>
              <w:widowControl/>
              <w:jc w:val="left"/>
              <w:textAlignment w:val="bottom"/>
              <w:rPr>
                <w:rFonts w:ascii="Times New Roman" w:hAnsi="Times New Roman" w:eastAsia="宋体" w:cs="Times New Roman"/>
                <w:color w:val="FF0000"/>
                <w:kern w:val="0"/>
                <w:sz w:val="18"/>
                <w:szCs w:val="18"/>
                <w:lang w:val="en-GB" w:bidi="ar"/>
              </w:rPr>
            </w:pPr>
            <w:r>
              <w:rPr>
                <w:rFonts w:ascii="Times New Roman" w:hAnsi="Times New Roman" w:eastAsia="宋体" w:cs="Times New Roman"/>
                <w:kern w:val="0"/>
                <w:sz w:val="18"/>
                <w:szCs w:val="18"/>
                <w:lang w:val="en-GB" w:bidi="ar"/>
              </w:rPr>
              <w:t>Obs.</w:t>
            </w:r>
          </w:p>
        </w:tc>
        <w:tc>
          <w:tcPr>
            <w:tcW w:w="1216" w:type="dxa"/>
            <w:tcBorders>
              <w:top w:val="single" w:color="auto" w:sz="12" w:space="0"/>
              <w:left w:val="nil"/>
              <w:bottom w:val="single" w:color="auto" w:sz="12" w:space="0"/>
              <w:right w:val="nil"/>
            </w:tcBorders>
            <w:shd w:val="clear" w:color="auto" w:fill="auto"/>
            <w:noWrap/>
            <w:vAlign w:val="center"/>
          </w:tcPr>
          <w:p w14:paraId="3F58902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Mean</w:t>
            </w:r>
          </w:p>
        </w:tc>
        <w:tc>
          <w:tcPr>
            <w:tcW w:w="1216" w:type="dxa"/>
            <w:tcBorders>
              <w:top w:val="single" w:color="auto" w:sz="12" w:space="0"/>
              <w:left w:val="nil"/>
              <w:bottom w:val="single" w:color="auto" w:sz="12" w:space="0"/>
              <w:right w:val="nil"/>
            </w:tcBorders>
            <w:shd w:val="clear" w:color="auto" w:fill="auto"/>
            <w:noWrap/>
            <w:vAlign w:val="center"/>
          </w:tcPr>
          <w:p w14:paraId="52F820D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S.D.</w:t>
            </w:r>
          </w:p>
        </w:tc>
        <w:tc>
          <w:tcPr>
            <w:tcW w:w="1216" w:type="dxa"/>
            <w:tcBorders>
              <w:top w:val="single" w:color="auto" w:sz="12" w:space="0"/>
              <w:left w:val="nil"/>
              <w:bottom w:val="single" w:color="auto" w:sz="12" w:space="0"/>
              <w:right w:val="nil"/>
            </w:tcBorders>
            <w:shd w:val="clear" w:color="auto" w:fill="auto"/>
            <w:noWrap/>
            <w:vAlign w:val="center"/>
          </w:tcPr>
          <w:p w14:paraId="3CED672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Min</w:t>
            </w:r>
          </w:p>
        </w:tc>
        <w:tc>
          <w:tcPr>
            <w:tcW w:w="1216" w:type="dxa"/>
            <w:tcBorders>
              <w:top w:val="single" w:color="auto" w:sz="12" w:space="0"/>
              <w:left w:val="nil"/>
              <w:bottom w:val="single" w:color="auto" w:sz="12" w:space="0"/>
              <w:right w:val="nil"/>
            </w:tcBorders>
            <w:shd w:val="clear" w:color="auto" w:fill="auto"/>
            <w:noWrap/>
            <w:vAlign w:val="center"/>
          </w:tcPr>
          <w:p w14:paraId="6A0A234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Max</w:t>
            </w:r>
          </w:p>
        </w:tc>
      </w:tr>
      <w:tr w14:paraId="5BC33623">
        <w:tblPrEx>
          <w:tblCellMar>
            <w:top w:w="0" w:type="dxa"/>
            <w:left w:w="108" w:type="dxa"/>
            <w:bottom w:w="0" w:type="dxa"/>
            <w:right w:w="108" w:type="dxa"/>
          </w:tblCellMar>
        </w:tblPrEx>
        <w:trPr>
          <w:trHeight w:val="266" w:hRule="atLeast"/>
        </w:trPr>
        <w:tc>
          <w:tcPr>
            <w:tcW w:w="1216" w:type="dxa"/>
            <w:tcBorders>
              <w:top w:val="single" w:color="auto" w:sz="12" w:space="0"/>
              <w:left w:val="nil"/>
              <w:bottom w:val="nil"/>
              <w:right w:val="nil"/>
            </w:tcBorders>
            <w:shd w:val="clear" w:color="auto" w:fill="auto"/>
            <w:noWrap/>
            <w:vAlign w:val="center"/>
          </w:tcPr>
          <w:p w14:paraId="27E8997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Overall job satisfaction</w:t>
            </w:r>
          </w:p>
        </w:tc>
        <w:tc>
          <w:tcPr>
            <w:tcW w:w="1216" w:type="dxa"/>
            <w:tcBorders>
              <w:top w:val="single" w:color="auto" w:sz="12" w:space="0"/>
              <w:left w:val="nil"/>
              <w:bottom w:val="nil"/>
              <w:right w:val="nil"/>
            </w:tcBorders>
            <w:shd w:val="clear" w:color="auto" w:fill="auto"/>
            <w:noWrap/>
            <w:vAlign w:val="center"/>
          </w:tcPr>
          <w:p w14:paraId="3CEC58C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Overall satisfaction with the job</w:t>
            </w:r>
          </w:p>
        </w:tc>
        <w:tc>
          <w:tcPr>
            <w:tcW w:w="1216" w:type="dxa"/>
            <w:tcBorders>
              <w:top w:val="single" w:color="auto" w:sz="12" w:space="0"/>
              <w:left w:val="nil"/>
              <w:bottom w:val="nil"/>
              <w:right w:val="nil"/>
            </w:tcBorders>
            <w:shd w:val="clear" w:color="auto" w:fill="auto"/>
            <w:noWrap/>
            <w:vAlign w:val="center"/>
          </w:tcPr>
          <w:p w14:paraId="48CCE39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single" w:color="auto" w:sz="12" w:space="0"/>
              <w:left w:val="nil"/>
              <w:bottom w:val="nil"/>
              <w:right w:val="nil"/>
            </w:tcBorders>
            <w:shd w:val="clear" w:color="auto" w:fill="auto"/>
            <w:noWrap/>
            <w:vAlign w:val="center"/>
          </w:tcPr>
          <w:p w14:paraId="6C3EAEE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2.637 </w:t>
            </w:r>
          </w:p>
        </w:tc>
        <w:tc>
          <w:tcPr>
            <w:tcW w:w="1216" w:type="dxa"/>
            <w:tcBorders>
              <w:top w:val="single" w:color="auto" w:sz="12" w:space="0"/>
              <w:left w:val="nil"/>
              <w:bottom w:val="nil"/>
              <w:right w:val="nil"/>
            </w:tcBorders>
            <w:shd w:val="clear" w:color="auto" w:fill="auto"/>
            <w:noWrap/>
            <w:vAlign w:val="center"/>
          </w:tcPr>
          <w:p w14:paraId="4D5145F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0.857 </w:t>
            </w:r>
          </w:p>
        </w:tc>
        <w:tc>
          <w:tcPr>
            <w:tcW w:w="1216" w:type="dxa"/>
            <w:tcBorders>
              <w:top w:val="single" w:color="auto" w:sz="12" w:space="0"/>
              <w:left w:val="nil"/>
              <w:bottom w:val="nil"/>
              <w:right w:val="nil"/>
            </w:tcBorders>
            <w:shd w:val="clear" w:color="auto" w:fill="auto"/>
            <w:noWrap/>
            <w:vAlign w:val="center"/>
          </w:tcPr>
          <w:p w14:paraId="3810C9B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single" w:color="auto" w:sz="12" w:space="0"/>
              <w:left w:val="nil"/>
              <w:bottom w:val="nil"/>
              <w:right w:val="nil"/>
            </w:tcBorders>
            <w:shd w:val="clear" w:color="auto" w:fill="auto"/>
            <w:noWrap/>
            <w:vAlign w:val="center"/>
          </w:tcPr>
          <w:p w14:paraId="0C18BB1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4.000 </w:t>
            </w:r>
          </w:p>
        </w:tc>
      </w:tr>
      <w:tr w14:paraId="3DAB293E">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019E5CF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insurance schemes</w:t>
            </w:r>
          </w:p>
        </w:tc>
        <w:tc>
          <w:tcPr>
            <w:tcW w:w="1216" w:type="dxa"/>
            <w:tcBorders>
              <w:top w:val="nil"/>
              <w:left w:val="nil"/>
              <w:bottom w:val="nil"/>
              <w:right w:val="nil"/>
            </w:tcBorders>
            <w:shd w:val="clear" w:color="auto" w:fill="auto"/>
            <w:noWrap/>
            <w:vAlign w:val="center"/>
          </w:tcPr>
          <w:p w14:paraId="7782CE72">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Total number of insurance types held</w:t>
            </w:r>
          </w:p>
        </w:tc>
        <w:tc>
          <w:tcPr>
            <w:tcW w:w="1216" w:type="dxa"/>
            <w:tcBorders>
              <w:top w:val="nil"/>
              <w:left w:val="nil"/>
              <w:bottom w:val="nil"/>
              <w:right w:val="nil"/>
            </w:tcBorders>
            <w:shd w:val="clear" w:color="auto" w:fill="auto"/>
            <w:noWrap/>
            <w:vAlign w:val="center"/>
          </w:tcPr>
          <w:p w14:paraId="30ABD09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1F96DA3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1.906 </w:t>
            </w:r>
          </w:p>
        </w:tc>
        <w:tc>
          <w:tcPr>
            <w:tcW w:w="1216" w:type="dxa"/>
            <w:tcBorders>
              <w:top w:val="nil"/>
              <w:left w:val="nil"/>
              <w:bottom w:val="nil"/>
              <w:right w:val="nil"/>
            </w:tcBorders>
            <w:shd w:val="clear" w:color="auto" w:fill="auto"/>
            <w:noWrap/>
            <w:vAlign w:val="center"/>
          </w:tcPr>
          <w:p w14:paraId="6251E7E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2.267 </w:t>
            </w:r>
          </w:p>
        </w:tc>
        <w:tc>
          <w:tcPr>
            <w:tcW w:w="1216" w:type="dxa"/>
            <w:tcBorders>
              <w:top w:val="nil"/>
              <w:left w:val="nil"/>
              <w:bottom w:val="nil"/>
              <w:right w:val="nil"/>
            </w:tcBorders>
            <w:shd w:val="clear" w:color="auto" w:fill="auto"/>
            <w:noWrap/>
            <w:vAlign w:val="center"/>
          </w:tcPr>
          <w:p w14:paraId="6E51697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3EB61E3A">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5.000 </w:t>
            </w:r>
          </w:p>
        </w:tc>
      </w:tr>
      <w:tr w14:paraId="75C80F45">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3C22F26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District</w:t>
            </w:r>
          </w:p>
        </w:tc>
        <w:tc>
          <w:tcPr>
            <w:tcW w:w="1216" w:type="dxa"/>
            <w:tcBorders>
              <w:top w:val="nil"/>
              <w:left w:val="nil"/>
              <w:bottom w:val="nil"/>
              <w:right w:val="nil"/>
            </w:tcBorders>
            <w:shd w:val="clear" w:color="auto" w:fill="auto"/>
            <w:noWrap/>
            <w:vAlign w:val="center"/>
          </w:tcPr>
          <w:p w14:paraId="21C8CCC4">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Urban = 1, Rural = 0</w:t>
            </w:r>
          </w:p>
        </w:tc>
        <w:tc>
          <w:tcPr>
            <w:tcW w:w="1216" w:type="dxa"/>
            <w:tcBorders>
              <w:top w:val="nil"/>
              <w:left w:val="nil"/>
              <w:bottom w:val="nil"/>
              <w:right w:val="nil"/>
            </w:tcBorders>
            <w:shd w:val="clear" w:color="auto" w:fill="auto"/>
            <w:noWrap/>
            <w:vAlign w:val="center"/>
          </w:tcPr>
          <w:p w14:paraId="27D8832C">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5763C7C5">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0.369 </w:t>
            </w:r>
          </w:p>
        </w:tc>
        <w:tc>
          <w:tcPr>
            <w:tcW w:w="1216" w:type="dxa"/>
            <w:tcBorders>
              <w:top w:val="nil"/>
              <w:left w:val="nil"/>
              <w:bottom w:val="nil"/>
              <w:right w:val="nil"/>
            </w:tcBorders>
            <w:shd w:val="clear" w:color="auto" w:fill="auto"/>
            <w:noWrap/>
            <w:vAlign w:val="center"/>
          </w:tcPr>
          <w:p w14:paraId="380AE5E5">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0.482 </w:t>
            </w:r>
          </w:p>
        </w:tc>
        <w:tc>
          <w:tcPr>
            <w:tcW w:w="1216" w:type="dxa"/>
            <w:tcBorders>
              <w:top w:val="nil"/>
              <w:left w:val="nil"/>
              <w:bottom w:val="nil"/>
              <w:right w:val="nil"/>
            </w:tcBorders>
            <w:shd w:val="clear" w:color="auto" w:fill="auto"/>
            <w:noWrap/>
            <w:vAlign w:val="center"/>
          </w:tcPr>
          <w:p w14:paraId="0DABC7E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38BFBDB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r>
      <w:tr w14:paraId="1CF7D167">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011A7073">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Gender</w:t>
            </w:r>
          </w:p>
        </w:tc>
        <w:tc>
          <w:tcPr>
            <w:tcW w:w="1216" w:type="dxa"/>
            <w:tcBorders>
              <w:top w:val="nil"/>
              <w:left w:val="nil"/>
              <w:bottom w:val="nil"/>
              <w:right w:val="nil"/>
            </w:tcBorders>
            <w:shd w:val="clear" w:color="auto" w:fill="auto"/>
            <w:noWrap/>
            <w:vAlign w:val="center"/>
          </w:tcPr>
          <w:p w14:paraId="6CD91E9D">
            <w:pPr>
              <w:widowControl/>
              <w:jc w:val="left"/>
              <w:textAlignment w:val="bottom"/>
              <w:rPr>
                <w:rFonts w:ascii="Times New Roman" w:hAnsi="Times New Roman" w:eastAsia="宋体" w:cs="Times New Roman"/>
                <w:kern w:val="0"/>
                <w:sz w:val="18"/>
                <w:szCs w:val="18"/>
                <w:lang w:val="en-GB" w:bidi="ar"/>
              </w:rPr>
            </w:pPr>
            <w:r>
              <w:rPr>
                <w:rFonts w:ascii="Times New Roman" w:hAnsi="Times New Roman" w:eastAsia="宋体" w:cs="Times New Roman"/>
                <w:kern w:val="0"/>
                <w:sz w:val="18"/>
                <w:szCs w:val="18"/>
                <w:lang w:val="en-GB" w:bidi="ar"/>
              </w:rPr>
              <w:t>Male = 1, Female = 0</w:t>
            </w:r>
          </w:p>
        </w:tc>
        <w:tc>
          <w:tcPr>
            <w:tcW w:w="1216" w:type="dxa"/>
            <w:tcBorders>
              <w:top w:val="nil"/>
              <w:left w:val="nil"/>
              <w:bottom w:val="nil"/>
              <w:right w:val="nil"/>
            </w:tcBorders>
            <w:shd w:val="clear" w:color="auto" w:fill="auto"/>
            <w:noWrap/>
            <w:vAlign w:val="center"/>
          </w:tcPr>
          <w:p w14:paraId="4FD0664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51887C7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0.591 </w:t>
            </w:r>
          </w:p>
        </w:tc>
        <w:tc>
          <w:tcPr>
            <w:tcW w:w="1216" w:type="dxa"/>
            <w:tcBorders>
              <w:top w:val="nil"/>
              <w:left w:val="nil"/>
              <w:bottom w:val="nil"/>
              <w:right w:val="nil"/>
            </w:tcBorders>
            <w:shd w:val="clear" w:color="auto" w:fill="auto"/>
            <w:noWrap/>
            <w:vAlign w:val="center"/>
          </w:tcPr>
          <w:p w14:paraId="6FEAEFF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0.492 </w:t>
            </w:r>
          </w:p>
        </w:tc>
        <w:tc>
          <w:tcPr>
            <w:tcW w:w="1216" w:type="dxa"/>
            <w:tcBorders>
              <w:top w:val="nil"/>
              <w:left w:val="nil"/>
              <w:bottom w:val="nil"/>
              <w:right w:val="nil"/>
            </w:tcBorders>
            <w:shd w:val="clear" w:color="auto" w:fill="auto"/>
            <w:noWrap/>
            <w:vAlign w:val="center"/>
          </w:tcPr>
          <w:p w14:paraId="0ACD798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2DC17E8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r>
      <w:tr w14:paraId="34164283">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1C4A9ABF">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Contract</w:t>
            </w:r>
          </w:p>
        </w:tc>
        <w:tc>
          <w:tcPr>
            <w:tcW w:w="1216" w:type="dxa"/>
            <w:tcBorders>
              <w:top w:val="nil"/>
              <w:left w:val="nil"/>
              <w:bottom w:val="nil"/>
              <w:right w:val="nil"/>
            </w:tcBorders>
            <w:shd w:val="clear" w:color="auto" w:fill="auto"/>
            <w:noWrap/>
            <w:vAlign w:val="center"/>
          </w:tcPr>
          <w:p w14:paraId="28318095">
            <w:pPr>
              <w:widowControl/>
              <w:jc w:val="left"/>
              <w:textAlignment w:val="bottom"/>
              <w:rPr>
                <w:rFonts w:ascii="Times New Roman" w:hAnsi="Times New Roman" w:eastAsia="宋体" w:cs="Times New Roman"/>
                <w:kern w:val="0"/>
                <w:sz w:val="18"/>
                <w:szCs w:val="18"/>
                <w:lang w:val="en-GB" w:bidi="ar"/>
              </w:rPr>
            </w:pPr>
            <w:r>
              <w:rPr>
                <w:rFonts w:ascii="Times New Roman" w:hAnsi="Times New Roman" w:eastAsia="宋体" w:cs="Times New Roman"/>
                <w:kern w:val="0"/>
                <w:sz w:val="18"/>
                <w:szCs w:val="18"/>
                <w:lang w:val="en-GB" w:bidi="ar"/>
              </w:rPr>
              <w:t>Yes = 1, No = 0</w:t>
            </w:r>
          </w:p>
        </w:tc>
        <w:tc>
          <w:tcPr>
            <w:tcW w:w="1216" w:type="dxa"/>
            <w:tcBorders>
              <w:top w:val="nil"/>
              <w:left w:val="nil"/>
              <w:bottom w:val="nil"/>
              <w:right w:val="nil"/>
            </w:tcBorders>
            <w:shd w:val="clear" w:color="auto" w:fill="auto"/>
            <w:noWrap/>
            <w:vAlign w:val="center"/>
          </w:tcPr>
          <w:p w14:paraId="1805B2B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50C03E1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0.530 </w:t>
            </w:r>
          </w:p>
        </w:tc>
        <w:tc>
          <w:tcPr>
            <w:tcW w:w="1216" w:type="dxa"/>
            <w:tcBorders>
              <w:top w:val="nil"/>
              <w:left w:val="nil"/>
              <w:bottom w:val="nil"/>
              <w:right w:val="nil"/>
            </w:tcBorders>
            <w:shd w:val="clear" w:color="auto" w:fill="auto"/>
            <w:noWrap/>
            <w:vAlign w:val="center"/>
          </w:tcPr>
          <w:p w14:paraId="28EA8FD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0.499 </w:t>
            </w:r>
          </w:p>
        </w:tc>
        <w:tc>
          <w:tcPr>
            <w:tcW w:w="1216" w:type="dxa"/>
            <w:tcBorders>
              <w:top w:val="nil"/>
              <w:left w:val="nil"/>
              <w:bottom w:val="nil"/>
              <w:right w:val="nil"/>
            </w:tcBorders>
            <w:shd w:val="clear" w:color="auto" w:fill="auto"/>
            <w:noWrap/>
            <w:vAlign w:val="center"/>
          </w:tcPr>
          <w:p w14:paraId="39058B4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38C271E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r>
      <w:tr w14:paraId="57D1F3CF">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5F2502A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Age</w:t>
            </w:r>
          </w:p>
        </w:tc>
        <w:tc>
          <w:tcPr>
            <w:tcW w:w="1216" w:type="dxa"/>
            <w:tcBorders>
              <w:top w:val="nil"/>
              <w:left w:val="nil"/>
              <w:bottom w:val="nil"/>
              <w:right w:val="nil"/>
            </w:tcBorders>
            <w:shd w:val="clear" w:color="auto" w:fill="auto"/>
            <w:noWrap/>
            <w:vAlign w:val="center"/>
          </w:tcPr>
          <w:p w14:paraId="69FDFE7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Age of the respondent</w:t>
            </w:r>
          </w:p>
        </w:tc>
        <w:tc>
          <w:tcPr>
            <w:tcW w:w="1216" w:type="dxa"/>
            <w:tcBorders>
              <w:top w:val="nil"/>
              <w:left w:val="nil"/>
              <w:bottom w:val="nil"/>
              <w:right w:val="nil"/>
            </w:tcBorders>
            <w:shd w:val="clear" w:color="auto" w:fill="auto"/>
            <w:noWrap/>
            <w:vAlign w:val="center"/>
          </w:tcPr>
          <w:p w14:paraId="29542FB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29C7538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38.529 </w:t>
            </w:r>
          </w:p>
        </w:tc>
        <w:tc>
          <w:tcPr>
            <w:tcW w:w="1216" w:type="dxa"/>
            <w:tcBorders>
              <w:top w:val="nil"/>
              <w:left w:val="nil"/>
              <w:bottom w:val="nil"/>
              <w:right w:val="nil"/>
            </w:tcBorders>
            <w:shd w:val="clear" w:color="auto" w:fill="auto"/>
            <w:noWrap/>
            <w:vAlign w:val="center"/>
          </w:tcPr>
          <w:p w14:paraId="698AACE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12.020 </w:t>
            </w:r>
          </w:p>
        </w:tc>
        <w:tc>
          <w:tcPr>
            <w:tcW w:w="1216" w:type="dxa"/>
            <w:tcBorders>
              <w:top w:val="nil"/>
              <w:left w:val="nil"/>
              <w:bottom w:val="nil"/>
              <w:right w:val="nil"/>
            </w:tcBorders>
            <w:shd w:val="clear" w:color="auto" w:fill="auto"/>
            <w:noWrap/>
            <w:vAlign w:val="center"/>
          </w:tcPr>
          <w:p w14:paraId="7ECB6B7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16.000 </w:t>
            </w:r>
          </w:p>
        </w:tc>
        <w:tc>
          <w:tcPr>
            <w:tcW w:w="1216" w:type="dxa"/>
            <w:tcBorders>
              <w:top w:val="nil"/>
              <w:left w:val="nil"/>
              <w:bottom w:val="nil"/>
              <w:right w:val="nil"/>
            </w:tcBorders>
            <w:shd w:val="clear" w:color="auto" w:fill="auto"/>
            <w:noWrap/>
            <w:vAlign w:val="center"/>
          </w:tcPr>
          <w:p w14:paraId="3FB551D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96.000 </w:t>
            </w:r>
          </w:p>
        </w:tc>
      </w:tr>
      <w:tr w14:paraId="2D374BB4">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4B0CD6C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Health status</w:t>
            </w:r>
          </w:p>
        </w:tc>
        <w:tc>
          <w:tcPr>
            <w:tcW w:w="1216" w:type="dxa"/>
            <w:tcBorders>
              <w:top w:val="nil"/>
              <w:left w:val="nil"/>
              <w:bottom w:val="nil"/>
              <w:right w:val="nil"/>
            </w:tcBorders>
            <w:shd w:val="clear" w:color="auto" w:fill="auto"/>
            <w:noWrap/>
            <w:vAlign w:val="center"/>
          </w:tcPr>
          <w:p w14:paraId="7095A728">
            <w:pPr>
              <w:widowControl/>
              <w:jc w:val="left"/>
              <w:textAlignment w:val="bottom"/>
              <w:rPr>
                <w:rFonts w:ascii="Times New Roman" w:hAnsi="Times New Roman" w:eastAsia="宋体" w:cs="Times New Roman"/>
                <w:color w:val="000000"/>
                <w:kern w:val="0"/>
                <w:sz w:val="18"/>
                <w:szCs w:val="18"/>
                <w:lang w:val="en-GB" w:bidi="ar"/>
              </w:rPr>
            </w:pPr>
            <w:bookmarkStart w:id="1" w:name="RANGE!B14"/>
            <w:r>
              <w:rPr>
                <w:rFonts w:ascii="Times New Roman" w:hAnsi="Times New Roman" w:eastAsia="宋体" w:cs="Times New Roman"/>
                <w:color w:val="000000"/>
                <w:kern w:val="0"/>
                <w:sz w:val="18"/>
                <w:szCs w:val="18"/>
                <w:lang w:val="en-GB" w:bidi="ar"/>
              </w:rPr>
              <w:t>Ranging between 1 (Best) and 5 (W</w:t>
            </w:r>
            <w:r>
              <w:rPr>
                <w:rFonts w:ascii="Times New Roman" w:hAnsi="Times New Roman" w:eastAsia="宋体" w:cs="Times New Roman"/>
                <w:kern w:val="0"/>
                <w:sz w:val="18"/>
                <w:szCs w:val="18"/>
                <w:lang w:val="en-GB" w:bidi="ar"/>
              </w:rPr>
              <w:t>orst</w:t>
            </w:r>
            <w:bookmarkEnd w:id="1"/>
            <w:r>
              <w:rPr>
                <w:rFonts w:ascii="Times New Roman" w:hAnsi="Times New Roman" w:eastAsia="宋体" w:cs="Times New Roman"/>
                <w:kern w:val="0"/>
                <w:sz w:val="18"/>
                <w:szCs w:val="18"/>
                <w:lang w:val="en-GB" w:bidi="ar"/>
              </w:rPr>
              <w:t>)</w:t>
            </w:r>
          </w:p>
        </w:tc>
        <w:tc>
          <w:tcPr>
            <w:tcW w:w="1216" w:type="dxa"/>
            <w:tcBorders>
              <w:top w:val="nil"/>
              <w:left w:val="nil"/>
              <w:bottom w:val="nil"/>
              <w:right w:val="nil"/>
            </w:tcBorders>
            <w:shd w:val="clear" w:color="auto" w:fill="auto"/>
            <w:noWrap/>
            <w:vAlign w:val="center"/>
          </w:tcPr>
          <w:p w14:paraId="26620AD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361A8AF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3.287 </w:t>
            </w:r>
          </w:p>
        </w:tc>
        <w:tc>
          <w:tcPr>
            <w:tcW w:w="1216" w:type="dxa"/>
            <w:tcBorders>
              <w:top w:val="nil"/>
              <w:left w:val="nil"/>
              <w:bottom w:val="nil"/>
              <w:right w:val="nil"/>
            </w:tcBorders>
            <w:shd w:val="clear" w:color="auto" w:fill="auto"/>
            <w:noWrap/>
            <w:vAlign w:val="center"/>
          </w:tcPr>
          <w:p w14:paraId="07AA59F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1.056 </w:t>
            </w:r>
          </w:p>
        </w:tc>
        <w:tc>
          <w:tcPr>
            <w:tcW w:w="1216" w:type="dxa"/>
            <w:tcBorders>
              <w:top w:val="nil"/>
              <w:left w:val="nil"/>
              <w:bottom w:val="nil"/>
              <w:right w:val="nil"/>
            </w:tcBorders>
            <w:shd w:val="clear" w:color="auto" w:fill="auto"/>
            <w:noWrap/>
            <w:vAlign w:val="center"/>
          </w:tcPr>
          <w:p w14:paraId="2D19A40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c>
          <w:tcPr>
            <w:tcW w:w="1216" w:type="dxa"/>
            <w:tcBorders>
              <w:top w:val="nil"/>
              <w:left w:val="nil"/>
              <w:bottom w:val="nil"/>
              <w:right w:val="nil"/>
            </w:tcBorders>
            <w:shd w:val="clear" w:color="auto" w:fill="auto"/>
            <w:noWrap/>
            <w:vAlign w:val="center"/>
          </w:tcPr>
          <w:p w14:paraId="3E6A13F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5.000 </w:t>
            </w:r>
          </w:p>
        </w:tc>
      </w:tr>
      <w:tr w14:paraId="2C04666D">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0DA5222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Chronic disease</w:t>
            </w:r>
          </w:p>
        </w:tc>
        <w:tc>
          <w:tcPr>
            <w:tcW w:w="1216" w:type="dxa"/>
            <w:tcBorders>
              <w:top w:val="nil"/>
              <w:left w:val="nil"/>
              <w:bottom w:val="nil"/>
              <w:right w:val="nil"/>
            </w:tcBorders>
            <w:shd w:val="clear" w:color="auto" w:fill="auto"/>
            <w:noWrap/>
            <w:vAlign w:val="center"/>
          </w:tcPr>
          <w:p w14:paraId="0244870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 = 1, No = 0</w:t>
            </w:r>
          </w:p>
        </w:tc>
        <w:tc>
          <w:tcPr>
            <w:tcW w:w="1216" w:type="dxa"/>
            <w:tcBorders>
              <w:top w:val="nil"/>
              <w:left w:val="nil"/>
              <w:bottom w:val="nil"/>
              <w:right w:val="nil"/>
            </w:tcBorders>
            <w:shd w:val="clear" w:color="auto" w:fill="auto"/>
            <w:noWrap/>
            <w:vAlign w:val="center"/>
          </w:tcPr>
          <w:p w14:paraId="35FAE07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0A6DAE9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0.093 </w:t>
            </w:r>
          </w:p>
        </w:tc>
        <w:tc>
          <w:tcPr>
            <w:tcW w:w="1216" w:type="dxa"/>
            <w:tcBorders>
              <w:top w:val="nil"/>
              <w:left w:val="nil"/>
              <w:bottom w:val="nil"/>
              <w:right w:val="nil"/>
            </w:tcBorders>
            <w:shd w:val="clear" w:color="auto" w:fill="auto"/>
            <w:noWrap/>
            <w:vAlign w:val="center"/>
          </w:tcPr>
          <w:p w14:paraId="69EDA77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0.290 </w:t>
            </w:r>
          </w:p>
        </w:tc>
        <w:tc>
          <w:tcPr>
            <w:tcW w:w="1216" w:type="dxa"/>
            <w:tcBorders>
              <w:top w:val="nil"/>
              <w:left w:val="nil"/>
              <w:bottom w:val="nil"/>
              <w:right w:val="nil"/>
            </w:tcBorders>
            <w:shd w:val="clear" w:color="auto" w:fill="auto"/>
            <w:noWrap/>
            <w:vAlign w:val="center"/>
          </w:tcPr>
          <w:p w14:paraId="0F4CE71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04AE19D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r>
      <w:tr w14:paraId="619A0391">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75AFB6D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Smoking</w:t>
            </w:r>
          </w:p>
        </w:tc>
        <w:tc>
          <w:tcPr>
            <w:tcW w:w="1216" w:type="dxa"/>
            <w:tcBorders>
              <w:top w:val="nil"/>
              <w:left w:val="nil"/>
              <w:bottom w:val="nil"/>
              <w:right w:val="nil"/>
            </w:tcBorders>
            <w:shd w:val="clear" w:color="auto" w:fill="auto"/>
            <w:noWrap/>
            <w:vAlign w:val="center"/>
          </w:tcPr>
          <w:p w14:paraId="59453DD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 = 1, No = 0</w:t>
            </w:r>
          </w:p>
        </w:tc>
        <w:tc>
          <w:tcPr>
            <w:tcW w:w="1216" w:type="dxa"/>
            <w:tcBorders>
              <w:top w:val="nil"/>
              <w:left w:val="nil"/>
              <w:bottom w:val="nil"/>
              <w:right w:val="nil"/>
            </w:tcBorders>
            <w:shd w:val="clear" w:color="auto" w:fill="auto"/>
            <w:noWrap/>
            <w:vAlign w:val="center"/>
          </w:tcPr>
          <w:p w14:paraId="3196A13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09BEDF91">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0.340 </w:t>
            </w:r>
          </w:p>
        </w:tc>
        <w:tc>
          <w:tcPr>
            <w:tcW w:w="1216" w:type="dxa"/>
            <w:tcBorders>
              <w:top w:val="nil"/>
              <w:left w:val="nil"/>
              <w:bottom w:val="nil"/>
              <w:right w:val="nil"/>
            </w:tcBorders>
            <w:shd w:val="clear" w:color="auto" w:fill="auto"/>
            <w:noWrap/>
            <w:vAlign w:val="center"/>
          </w:tcPr>
          <w:p w14:paraId="3278293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0.474 </w:t>
            </w:r>
          </w:p>
        </w:tc>
        <w:tc>
          <w:tcPr>
            <w:tcW w:w="1216" w:type="dxa"/>
            <w:tcBorders>
              <w:top w:val="nil"/>
              <w:left w:val="nil"/>
              <w:bottom w:val="nil"/>
              <w:right w:val="nil"/>
            </w:tcBorders>
            <w:shd w:val="clear" w:color="auto" w:fill="auto"/>
            <w:noWrap/>
            <w:vAlign w:val="center"/>
          </w:tcPr>
          <w:p w14:paraId="2D6277C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438696B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r>
      <w:tr w14:paraId="0B438FAA">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21B86AF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Welfare amount (log)</w:t>
            </w:r>
          </w:p>
        </w:tc>
        <w:tc>
          <w:tcPr>
            <w:tcW w:w="1216" w:type="dxa"/>
            <w:tcBorders>
              <w:top w:val="nil"/>
              <w:left w:val="nil"/>
              <w:bottom w:val="nil"/>
              <w:right w:val="nil"/>
            </w:tcBorders>
            <w:shd w:val="clear" w:color="auto" w:fill="auto"/>
            <w:noWrap/>
            <w:vAlign w:val="center"/>
          </w:tcPr>
          <w:p w14:paraId="555226F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Amount of welfare benefits received</w:t>
            </w:r>
          </w:p>
        </w:tc>
        <w:tc>
          <w:tcPr>
            <w:tcW w:w="1216" w:type="dxa"/>
            <w:tcBorders>
              <w:top w:val="nil"/>
              <w:left w:val="nil"/>
              <w:bottom w:val="nil"/>
              <w:right w:val="nil"/>
            </w:tcBorders>
            <w:shd w:val="clear" w:color="auto" w:fill="auto"/>
            <w:noWrap/>
            <w:vAlign w:val="center"/>
          </w:tcPr>
          <w:p w14:paraId="41A382E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7ABE763C">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1.071 </w:t>
            </w:r>
          </w:p>
        </w:tc>
        <w:tc>
          <w:tcPr>
            <w:tcW w:w="1216" w:type="dxa"/>
            <w:tcBorders>
              <w:top w:val="nil"/>
              <w:left w:val="nil"/>
              <w:bottom w:val="nil"/>
              <w:right w:val="nil"/>
            </w:tcBorders>
            <w:shd w:val="clear" w:color="auto" w:fill="auto"/>
            <w:noWrap/>
            <w:vAlign w:val="center"/>
          </w:tcPr>
          <w:p w14:paraId="2358B86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2.474 </w:t>
            </w:r>
          </w:p>
        </w:tc>
        <w:tc>
          <w:tcPr>
            <w:tcW w:w="1216" w:type="dxa"/>
            <w:tcBorders>
              <w:top w:val="nil"/>
              <w:left w:val="nil"/>
              <w:bottom w:val="nil"/>
              <w:right w:val="nil"/>
            </w:tcBorders>
            <w:shd w:val="clear" w:color="auto" w:fill="auto"/>
            <w:noWrap/>
            <w:vAlign w:val="center"/>
          </w:tcPr>
          <w:p w14:paraId="36C6C555">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1C5C6DB0">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11.513 </w:t>
            </w:r>
          </w:p>
        </w:tc>
      </w:tr>
      <w:tr w14:paraId="26309D1D">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3C05A3E3">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Elderly dependency ratio (%)</w:t>
            </w:r>
          </w:p>
        </w:tc>
        <w:tc>
          <w:tcPr>
            <w:tcW w:w="1216" w:type="dxa"/>
            <w:tcBorders>
              <w:top w:val="nil"/>
              <w:left w:val="nil"/>
              <w:bottom w:val="nil"/>
              <w:right w:val="nil"/>
            </w:tcBorders>
            <w:shd w:val="clear" w:color="auto" w:fill="auto"/>
            <w:noWrap/>
            <w:vAlign w:val="center"/>
          </w:tcPr>
          <w:p w14:paraId="6B3F80E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Ratio of elderly dependents to the working-age population</w:t>
            </w:r>
          </w:p>
        </w:tc>
        <w:tc>
          <w:tcPr>
            <w:tcW w:w="1216" w:type="dxa"/>
            <w:tcBorders>
              <w:top w:val="nil"/>
              <w:left w:val="nil"/>
              <w:bottom w:val="nil"/>
              <w:right w:val="nil"/>
            </w:tcBorders>
            <w:shd w:val="clear" w:color="auto" w:fill="auto"/>
            <w:noWrap/>
            <w:vAlign w:val="center"/>
          </w:tcPr>
          <w:p w14:paraId="28F3CCF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5CE7B62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18.668 </w:t>
            </w:r>
          </w:p>
        </w:tc>
        <w:tc>
          <w:tcPr>
            <w:tcW w:w="1216" w:type="dxa"/>
            <w:tcBorders>
              <w:top w:val="nil"/>
              <w:left w:val="nil"/>
              <w:bottom w:val="nil"/>
              <w:right w:val="nil"/>
            </w:tcBorders>
            <w:shd w:val="clear" w:color="auto" w:fill="auto"/>
            <w:noWrap/>
            <w:vAlign w:val="center"/>
          </w:tcPr>
          <w:p w14:paraId="66DAE2A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4.516 </w:t>
            </w:r>
          </w:p>
        </w:tc>
        <w:tc>
          <w:tcPr>
            <w:tcW w:w="1216" w:type="dxa"/>
            <w:tcBorders>
              <w:top w:val="nil"/>
              <w:left w:val="nil"/>
              <w:bottom w:val="nil"/>
              <w:right w:val="nil"/>
            </w:tcBorders>
            <w:shd w:val="clear" w:color="auto" w:fill="auto"/>
            <w:noWrap/>
            <w:vAlign w:val="center"/>
          </w:tcPr>
          <w:p w14:paraId="4A72FE5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7.010 </w:t>
            </w:r>
          </w:p>
        </w:tc>
        <w:tc>
          <w:tcPr>
            <w:tcW w:w="1216" w:type="dxa"/>
            <w:tcBorders>
              <w:top w:val="nil"/>
              <w:left w:val="nil"/>
              <w:bottom w:val="nil"/>
              <w:right w:val="nil"/>
            </w:tcBorders>
            <w:shd w:val="clear" w:color="auto" w:fill="auto"/>
            <w:noWrap/>
            <w:vAlign w:val="center"/>
          </w:tcPr>
          <w:p w14:paraId="630545D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28.770 </w:t>
            </w:r>
          </w:p>
        </w:tc>
      </w:tr>
      <w:tr w14:paraId="250DC378">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2EFA5B9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family</w:t>
            </w:r>
          </w:p>
        </w:tc>
        <w:tc>
          <w:tcPr>
            <w:tcW w:w="1216" w:type="dxa"/>
            <w:tcBorders>
              <w:top w:val="nil"/>
              <w:left w:val="nil"/>
              <w:bottom w:val="nil"/>
              <w:right w:val="nil"/>
            </w:tcBorders>
            <w:shd w:val="clear" w:color="auto" w:fill="auto"/>
            <w:noWrap/>
            <w:vAlign w:val="center"/>
          </w:tcPr>
          <w:p w14:paraId="2539CA6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Total number of family members</w:t>
            </w:r>
          </w:p>
        </w:tc>
        <w:tc>
          <w:tcPr>
            <w:tcW w:w="1216" w:type="dxa"/>
            <w:tcBorders>
              <w:top w:val="nil"/>
              <w:left w:val="nil"/>
              <w:bottom w:val="nil"/>
              <w:right w:val="nil"/>
            </w:tcBorders>
            <w:shd w:val="clear" w:color="auto" w:fill="auto"/>
            <w:noWrap/>
            <w:vAlign w:val="center"/>
          </w:tcPr>
          <w:p w14:paraId="7EBEC2E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412C6A4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3.902 </w:t>
            </w:r>
          </w:p>
        </w:tc>
        <w:tc>
          <w:tcPr>
            <w:tcW w:w="1216" w:type="dxa"/>
            <w:tcBorders>
              <w:top w:val="nil"/>
              <w:left w:val="nil"/>
              <w:bottom w:val="nil"/>
              <w:right w:val="nil"/>
            </w:tcBorders>
            <w:shd w:val="clear" w:color="auto" w:fill="auto"/>
            <w:noWrap/>
            <w:vAlign w:val="center"/>
          </w:tcPr>
          <w:p w14:paraId="1037E51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2.006 </w:t>
            </w:r>
          </w:p>
        </w:tc>
        <w:tc>
          <w:tcPr>
            <w:tcW w:w="1216" w:type="dxa"/>
            <w:tcBorders>
              <w:top w:val="nil"/>
              <w:left w:val="nil"/>
              <w:bottom w:val="nil"/>
              <w:right w:val="nil"/>
            </w:tcBorders>
            <w:shd w:val="clear" w:color="auto" w:fill="auto"/>
            <w:noWrap/>
            <w:vAlign w:val="center"/>
          </w:tcPr>
          <w:p w14:paraId="6EB0370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1.000 </w:t>
            </w:r>
          </w:p>
        </w:tc>
        <w:tc>
          <w:tcPr>
            <w:tcW w:w="1216" w:type="dxa"/>
            <w:tcBorders>
              <w:top w:val="nil"/>
              <w:left w:val="nil"/>
              <w:bottom w:val="nil"/>
              <w:right w:val="nil"/>
            </w:tcBorders>
            <w:shd w:val="clear" w:color="auto" w:fill="auto"/>
            <w:noWrap/>
            <w:vAlign w:val="center"/>
          </w:tcPr>
          <w:p w14:paraId="3AEC66D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17.000 </w:t>
            </w:r>
          </w:p>
        </w:tc>
      </w:tr>
      <w:tr w14:paraId="1A2B09F3">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58CEEE3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Household expenditure (log)</w:t>
            </w:r>
          </w:p>
        </w:tc>
        <w:tc>
          <w:tcPr>
            <w:tcW w:w="1216" w:type="dxa"/>
            <w:tcBorders>
              <w:top w:val="nil"/>
              <w:left w:val="nil"/>
              <w:bottom w:val="nil"/>
              <w:right w:val="nil"/>
            </w:tcBorders>
            <w:shd w:val="clear" w:color="auto" w:fill="auto"/>
            <w:noWrap/>
            <w:vAlign w:val="center"/>
          </w:tcPr>
          <w:p w14:paraId="42B0FEC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Total household expenditures</w:t>
            </w:r>
          </w:p>
        </w:tc>
        <w:tc>
          <w:tcPr>
            <w:tcW w:w="1216" w:type="dxa"/>
            <w:tcBorders>
              <w:top w:val="nil"/>
              <w:left w:val="nil"/>
              <w:bottom w:val="nil"/>
              <w:right w:val="nil"/>
            </w:tcBorders>
            <w:shd w:val="clear" w:color="auto" w:fill="auto"/>
            <w:noWrap/>
            <w:vAlign w:val="center"/>
          </w:tcPr>
          <w:p w14:paraId="4410E68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456420C0">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11.129 </w:t>
            </w:r>
          </w:p>
        </w:tc>
        <w:tc>
          <w:tcPr>
            <w:tcW w:w="1216" w:type="dxa"/>
            <w:tcBorders>
              <w:top w:val="nil"/>
              <w:left w:val="nil"/>
              <w:bottom w:val="nil"/>
              <w:right w:val="nil"/>
            </w:tcBorders>
            <w:shd w:val="clear" w:color="auto" w:fill="auto"/>
            <w:noWrap/>
            <w:vAlign w:val="center"/>
          </w:tcPr>
          <w:p w14:paraId="26C0984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0.861 </w:t>
            </w:r>
          </w:p>
        </w:tc>
        <w:tc>
          <w:tcPr>
            <w:tcW w:w="1216" w:type="dxa"/>
            <w:tcBorders>
              <w:top w:val="nil"/>
              <w:left w:val="nil"/>
              <w:bottom w:val="nil"/>
              <w:right w:val="nil"/>
            </w:tcBorders>
            <w:shd w:val="clear" w:color="auto" w:fill="auto"/>
            <w:noWrap/>
            <w:vAlign w:val="center"/>
          </w:tcPr>
          <w:p w14:paraId="7B83E7F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4.654 </w:t>
            </w:r>
          </w:p>
        </w:tc>
        <w:tc>
          <w:tcPr>
            <w:tcW w:w="1216" w:type="dxa"/>
            <w:tcBorders>
              <w:top w:val="nil"/>
              <w:left w:val="nil"/>
              <w:bottom w:val="nil"/>
              <w:right w:val="nil"/>
            </w:tcBorders>
            <w:shd w:val="clear" w:color="auto" w:fill="auto"/>
            <w:noWrap/>
            <w:vAlign w:val="center"/>
          </w:tcPr>
          <w:p w14:paraId="35FCC75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15.895 </w:t>
            </w:r>
          </w:p>
        </w:tc>
      </w:tr>
      <w:tr w14:paraId="70A5EBA8">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5D859B3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Per capita household income (log)</w:t>
            </w:r>
          </w:p>
        </w:tc>
        <w:tc>
          <w:tcPr>
            <w:tcW w:w="1216" w:type="dxa"/>
            <w:tcBorders>
              <w:top w:val="nil"/>
              <w:left w:val="nil"/>
              <w:bottom w:val="nil"/>
              <w:right w:val="nil"/>
            </w:tcBorders>
            <w:shd w:val="clear" w:color="auto" w:fill="auto"/>
            <w:noWrap/>
            <w:vAlign w:val="center"/>
          </w:tcPr>
          <w:p w14:paraId="37A105C2">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Household income per capita</w:t>
            </w:r>
          </w:p>
        </w:tc>
        <w:tc>
          <w:tcPr>
            <w:tcW w:w="1216" w:type="dxa"/>
            <w:tcBorders>
              <w:top w:val="nil"/>
              <w:left w:val="nil"/>
              <w:bottom w:val="nil"/>
              <w:right w:val="nil"/>
            </w:tcBorders>
            <w:shd w:val="clear" w:color="auto" w:fill="auto"/>
            <w:noWrap/>
            <w:vAlign w:val="center"/>
          </w:tcPr>
          <w:p w14:paraId="7226EC5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712EF8A1">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10.159 </w:t>
            </w:r>
          </w:p>
        </w:tc>
        <w:tc>
          <w:tcPr>
            <w:tcW w:w="1216" w:type="dxa"/>
            <w:tcBorders>
              <w:top w:val="nil"/>
              <w:left w:val="nil"/>
              <w:bottom w:val="nil"/>
              <w:right w:val="nil"/>
            </w:tcBorders>
            <w:shd w:val="clear" w:color="auto" w:fill="auto"/>
            <w:noWrap/>
            <w:vAlign w:val="center"/>
          </w:tcPr>
          <w:p w14:paraId="6C14F65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0.857 </w:t>
            </w:r>
          </w:p>
        </w:tc>
        <w:tc>
          <w:tcPr>
            <w:tcW w:w="1216" w:type="dxa"/>
            <w:tcBorders>
              <w:top w:val="nil"/>
              <w:left w:val="nil"/>
              <w:bottom w:val="nil"/>
              <w:right w:val="nil"/>
            </w:tcBorders>
            <w:shd w:val="clear" w:color="auto" w:fill="auto"/>
            <w:noWrap/>
            <w:vAlign w:val="center"/>
          </w:tcPr>
          <w:p w14:paraId="06D6A31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0.000 </w:t>
            </w:r>
          </w:p>
        </w:tc>
        <w:tc>
          <w:tcPr>
            <w:tcW w:w="1216" w:type="dxa"/>
            <w:tcBorders>
              <w:top w:val="nil"/>
              <w:left w:val="nil"/>
              <w:bottom w:val="nil"/>
              <w:right w:val="nil"/>
            </w:tcBorders>
            <w:shd w:val="clear" w:color="auto" w:fill="auto"/>
            <w:noWrap/>
            <w:vAlign w:val="center"/>
          </w:tcPr>
          <w:p w14:paraId="219DB96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15.549 </w:t>
            </w:r>
          </w:p>
        </w:tc>
      </w:tr>
      <w:tr w14:paraId="3FE7B55C">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081BB2F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Regional employment wage (log)</w:t>
            </w:r>
          </w:p>
        </w:tc>
        <w:tc>
          <w:tcPr>
            <w:tcW w:w="1216" w:type="dxa"/>
            <w:tcBorders>
              <w:top w:val="nil"/>
              <w:left w:val="nil"/>
              <w:bottom w:val="nil"/>
              <w:right w:val="nil"/>
            </w:tcBorders>
            <w:shd w:val="clear" w:color="auto" w:fill="auto"/>
            <w:noWrap/>
            <w:vAlign w:val="center"/>
          </w:tcPr>
          <w:p w14:paraId="3178AAC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Average employment wage in the region</w:t>
            </w:r>
          </w:p>
        </w:tc>
        <w:tc>
          <w:tcPr>
            <w:tcW w:w="1216" w:type="dxa"/>
            <w:tcBorders>
              <w:top w:val="nil"/>
              <w:left w:val="nil"/>
              <w:bottom w:val="nil"/>
              <w:right w:val="nil"/>
            </w:tcBorders>
            <w:shd w:val="clear" w:color="auto" w:fill="auto"/>
            <w:noWrap/>
            <w:vAlign w:val="center"/>
          </w:tcPr>
          <w:p w14:paraId="117812E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1889D7A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10.799 </w:t>
            </w:r>
          </w:p>
        </w:tc>
        <w:tc>
          <w:tcPr>
            <w:tcW w:w="1216" w:type="dxa"/>
            <w:tcBorders>
              <w:top w:val="nil"/>
              <w:left w:val="nil"/>
              <w:bottom w:val="nil"/>
              <w:right w:val="nil"/>
            </w:tcBorders>
            <w:shd w:val="clear" w:color="auto" w:fill="auto"/>
            <w:noWrap/>
            <w:vAlign w:val="center"/>
          </w:tcPr>
          <w:p w14:paraId="21D30DF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0.243 </w:t>
            </w:r>
          </w:p>
        </w:tc>
        <w:tc>
          <w:tcPr>
            <w:tcW w:w="1216" w:type="dxa"/>
            <w:tcBorders>
              <w:top w:val="nil"/>
              <w:left w:val="nil"/>
              <w:bottom w:val="nil"/>
              <w:right w:val="nil"/>
            </w:tcBorders>
            <w:shd w:val="clear" w:color="auto" w:fill="auto"/>
            <w:noWrap/>
            <w:vAlign w:val="center"/>
          </w:tcPr>
          <w:p w14:paraId="289D117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10.315 </w:t>
            </w:r>
          </w:p>
        </w:tc>
        <w:tc>
          <w:tcPr>
            <w:tcW w:w="1216" w:type="dxa"/>
            <w:tcBorders>
              <w:top w:val="nil"/>
              <w:left w:val="nil"/>
              <w:bottom w:val="nil"/>
              <w:right w:val="nil"/>
            </w:tcBorders>
            <w:shd w:val="clear" w:color="auto" w:fill="auto"/>
            <w:noWrap/>
            <w:vAlign w:val="center"/>
          </w:tcPr>
          <w:p w14:paraId="5DACBB5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11.558 </w:t>
            </w:r>
          </w:p>
        </w:tc>
      </w:tr>
      <w:tr w14:paraId="6EBEC755">
        <w:tblPrEx>
          <w:tblCellMar>
            <w:top w:w="0" w:type="dxa"/>
            <w:left w:w="108" w:type="dxa"/>
            <w:bottom w:w="0" w:type="dxa"/>
            <w:right w:w="108" w:type="dxa"/>
          </w:tblCellMar>
        </w:tblPrEx>
        <w:trPr>
          <w:trHeight w:val="266" w:hRule="atLeast"/>
        </w:trPr>
        <w:tc>
          <w:tcPr>
            <w:tcW w:w="1216" w:type="dxa"/>
            <w:tcBorders>
              <w:top w:val="nil"/>
              <w:left w:val="nil"/>
              <w:bottom w:val="nil"/>
              <w:right w:val="nil"/>
            </w:tcBorders>
            <w:shd w:val="clear" w:color="auto" w:fill="auto"/>
            <w:noWrap/>
            <w:vAlign w:val="center"/>
          </w:tcPr>
          <w:p w14:paraId="0EA8ADC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 xml:space="preserve">Per </w:t>
            </w:r>
            <w:r>
              <w:rPr>
                <w:rFonts w:ascii="Times New Roman" w:hAnsi="Times New Roman" w:eastAsia="宋体" w:cs="Times New Roman"/>
                <w:kern w:val="0"/>
                <w:sz w:val="18"/>
                <w:szCs w:val="18"/>
                <w:lang w:val="en-GB" w:bidi="ar"/>
              </w:rPr>
              <w:t xml:space="preserve">capita </w:t>
            </w:r>
            <w:r>
              <w:rPr>
                <w:rFonts w:ascii="Times New Roman" w:hAnsi="Times New Roman" w:eastAsia="宋体" w:cs="Times New Roman"/>
                <w:color w:val="000000"/>
                <w:kern w:val="0"/>
                <w:sz w:val="18"/>
                <w:szCs w:val="18"/>
                <w:lang w:val="en-GB" w:bidi="ar"/>
              </w:rPr>
              <w:t>GDP (log)</w:t>
            </w:r>
          </w:p>
        </w:tc>
        <w:tc>
          <w:tcPr>
            <w:tcW w:w="1216" w:type="dxa"/>
            <w:tcBorders>
              <w:top w:val="nil"/>
              <w:left w:val="nil"/>
              <w:bottom w:val="nil"/>
              <w:right w:val="nil"/>
            </w:tcBorders>
            <w:shd w:val="clear" w:color="auto" w:fill="auto"/>
            <w:noWrap/>
            <w:vAlign w:val="center"/>
          </w:tcPr>
          <w:p w14:paraId="18141BE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Gross domestic product per capita</w:t>
            </w:r>
          </w:p>
        </w:tc>
        <w:tc>
          <w:tcPr>
            <w:tcW w:w="1216" w:type="dxa"/>
            <w:tcBorders>
              <w:top w:val="nil"/>
              <w:left w:val="nil"/>
              <w:bottom w:val="nil"/>
              <w:right w:val="nil"/>
            </w:tcBorders>
            <w:shd w:val="clear" w:color="auto" w:fill="auto"/>
            <w:noWrap/>
            <w:vAlign w:val="center"/>
          </w:tcPr>
          <w:p w14:paraId="26427FB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nil"/>
              <w:right w:val="nil"/>
            </w:tcBorders>
            <w:shd w:val="clear" w:color="auto" w:fill="auto"/>
            <w:noWrap/>
            <w:vAlign w:val="center"/>
          </w:tcPr>
          <w:p w14:paraId="1DE30C40">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11.070 </w:t>
            </w:r>
          </w:p>
        </w:tc>
        <w:tc>
          <w:tcPr>
            <w:tcW w:w="1216" w:type="dxa"/>
            <w:tcBorders>
              <w:top w:val="nil"/>
              <w:left w:val="nil"/>
              <w:bottom w:val="nil"/>
              <w:right w:val="nil"/>
            </w:tcBorders>
            <w:shd w:val="clear" w:color="auto" w:fill="auto"/>
            <w:noWrap/>
            <w:vAlign w:val="center"/>
          </w:tcPr>
          <w:p w14:paraId="609E804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0.419 </w:t>
            </w:r>
          </w:p>
        </w:tc>
        <w:tc>
          <w:tcPr>
            <w:tcW w:w="1216" w:type="dxa"/>
            <w:tcBorders>
              <w:top w:val="nil"/>
              <w:left w:val="nil"/>
              <w:bottom w:val="nil"/>
              <w:right w:val="nil"/>
            </w:tcBorders>
            <w:shd w:val="clear" w:color="auto" w:fill="auto"/>
            <w:noWrap/>
            <w:vAlign w:val="center"/>
          </w:tcPr>
          <w:p w14:paraId="6D2958E5">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10.227 </w:t>
            </w:r>
          </w:p>
        </w:tc>
        <w:tc>
          <w:tcPr>
            <w:tcW w:w="1216" w:type="dxa"/>
            <w:tcBorders>
              <w:top w:val="nil"/>
              <w:left w:val="nil"/>
              <w:bottom w:val="nil"/>
              <w:right w:val="nil"/>
            </w:tcBorders>
            <w:shd w:val="clear" w:color="auto" w:fill="auto"/>
            <w:noWrap/>
            <w:vAlign w:val="center"/>
          </w:tcPr>
          <w:p w14:paraId="115CED0C">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12.156 </w:t>
            </w:r>
          </w:p>
        </w:tc>
      </w:tr>
      <w:tr w14:paraId="2089DDF9">
        <w:tblPrEx>
          <w:tblCellMar>
            <w:top w:w="0" w:type="dxa"/>
            <w:left w:w="108" w:type="dxa"/>
            <w:bottom w:w="0" w:type="dxa"/>
            <w:right w:w="108" w:type="dxa"/>
          </w:tblCellMar>
        </w:tblPrEx>
        <w:trPr>
          <w:trHeight w:val="266" w:hRule="atLeast"/>
        </w:trPr>
        <w:tc>
          <w:tcPr>
            <w:tcW w:w="1216" w:type="dxa"/>
            <w:tcBorders>
              <w:top w:val="nil"/>
              <w:left w:val="nil"/>
              <w:bottom w:val="single" w:color="auto" w:sz="12" w:space="0"/>
              <w:right w:val="nil"/>
            </w:tcBorders>
            <w:shd w:val="clear" w:color="auto" w:fill="auto"/>
            <w:noWrap/>
            <w:vAlign w:val="center"/>
          </w:tcPr>
          <w:p w14:paraId="25FC4ECB">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Social security expenditure (log)</w:t>
            </w:r>
          </w:p>
        </w:tc>
        <w:tc>
          <w:tcPr>
            <w:tcW w:w="1216" w:type="dxa"/>
            <w:tcBorders>
              <w:top w:val="nil"/>
              <w:left w:val="nil"/>
              <w:bottom w:val="single" w:color="auto" w:sz="12" w:space="0"/>
              <w:right w:val="nil"/>
            </w:tcBorders>
            <w:shd w:val="clear" w:color="auto" w:fill="auto"/>
            <w:noWrap/>
            <w:vAlign w:val="center"/>
          </w:tcPr>
          <w:p w14:paraId="094DE979">
            <w:pPr>
              <w:widowControl/>
              <w:jc w:val="left"/>
              <w:textAlignment w:val="bottom"/>
              <w:rPr>
                <w:rFonts w:ascii="Times New Roman" w:hAnsi="Times New Roman" w:eastAsia="宋体" w:cs="Times New Roman"/>
                <w:kern w:val="0"/>
                <w:sz w:val="18"/>
                <w:szCs w:val="18"/>
                <w:lang w:val="en-GB" w:bidi="ar"/>
              </w:rPr>
            </w:pPr>
            <w:r>
              <w:rPr>
                <w:rFonts w:ascii="Times New Roman" w:hAnsi="Times New Roman" w:eastAsia="宋体" w:cs="Times New Roman"/>
                <w:kern w:val="0"/>
                <w:sz w:val="18"/>
                <w:szCs w:val="18"/>
                <w:lang w:val="en-GB" w:bidi="ar"/>
              </w:rPr>
              <w:t>Social security and employment-related expenditures by government</w:t>
            </w:r>
          </w:p>
        </w:tc>
        <w:tc>
          <w:tcPr>
            <w:tcW w:w="1216" w:type="dxa"/>
            <w:tcBorders>
              <w:top w:val="nil"/>
              <w:left w:val="nil"/>
              <w:bottom w:val="single" w:color="auto" w:sz="12" w:space="0"/>
              <w:right w:val="nil"/>
            </w:tcBorders>
            <w:shd w:val="clear" w:color="auto" w:fill="auto"/>
            <w:noWrap/>
            <w:vAlign w:val="center"/>
          </w:tcPr>
          <w:p w14:paraId="102FCE8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216" w:type="dxa"/>
            <w:tcBorders>
              <w:top w:val="nil"/>
              <w:left w:val="nil"/>
              <w:bottom w:val="single" w:color="auto" w:sz="12" w:space="0"/>
              <w:right w:val="nil"/>
            </w:tcBorders>
            <w:shd w:val="clear" w:color="auto" w:fill="auto"/>
            <w:noWrap/>
            <w:vAlign w:val="center"/>
          </w:tcPr>
          <w:p w14:paraId="57B20220">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7.003 </w:t>
            </w:r>
          </w:p>
        </w:tc>
        <w:tc>
          <w:tcPr>
            <w:tcW w:w="1216" w:type="dxa"/>
            <w:tcBorders>
              <w:top w:val="nil"/>
              <w:left w:val="nil"/>
              <w:bottom w:val="single" w:color="auto" w:sz="12" w:space="0"/>
              <w:right w:val="nil"/>
            </w:tcBorders>
            <w:shd w:val="clear" w:color="auto" w:fill="auto"/>
            <w:noWrap/>
            <w:vAlign w:val="center"/>
          </w:tcPr>
          <w:p w14:paraId="70670ACC">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0.432 </w:t>
            </w:r>
          </w:p>
        </w:tc>
        <w:tc>
          <w:tcPr>
            <w:tcW w:w="1216" w:type="dxa"/>
            <w:tcBorders>
              <w:top w:val="nil"/>
              <w:left w:val="nil"/>
              <w:bottom w:val="single" w:color="auto" w:sz="12" w:space="0"/>
              <w:right w:val="nil"/>
            </w:tcBorders>
            <w:shd w:val="clear" w:color="auto" w:fill="auto"/>
            <w:noWrap/>
            <w:vAlign w:val="center"/>
          </w:tcPr>
          <w:p w14:paraId="4341BE0A">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4.691 </w:t>
            </w:r>
          </w:p>
        </w:tc>
        <w:tc>
          <w:tcPr>
            <w:tcW w:w="1216" w:type="dxa"/>
            <w:tcBorders>
              <w:top w:val="nil"/>
              <w:left w:val="nil"/>
              <w:bottom w:val="single" w:color="auto" w:sz="12" w:space="0"/>
              <w:right w:val="nil"/>
            </w:tcBorders>
            <w:shd w:val="clear" w:color="auto" w:fill="auto"/>
            <w:noWrap/>
            <w:vAlign w:val="center"/>
          </w:tcPr>
          <w:p w14:paraId="0F5EEB3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 xml:space="preserve">7.714 </w:t>
            </w:r>
          </w:p>
        </w:tc>
      </w:tr>
    </w:tbl>
    <w:p w14:paraId="11C44284">
      <w:pPr>
        <w:pStyle w:val="3"/>
        <w:keepNext w:val="0"/>
        <w:widowControl/>
        <w:rPr>
          <w:rFonts w:hint="eastAsia" w:ascii="Times New Roman" w:hAnsi="Times New Roman"/>
          <w:i/>
          <w:iCs/>
          <w:sz w:val="24"/>
          <w:szCs w:val="21"/>
          <w:lang w:val="en-GB" w:eastAsia="zh-CN"/>
        </w:rPr>
      </w:pPr>
      <w:r>
        <w:rPr>
          <w:rFonts w:hint="eastAsia" w:ascii="Times New Roman" w:hAnsi="Times New Roman"/>
          <w:i/>
          <w:iCs/>
          <w:sz w:val="24"/>
          <w:szCs w:val="21"/>
          <w:lang w:val="en-GB" w:eastAsia="zh-CN"/>
        </w:rPr>
        <w:t>Robustness checks</w:t>
      </w:r>
    </w:p>
    <w:p w14:paraId="46C5110A">
      <w:pPr>
        <w:rPr>
          <w:rFonts w:ascii="Times New Roman" w:hAnsi="Times New Roman" w:cs="Times New Roman"/>
          <w:lang w:val="en-GB"/>
        </w:rPr>
      </w:pPr>
      <w:r>
        <w:rPr>
          <w:rFonts w:ascii="Times New Roman" w:hAnsi="Times New Roman" w:cs="Times New Roman"/>
          <w:lang w:val="en-GB"/>
        </w:rPr>
        <w:t>To ensure the reliability and robustness of our baseline regression results, a series of robustness checks are conducted. These tests aim to verify whether the findings remain consistent under different model specifications, variable transformations, sampling methods, and FE considerations.</w:t>
      </w:r>
    </w:p>
    <w:p w14:paraId="5958ECC1">
      <w:pPr>
        <w:pStyle w:val="8"/>
        <w:numPr>
          <w:ilvl w:val="0"/>
          <w:numId w:val="1"/>
        </w:numPr>
        <w:ind w:firstLineChars="0"/>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Treating the number of insurance schemes as an ordered variable</w:t>
      </w:r>
    </w:p>
    <w:p w14:paraId="579EC6C1">
      <w:pPr>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Column (1) presents the probit regression in which the number of insurance schemes is treated as an ordered categorical variable. This approach examines the incremental effects of different levels of insurance coverage on overall job satisfaction. The results remain consistent with the baseline regression, confirming the positive impact of higher insurance coverage.</w:t>
      </w:r>
    </w:p>
    <w:p w14:paraId="0F390EA4">
      <w:pPr>
        <w:pStyle w:val="8"/>
        <w:numPr>
          <w:ilvl w:val="0"/>
          <w:numId w:val="1"/>
        </w:numPr>
        <w:ind w:firstLineChars="0"/>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Binary categorisation in an FE model</w:t>
      </w:r>
    </w:p>
    <w:p w14:paraId="0B35DFC9">
      <w:pPr>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Column (2) uses an FE model, with the number of insurance schemes transformed into a binary variable (indicating whether an individual has any insurance). This specification focuses on the overall impact of having insurance coverage on job satisfaction. The results align with the baseline regression.</w:t>
      </w:r>
    </w:p>
    <w:p w14:paraId="50F3843E">
      <w:pPr>
        <w:pStyle w:val="8"/>
        <w:numPr>
          <w:ilvl w:val="0"/>
          <w:numId w:val="1"/>
        </w:numPr>
        <w:ind w:firstLineChars="0"/>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Random 50% sampling for robustness testing</w:t>
      </w:r>
    </w:p>
    <w:p w14:paraId="5ECE5330">
      <w:pPr>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Column (3) reports the results using a rolling random sampling approach, in which half of the sample is randomly selected for analysis. This method assesses the robustness of the findings across different subsamples and ensures that the results are not driven by specific subsets of the data. The findings remain consistent with the baseline regression, supporting the robustness of the original conclusions.</w:t>
      </w:r>
    </w:p>
    <w:p w14:paraId="348857B8">
      <w:pPr>
        <w:pStyle w:val="8"/>
        <w:numPr>
          <w:ilvl w:val="0"/>
          <w:numId w:val="1"/>
        </w:numPr>
        <w:ind w:firstLineChars="0"/>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Introducing regional FEs</w:t>
      </w:r>
    </w:p>
    <w:p w14:paraId="16C4B980">
      <w:pPr>
        <w:rPr>
          <w:rFonts w:ascii="Times New Roman" w:hAnsi="Times New Roman" w:cs="Times New Roman"/>
          <w:lang w:val="en-GB"/>
        </w:rPr>
      </w:pPr>
      <w:r>
        <w:rPr>
          <w:rFonts w:ascii="Times New Roman" w:hAnsi="Times New Roman" w:eastAsia="宋体" w:cs="Times New Roman"/>
          <w:color w:val="000000"/>
          <w:kern w:val="0"/>
          <w:szCs w:val="21"/>
          <w:lang w:val="en-GB" w:bidi="ar"/>
        </w:rPr>
        <w:t>Column (4) includes regional FEs, specifically targeting data from Beijing, Shanghai, Guangzhou, and Shenzhen. This approach accounts for unobserved regional heterogeneity and its potential influence on job satisfaction outcomes. The results are consistent with the baseline regression.</w:t>
      </w:r>
    </w:p>
    <w:p w14:paraId="38A7F061">
      <w:pPr>
        <w:rPr>
          <w:rFonts w:hint="eastAsia" w:ascii="Times New Roman" w:hAnsi="Times New Roman" w:cs="Times New Roman" w:eastAsiaTheme="minorEastAsia"/>
          <w:b/>
          <w:bCs/>
          <w:lang w:val="en-GB" w:eastAsia="zh-CN"/>
        </w:rPr>
      </w:pPr>
      <w:r>
        <w:rPr>
          <w:rFonts w:ascii="Times New Roman" w:hAnsi="Times New Roman" w:cs="Times New Roman"/>
          <w:b/>
          <w:bCs/>
          <w:lang w:val="en-GB"/>
        </w:rPr>
        <w:t xml:space="preserve">Table </w:t>
      </w:r>
      <w:r>
        <w:rPr>
          <w:rFonts w:hint="eastAsia" w:ascii="Times New Roman" w:hAnsi="Times New Roman" w:cs="Times New Roman"/>
          <w:b/>
          <w:bCs/>
          <w:lang w:val="en-US" w:eastAsia="zh-CN"/>
        </w:rPr>
        <w:t>2</w:t>
      </w:r>
    </w:p>
    <w:p w14:paraId="1A100E68">
      <w:pPr>
        <w:rPr>
          <w:rFonts w:ascii="Times New Roman" w:hAnsi="Times New Roman" w:eastAsia="宋体" w:cs="Times New Roman"/>
          <w:color w:val="000000"/>
          <w:kern w:val="0"/>
          <w:sz w:val="18"/>
          <w:szCs w:val="18"/>
          <w:highlight w:val="cyan"/>
          <w:lang w:val="en-GB" w:bidi="ar"/>
        </w:rPr>
      </w:pPr>
      <w:r>
        <w:rPr>
          <w:rFonts w:ascii="Times New Roman" w:hAnsi="Times New Roman" w:eastAsia="宋体" w:cs="Times New Roman"/>
          <w:color w:val="000000"/>
          <w:kern w:val="0"/>
          <w:szCs w:val="21"/>
          <w:highlight w:val="cyan"/>
          <w:lang w:val="en-GB" w:bidi="ar"/>
        </w:rPr>
        <w:t>Robustness tests.</w:t>
      </w:r>
    </w:p>
    <w:tbl>
      <w:tblPr>
        <w:tblStyle w:val="6"/>
        <w:tblW w:w="9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5"/>
        <w:gridCol w:w="1628"/>
        <w:gridCol w:w="1628"/>
        <w:gridCol w:w="1521"/>
        <w:gridCol w:w="1363"/>
      </w:tblGrid>
      <w:tr w14:paraId="1A78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single" w:color="000000" w:themeColor="text1" w:sz="12" w:space="0"/>
              <w:left w:val="nil"/>
              <w:bottom w:val="nil"/>
              <w:right w:val="nil"/>
            </w:tcBorders>
            <w:shd w:val="clear" w:color="auto" w:fill="FFFFFF"/>
          </w:tcPr>
          <w:p w14:paraId="4A096C6B">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Variable</w:t>
            </w:r>
          </w:p>
        </w:tc>
        <w:tc>
          <w:tcPr>
            <w:tcW w:w="6140" w:type="dxa"/>
            <w:gridSpan w:val="4"/>
            <w:tcBorders>
              <w:top w:val="single" w:color="000000" w:themeColor="text1" w:sz="12" w:space="0"/>
              <w:left w:val="nil"/>
              <w:bottom w:val="single" w:color="000000" w:themeColor="text1" w:sz="12" w:space="0"/>
              <w:right w:val="nil"/>
            </w:tcBorders>
            <w:shd w:val="clear" w:color="auto" w:fill="FFFFFF"/>
          </w:tcPr>
          <w:p w14:paraId="0DCF826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Overall job satisfaction</w:t>
            </w:r>
          </w:p>
        </w:tc>
      </w:tr>
      <w:tr w14:paraId="6A0B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nil"/>
              <w:left w:val="nil"/>
              <w:bottom w:val="nil"/>
              <w:right w:val="nil"/>
            </w:tcBorders>
            <w:shd w:val="clear" w:color="auto" w:fill="FFFFFF"/>
          </w:tcPr>
          <w:p w14:paraId="54719A00">
            <w:pPr>
              <w:widowControl/>
              <w:jc w:val="left"/>
              <w:textAlignment w:val="bottom"/>
              <w:rPr>
                <w:rFonts w:ascii="Times New Roman" w:hAnsi="Times New Roman" w:eastAsia="宋体" w:cs="Times New Roman"/>
                <w:color w:val="000000"/>
                <w:kern w:val="0"/>
                <w:sz w:val="18"/>
                <w:szCs w:val="18"/>
                <w:lang w:val="en-GB" w:bidi="ar"/>
              </w:rPr>
            </w:pPr>
          </w:p>
        </w:tc>
        <w:tc>
          <w:tcPr>
            <w:tcW w:w="1628" w:type="dxa"/>
            <w:tcBorders>
              <w:top w:val="single" w:color="000000" w:themeColor="text1" w:sz="12" w:space="0"/>
              <w:left w:val="nil"/>
              <w:bottom w:val="single" w:color="auto" w:sz="12" w:space="0"/>
              <w:right w:val="nil"/>
            </w:tcBorders>
            <w:shd w:val="clear" w:color="auto" w:fill="FFFFFF"/>
          </w:tcPr>
          <w:p w14:paraId="61EBDEF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Probit</w:t>
            </w:r>
          </w:p>
        </w:tc>
        <w:tc>
          <w:tcPr>
            <w:tcW w:w="1628" w:type="dxa"/>
            <w:tcBorders>
              <w:top w:val="single" w:color="000000" w:themeColor="text1" w:sz="12" w:space="0"/>
              <w:left w:val="nil"/>
              <w:bottom w:val="single" w:color="auto" w:sz="12" w:space="0"/>
              <w:right w:val="nil"/>
            </w:tcBorders>
            <w:shd w:val="clear" w:color="auto" w:fill="FFFFFF"/>
          </w:tcPr>
          <w:p w14:paraId="5CC90683">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FE</w:t>
            </w:r>
          </w:p>
        </w:tc>
        <w:tc>
          <w:tcPr>
            <w:tcW w:w="1521" w:type="dxa"/>
            <w:tcBorders>
              <w:top w:val="single" w:color="000000" w:themeColor="text1" w:sz="12" w:space="0"/>
              <w:left w:val="nil"/>
              <w:bottom w:val="single" w:color="auto" w:sz="12" w:space="0"/>
              <w:right w:val="nil"/>
            </w:tcBorders>
            <w:shd w:val="clear" w:color="auto" w:fill="FFFFFF"/>
          </w:tcPr>
          <w:p w14:paraId="7BB3F44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FE</w:t>
            </w:r>
          </w:p>
        </w:tc>
        <w:tc>
          <w:tcPr>
            <w:tcW w:w="1363" w:type="dxa"/>
            <w:tcBorders>
              <w:top w:val="single" w:color="000000" w:themeColor="text1" w:sz="12" w:space="0"/>
              <w:left w:val="nil"/>
              <w:bottom w:val="single" w:color="auto" w:sz="12" w:space="0"/>
              <w:right w:val="nil"/>
            </w:tcBorders>
            <w:shd w:val="clear" w:color="auto" w:fill="FFFFFF"/>
          </w:tcPr>
          <w:p w14:paraId="5CE321C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FE</w:t>
            </w:r>
          </w:p>
        </w:tc>
      </w:tr>
      <w:tr w14:paraId="5E3C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nil"/>
              <w:left w:val="nil"/>
              <w:bottom w:val="single" w:color="auto" w:sz="12" w:space="0"/>
              <w:right w:val="nil"/>
            </w:tcBorders>
            <w:shd w:val="clear" w:color="auto" w:fill="FFFFFF"/>
          </w:tcPr>
          <w:p w14:paraId="4EFBDF8B">
            <w:pPr>
              <w:widowControl/>
              <w:jc w:val="left"/>
              <w:textAlignment w:val="bottom"/>
              <w:rPr>
                <w:rFonts w:ascii="Times New Roman" w:hAnsi="Times New Roman" w:eastAsia="宋体" w:cs="Times New Roman"/>
                <w:color w:val="000000"/>
                <w:kern w:val="0"/>
                <w:sz w:val="18"/>
                <w:szCs w:val="18"/>
                <w:lang w:val="en-GB" w:bidi="ar"/>
              </w:rPr>
            </w:pPr>
          </w:p>
        </w:tc>
        <w:tc>
          <w:tcPr>
            <w:tcW w:w="1628" w:type="dxa"/>
            <w:tcBorders>
              <w:top w:val="single" w:color="000000" w:themeColor="text1" w:sz="12" w:space="0"/>
              <w:left w:val="nil"/>
              <w:bottom w:val="single" w:color="auto" w:sz="12" w:space="0"/>
              <w:right w:val="nil"/>
            </w:tcBorders>
            <w:shd w:val="clear" w:color="auto" w:fill="FFFFFF"/>
          </w:tcPr>
          <w:p w14:paraId="31B1CCF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(1)</w:t>
            </w:r>
          </w:p>
        </w:tc>
        <w:tc>
          <w:tcPr>
            <w:tcW w:w="1628" w:type="dxa"/>
            <w:tcBorders>
              <w:top w:val="single" w:color="000000" w:themeColor="text1" w:sz="12" w:space="0"/>
              <w:left w:val="nil"/>
              <w:bottom w:val="single" w:color="auto" w:sz="12" w:space="0"/>
              <w:right w:val="nil"/>
            </w:tcBorders>
            <w:shd w:val="clear" w:color="auto" w:fill="FFFFFF"/>
          </w:tcPr>
          <w:p w14:paraId="51066A4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(2)</w:t>
            </w:r>
          </w:p>
        </w:tc>
        <w:tc>
          <w:tcPr>
            <w:tcW w:w="1521" w:type="dxa"/>
            <w:tcBorders>
              <w:top w:val="single" w:color="000000" w:themeColor="text1" w:sz="12" w:space="0"/>
              <w:left w:val="nil"/>
              <w:bottom w:val="single" w:color="auto" w:sz="12" w:space="0"/>
              <w:right w:val="nil"/>
            </w:tcBorders>
            <w:shd w:val="clear" w:color="auto" w:fill="FFFFFF"/>
          </w:tcPr>
          <w:p w14:paraId="02D46B43">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(3)</w:t>
            </w:r>
          </w:p>
        </w:tc>
        <w:tc>
          <w:tcPr>
            <w:tcW w:w="1363" w:type="dxa"/>
            <w:tcBorders>
              <w:top w:val="single" w:color="000000" w:themeColor="text1" w:sz="12" w:space="0"/>
              <w:left w:val="nil"/>
              <w:bottom w:val="single" w:color="auto" w:sz="12" w:space="0"/>
              <w:right w:val="nil"/>
            </w:tcBorders>
            <w:shd w:val="clear" w:color="auto" w:fill="FFFFFF"/>
          </w:tcPr>
          <w:p w14:paraId="5006975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(4)</w:t>
            </w:r>
          </w:p>
        </w:tc>
      </w:tr>
      <w:tr w14:paraId="6D9E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single" w:color="auto" w:sz="12" w:space="0"/>
              <w:left w:val="nil"/>
              <w:bottom w:val="nil"/>
              <w:right w:val="nil"/>
            </w:tcBorders>
            <w:shd w:val="clear" w:color="auto" w:fill="FFFFFF"/>
          </w:tcPr>
          <w:p w14:paraId="2329628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insurance schemes</w:t>
            </w:r>
          </w:p>
        </w:tc>
        <w:tc>
          <w:tcPr>
            <w:tcW w:w="1628" w:type="dxa"/>
            <w:tcBorders>
              <w:top w:val="single" w:color="auto" w:sz="12" w:space="0"/>
              <w:left w:val="nil"/>
              <w:bottom w:val="nil"/>
              <w:right w:val="nil"/>
            </w:tcBorders>
            <w:shd w:val="clear" w:color="auto" w:fill="FFFFFF"/>
            <w:vAlign w:val="top"/>
          </w:tcPr>
          <w:p w14:paraId="1A2FC19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0.032*** (0.0</w:t>
            </w:r>
            <w:r>
              <w:rPr>
                <w:rFonts w:hint="eastAsia" w:ascii="Times New Roman" w:hAnsi="Times New Roman" w:eastAsia="微软雅黑" w:cs="Times New Roman"/>
                <w:color w:val="0000FF"/>
                <w:kern w:val="0"/>
                <w:sz w:val="18"/>
                <w:szCs w:val="18"/>
                <w:lang w:val="en-US" w:eastAsia="zh-CN" w:bidi="ar"/>
              </w:rPr>
              <w:t>04</w:t>
            </w:r>
            <w:r>
              <w:rPr>
                <w:rFonts w:hint="eastAsia" w:ascii="Times New Roman" w:hAnsi="Times New Roman" w:eastAsia="微软雅黑" w:cs="Times New Roman"/>
                <w:color w:val="0000FF"/>
                <w:kern w:val="0"/>
                <w:sz w:val="18"/>
                <w:szCs w:val="18"/>
                <w:lang w:val="en-GB" w:eastAsia="zh-CN" w:bidi="ar"/>
              </w:rPr>
              <w:t>)</w:t>
            </w:r>
          </w:p>
        </w:tc>
        <w:tc>
          <w:tcPr>
            <w:tcW w:w="1628" w:type="dxa"/>
            <w:tcBorders>
              <w:top w:val="single" w:color="auto" w:sz="12" w:space="0"/>
              <w:left w:val="nil"/>
              <w:bottom w:val="nil"/>
              <w:right w:val="nil"/>
            </w:tcBorders>
            <w:shd w:val="clear" w:color="auto" w:fill="FFFFFF"/>
            <w:vAlign w:val="top"/>
          </w:tcPr>
          <w:p w14:paraId="5DF6DAB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075</w:t>
            </w:r>
            <w:r>
              <w:rPr>
                <w:rFonts w:hint="eastAsia" w:ascii="Times New Roman" w:hAnsi="Times New Roman" w:eastAsia="微软雅黑" w:cs="Times New Roman"/>
                <w:color w:val="0000FF"/>
                <w:kern w:val="0"/>
                <w:sz w:val="18"/>
                <w:szCs w:val="18"/>
                <w:lang w:val="en-GB" w:eastAsia="zh-CN" w:bidi="ar"/>
              </w:rPr>
              <w:t>*** (0.0</w:t>
            </w:r>
            <w:r>
              <w:rPr>
                <w:rFonts w:hint="eastAsia" w:ascii="Times New Roman" w:hAnsi="Times New Roman" w:eastAsia="微软雅黑" w:cs="Times New Roman"/>
                <w:color w:val="0000FF"/>
                <w:kern w:val="0"/>
                <w:sz w:val="18"/>
                <w:szCs w:val="18"/>
                <w:lang w:val="en-US" w:eastAsia="zh-CN" w:bidi="ar"/>
              </w:rPr>
              <w:t>18</w:t>
            </w:r>
            <w:r>
              <w:rPr>
                <w:rFonts w:hint="eastAsia" w:ascii="Times New Roman" w:hAnsi="Times New Roman" w:eastAsia="微软雅黑" w:cs="Times New Roman"/>
                <w:color w:val="0000FF"/>
                <w:kern w:val="0"/>
                <w:sz w:val="18"/>
                <w:szCs w:val="18"/>
                <w:lang w:val="en-GB" w:eastAsia="zh-CN" w:bidi="ar"/>
              </w:rPr>
              <w:t>)</w:t>
            </w:r>
          </w:p>
        </w:tc>
        <w:tc>
          <w:tcPr>
            <w:tcW w:w="1521" w:type="dxa"/>
            <w:tcBorders>
              <w:top w:val="single" w:color="auto" w:sz="12" w:space="0"/>
              <w:left w:val="nil"/>
              <w:bottom w:val="nil"/>
              <w:right w:val="nil"/>
            </w:tcBorders>
            <w:shd w:val="clear" w:color="auto" w:fill="FFFFFF"/>
            <w:vAlign w:val="top"/>
          </w:tcPr>
          <w:p w14:paraId="1E746F6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025</w:t>
            </w:r>
            <w:r>
              <w:rPr>
                <w:rFonts w:hint="eastAsia" w:ascii="Times New Roman" w:hAnsi="Times New Roman" w:eastAsia="微软雅黑" w:cs="Times New Roman"/>
                <w:color w:val="0000FF"/>
                <w:kern w:val="0"/>
                <w:sz w:val="18"/>
                <w:szCs w:val="18"/>
                <w:lang w:val="en-GB" w:eastAsia="zh-CN" w:bidi="ar"/>
              </w:rPr>
              <w:t>*** (0.</w:t>
            </w:r>
            <w:r>
              <w:rPr>
                <w:rFonts w:hint="eastAsia" w:ascii="Times New Roman" w:hAnsi="Times New Roman" w:eastAsia="微软雅黑" w:cs="Times New Roman"/>
                <w:color w:val="0000FF"/>
                <w:kern w:val="0"/>
                <w:sz w:val="18"/>
                <w:szCs w:val="18"/>
                <w:lang w:val="en-US" w:eastAsia="zh-CN" w:bidi="ar"/>
              </w:rPr>
              <w:t>008</w:t>
            </w:r>
            <w:r>
              <w:rPr>
                <w:rFonts w:hint="eastAsia" w:ascii="Times New Roman" w:hAnsi="Times New Roman" w:eastAsia="微软雅黑" w:cs="Times New Roman"/>
                <w:color w:val="0000FF"/>
                <w:kern w:val="0"/>
                <w:sz w:val="18"/>
                <w:szCs w:val="18"/>
                <w:lang w:val="en-GB" w:eastAsia="zh-CN" w:bidi="ar"/>
              </w:rPr>
              <w:t>)</w:t>
            </w:r>
          </w:p>
        </w:tc>
        <w:tc>
          <w:tcPr>
            <w:tcW w:w="1363" w:type="dxa"/>
            <w:tcBorders>
              <w:top w:val="single" w:color="auto" w:sz="12" w:space="0"/>
              <w:left w:val="nil"/>
              <w:bottom w:val="nil"/>
              <w:right w:val="nil"/>
            </w:tcBorders>
            <w:shd w:val="clear" w:color="auto" w:fill="FFFFFF"/>
            <w:vAlign w:val="top"/>
          </w:tcPr>
          <w:p w14:paraId="3B039A7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016</w:t>
            </w:r>
            <w:r>
              <w:rPr>
                <w:rFonts w:hint="eastAsia" w:ascii="Times New Roman" w:hAnsi="Times New Roman" w:eastAsia="微软雅黑" w:cs="Times New Roman"/>
                <w:color w:val="0000FF"/>
                <w:kern w:val="0"/>
                <w:sz w:val="18"/>
                <w:szCs w:val="18"/>
                <w:lang w:val="en-GB" w:eastAsia="zh-CN" w:bidi="ar"/>
              </w:rPr>
              <w:t>*** (0.00</w:t>
            </w:r>
            <w:r>
              <w:rPr>
                <w:rFonts w:hint="eastAsia" w:ascii="Times New Roman" w:hAnsi="Times New Roman" w:eastAsia="微软雅黑" w:cs="Times New Roman"/>
                <w:color w:val="0000FF"/>
                <w:kern w:val="0"/>
                <w:sz w:val="18"/>
                <w:szCs w:val="18"/>
                <w:lang w:val="en-US" w:eastAsia="zh-CN" w:bidi="ar"/>
              </w:rPr>
              <w:t>5</w:t>
            </w:r>
            <w:r>
              <w:rPr>
                <w:rFonts w:hint="eastAsia" w:ascii="Times New Roman" w:hAnsi="Times New Roman" w:eastAsia="微软雅黑" w:cs="Times New Roman"/>
                <w:color w:val="0000FF"/>
                <w:kern w:val="0"/>
                <w:sz w:val="18"/>
                <w:szCs w:val="18"/>
                <w:lang w:val="en-GB" w:eastAsia="zh-CN" w:bidi="ar"/>
              </w:rPr>
              <w:t>)</w:t>
            </w:r>
          </w:p>
        </w:tc>
      </w:tr>
      <w:tr w14:paraId="6252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nil"/>
              <w:left w:val="nil"/>
              <w:bottom w:val="nil"/>
              <w:right w:val="nil"/>
            </w:tcBorders>
            <w:shd w:val="clear" w:color="auto" w:fill="FFFFFF"/>
          </w:tcPr>
          <w:p w14:paraId="005E336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 xml:space="preserve">Individual, </w:t>
            </w:r>
            <w:r>
              <w:rPr>
                <w:rFonts w:hint="eastAsia" w:ascii="Times New Roman" w:hAnsi="Times New Roman" w:eastAsia="宋体" w:cs="Times New Roman"/>
                <w:color w:val="000000"/>
                <w:kern w:val="0"/>
                <w:sz w:val="18"/>
                <w:szCs w:val="18"/>
                <w:lang w:val="en-US" w:eastAsia="zh-CN" w:bidi="ar"/>
              </w:rPr>
              <w:t>year</w:t>
            </w:r>
            <w:bookmarkStart w:id="3" w:name="_GoBack"/>
            <w:bookmarkEnd w:id="3"/>
            <w:r>
              <w:rPr>
                <w:rFonts w:ascii="Times New Roman" w:hAnsi="Times New Roman" w:eastAsia="宋体" w:cs="Times New Roman"/>
                <w:color w:val="000000"/>
                <w:kern w:val="0"/>
                <w:sz w:val="18"/>
                <w:szCs w:val="18"/>
                <w:lang w:val="en-GB" w:bidi="ar"/>
              </w:rPr>
              <w:t xml:space="preserve"> FE</w:t>
            </w:r>
          </w:p>
        </w:tc>
        <w:tc>
          <w:tcPr>
            <w:tcW w:w="1628" w:type="dxa"/>
            <w:tcBorders>
              <w:top w:val="nil"/>
              <w:left w:val="nil"/>
              <w:bottom w:val="nil"/>
              <w:right w:val="nil"/>
            </w:tcBorders>
            <w:shd w:val="clear" w:color="auto" w:fill="FFFFFF"/>
          </w:tcPr>
          <w:p w14:paraId="272DFDD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NO</w:t>
            </w:r>
          </w:p>
        </w:tc>
        <w:tc>
          <w:tcPr>
            <w:tcW w:w="1628" w:type="dxa"/>
            <w:tcBorders>
              <w:top w:val="nil"/>
              <w:left w:val="nil"/>
              <w:bottom w:val="nil"/>
              <w:right w:val="nil"/>
            </w:tcBorders>
            <w:shd w:val="clear" w:color="auto" w:fill="FFFFFF"/>
          </w:tcPr>
          <w:p w14:paraId="1D7C539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1521" w:type="dxa"/>
            <w:tcBorders>
              <w:top w:val="nil"/>
              <w:left w:val="nil"/>
              <w:bottom w:val="nil"/>
              <w:right w:val="nil"/>
            </w:tcBorders>
            <w:shd w:val="clear" w:color="auto" w:fill="FFFFFF"/>
          </w:tcPr>
          <w:p w14:paraId="271104C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1363" w:type="dxa"/>
            <w:tcBorders>
              <w:top w:val="nil"/>
              <w:left w:val="nil"/>
              <w:bottom w:val="nil"/>
              <w:right w:val="nil"/>
            </w:tcBorders>
            <w:shd w:val="clear" w:color="auto" w:fill="FFFFFF"/>
          </w:tcPr>
          <w:p w14:paraId="0D09F29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3E23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nil"/>
              <w:left w:val="nil"/>
              <w:bottom w:val="nil"/>
              <w:right w:val="nil"/>
            </w:tcBorders>
            <w:shd w:val="clear" w:color="auto" w:fill="FFFFFF"/>
          </w:tcPr>
          <w:p w14:paraId="094542A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District FE</w:t>
            </w:r>
          </w:p>
        </w:tc>
        <w:tc>
          <w:tcPr>
            <w:tcW w:w="1628" w:type="dxa"/>
            <w:tcBorders>
              <w:top w:val="nil"/>
              <w:left w:val="nil"/>
              <w:bottom w:val="nil"/>
              <w:right w:val="nil"/>
            </w:tcBorders>
            <w:shd w:val="clear" w:color="auto" w:fill="FFFFFF"/>
          </w:tcPr>
          <w:p w14:paraId="79EC17A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NO</w:t>
            </w:r>
          </w:p>
        </w:tc>
        <w:tc>
          <w:tcPr>
            <w:tcW w:w="1628" w:type="dxa"/>
            <w:tcBorders>
              <w:top w:val="nil"/>
              <w:left w:val="nil"/>
              <w:bottom w:val="nil"/>
              <w:right w:val="nil"/>
            </w:tcBorders>
            <w:shd w:val="clear" w:color="auto" w:fill="FFFFFF"/>
          </w:tcPr>
          <w:p w14:paraId="76E04D3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NO</w:t>
            </w:r>
          </w:p>
        </w:tc>
        <w:tc>
          <w:tcPr>
            <w:tcW w:w="1521" w:type="dxa"/>
            <w:tcBorders>
              <w:top w:val="nil"/>
              <w:left w:val="nil"/>
              <w:bottom w:val="nil"/>
              <w:right w:val="nil"/>
            </w:tcBorders>
            <w:shd w:val="clear" w:color="auto" w:fill="FFFFFF"/>
          </w:tcPr>
          <w:p w14:paraId="52A861B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NO</w:t>
            </w:r>
          </w:p>
        </w:tc>
        <w:tc>
          <w:tcPr>
            <w:tcW w:w="1363" w:type="dxa"/>
            <w:tcBorders>
              <w:top w:val="nil"/>
              <w:left w:val="nil"/>
              <w:bottom w:val="nil"/>
              <w:right w:val="nil"/>
            </w:tcBorders>
            <w:shd w:val="clear" w:color="auto" w:fill="FFFFFF"/>
          </w:tcPr>
          <w:p w14:paraId="514B787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1574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nil"/>
              <w:left w:val="nil"/>
              <w:bottom w:val="nil"/>
              <w:right w:val="nil"/>
            </w:tcBorders>
            <w:shd w:val="clear" w:color="auto" w:fill="FFFFFF"/>
          </w:tcPr>
          <w:p w14:paraId="539D2C3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Obs.</w:t>
            </w:r>
          </w:p>
        </w:tc>
        <w:tc>
          <w:tcPr>
            <w:tcW w:w="1628" w:type="dxa"/>
            <w:tcBorders>
              <w:top w:val="nil"/>
              <w:left w:val="nil"/>
              <w:bottom w:val="nil"/>
              <w:right w:val="nil"/>
            </w:tcBorders>
            <w:shd w:val="clear" w:color="auto" w:fill="FFFFFF"/>
            <w:vAlign w:val="top"/>
          </w:tcPr>
          <w:p w14:paraId="53456DB8">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628" w:type="dxa"/>
            <w:tcBorders>
              <w:top w:val="nil"/>
              <w:left w:val="nil"/>
              <w:bottom w:val="nil"/>
              <w:right w:val="nil"/>
            </w:tcBorders>
            <w:shd w:val="clear" w:color="auto" w:fill="FFFFFF"/>
            <w:vAlign w:val="top"/>
          </w:tcPr>
          <w:p w14:paraId="46E5E15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1521" w:type="dxa"/>
            <w:tcBorders>
              <w:top w:val="nil"/>
              <w:left w:val="nil"/>
              <w:bottom w:val="nil"/>
              <w:right w:val="nil"/>
            </w:tcBorders>
            <w:shd w:val="clear" w:color="auto" w:fill="FFFFFF"/>
            <w:vAlign w:val="top"/>
          </w:tcPr>
          <w:p w14:paraId="531BAF1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15595</w:t>
            </w:r>
          </w:p>
        </w:tc>
        <w:tc>
          <w:tcPr>
            <w:tcW w:w="1363" w:type="dxa"/>
            <w:tcBorders>
              <w:top w:val="nil"/>
              <w:left w:val="nil"/>
              <w:bottom w:val="nil"/>
              <w:right w:val="nil"/>
            </w:tcBorders>
            <w:shd w:val="clear" w:color="auto" w:fill="FFFFFF"/>
            <w:vAlign w:val="top"/>
          </w:tcPr>
          <w:p w14:paraId="4E32A8C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r>
      <w:tr w14:paraId="313C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935" w:type="dxa"/>
            <w:tcBorders>
              <w:top w:val="nil"/>
              <w:left w:val="nil"/>
              <w:bottom w:val="single" w:color="auto" w:sz="12" w:space="0"/>
              <w:right w:val="nil"/>
            </w:tcBorders>
            <w:shd w:val="clear" w:color="auto" w:fill="FFFFFF"/>
          </w:tcPr>
          <w:p w14:paraId="2B48F528">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R</w:t>
            </w:r>
          </w:p>
        </w:tc>
        <w:tc>
          <w:tcPr>
            <w:tcW w:w="1628" w:type="dxa"/>
            <w:tcBorders>
              <w:top w:val="nil"/>
              <w:left w:val="nil"/>
              <w:bottom w:val="single" w:color="auto" w:sz="12" w:space="0"/>
              <w:right w:val="nil"/>
            </w:tcBorders>
            <w:shd w:val="clear" w:color="auto" w:fill="FFFFFF"/>
          </w:tcPr>
          <w:p w14:paraId="721A9E37">
            <w:pPr>
              <w:widowControl/>
              <w:jc w:val="left"/>
              <w:textAlignment w:val="bottom"/>
              <w:rPr>
                <w:rFonts w:ascii="Times New Roman" w:hAnsi="Times New Roman" w:eastAsia="宋体" w:cs="Times New Roman"/>
                <w:color w:val="0000FF"/>
                <w:kern w:val="0"/>
                <w:sz w:val="18"/>
                <w:szCs w:val="18"/>
                <w:lang w:val="en-GB" w:bidi="ar"/>
              </w:rPr>
            </w:pPr>
            <w:r>
              <w:rPr>
                <w:rFonts w:ascii="Times New Roman" w:hAnsi="Times New Roman" w:eastAsia="宋体" w:cs="Times New Roman"/>
                <w:color w:val="0000FF"/>
                <w:kern w:val="0"/>
                <w:sz w:val="18"/>
                <w:szCs w:val="18"/>
                <w:lang w:val="en-GB" w:bidi="ar"/>
              </w:rPr>
              <w:t>0.078</w:t>
            </w:r>
          </w:p>
        </w:tc>
        <w:tc>
          <w:tcPr>
            <w:tcW w:w="1628" w:type="dxa"/>
            <w:tcBorders>
              <w:top w:val="nil"/>
              <w:left w:val="nil"/>
              <w:bottom w:val="single" w:color="auto" w:sz="12" w:space="0"/>
              <w:right w:val="nil"/>
            </w:tcBorders>
            <w:shd w:val="clear" w:color="auto" w:fill="FFFFFF"/>
            <w:vAlign w:val="top"/>
          </w:tcPr>
          <w:p w14:paraId="234CAB1F">
            <w:pPr>
              <w:widowControl/>
              <w:jc w:val="left"/>
              <w:textAlignment w:val="bottom"/>
              <w:rPr>
                <w:rFonts w:ascii="Times New Roman" w:hAnsi="Times New Roman" w:eastAsia="宋体" w:cs="Times New Roman"/>
                <w:color w:val="0000FF"/>
                <w:kern w:val="0"/>
                <w:sz w:val="18"/>
                <w:szCs w:val="18"/>
                <w:lang w:val="en-GB" w:bidi="ar"/>
              </w:rPr>
            </w:pPr>
            <w:r>
              <w:rPr>
                <w:rFonts w:hint="default" w:ascii="Times New Roman" w:hAnsi="Times New Roman" w:eastAsia="宋体" w:cs="Times New Roman"/>
                <w:color w:val="0000FF"/>
                <w:kern w:val="0"/>
                <w:sz w:val="18"/>
                <w:szCs w:val="18"/>
                <w:lang w:val="en-GB" w:eastAsia="zh-CN" w:bidi="ar"/>
              </w:rPr>
              <w:t>0.352</w:t>
            </w:r>
          </w:p>
        </w:tc>
        <w:tc>
          <w:tcPr>
            <w:tcW w:w="1521" w:type="dxa"/>
            <w:tcBorders>
              <w:top w:val="nil"/>
              <w:left w:val="nil"/>
              <w:bottom w:val="single" w:color="auto" w:sz="12" w:space="0"/>
              <w:right w:val="nil"/>
            </w:tcBorders>
            <w:shd w:val="clear" w:color="auto" w:fill="FFFFFF"/>
            <w:vAlign w:val="top"/>
          </w:tcPr>
          <w:p w14:paraId="1AD93870">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lang w:val="en-GB" w:eastAsia="zh-CN" w:bidi="ar"/>
              </w:rPr>
              <w:t>0.363</w:t>
            </w:r>
          </w:p>
        </w:tc>
        <w:tc>
          <w:tcPr>
            <w:tcW w:w="1363" w:type="dxa"/>
            <w:tcBorders>
              <w:top w:val="nil"/>
              <w:left w:val="nil"/>
              <w:bottom w:val="single" w:color="auto" w:sz="12" w:space="0"/>
              <w:right w:val="nil"/>
            </w:tcBorders>
            <w:shd w:val="clear" w:color="auto" w:fill="FFFFFF"/>
            <w:vAlign w:val="top"/>
          </w:tcPr>
          <w:p w14:paraId="5B66EEE5">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宋体" w:cs="Times New Roman"/>
                <w:color w:val="0000FF"/>
                <w:kern w:val="0"/>
                <w:sz w:val="18"/>
                <w:szCs w:val="18"/>
                <w:lang w:val="en-GB" w:eastAsia="zh-CN" w:bidi="ar"/>
              </w:rPr>
              <w:t>0.35</w:t>
            </w:r>
            <w:r>
              <w:rPr>
                <w:rFonts w:hint="eastAsia" w:ascii="Times New Roman" w:hAnsi="Times New Roman" w:eastAsia="宋体" w:cs="Times New Roman"/>
                <w:color w:val="0000FF"/>
                <w:kern w:val="0"/>
                <w:sz w:val="18"/>
                <w:szCs w:val="18"/>
                <w:lang w:val="en-US" w:eastAsia="zh-CN" w:bidi="ar"/>
              </w:rPr>
              <w:t>0</w:t>
            </w:r>
          </w:p>
        </w:tc>
      </w:tr>
    </w:tbl>
    <w:p w14:paraId="694571A2">
      <w:pPr>
        <w:rPr>
          <w:rFonts w:ascii="Times New Roman" w:hAnsi="Times New Roman" w:cs="Times New Roman"/>
          <w:lang w:val="en-GB"/>
        </w:rPr>
      </w:pPr>
      <w:r>
        <w:rPr>
          <w:rFonts w:ascii="Times New Roman" w:hAnsi="Times New Roman" w:cs="Times New Roman"/>
          <w:lang w:val="en-GB"/>
        </w:rPr>
        <w:t xml:space="preserve">Notes: Standard errors clustered at the individual and time levels are reported in parentheses. *** </w:t>
      </w:r>
      <w:r>
        <w:rPr>
          <w:rFonts w:ascii="Cambria Math" w:hAnsi="Cambria Math" w:cs="Cambria Math"/>
          <w:lang w:val="en-GB"/>
        </w:rPr>
        <w:t>𝑝</w:t>
      </w:r>
      <w:r>
        <w:rPr>
          <w:rFonts w:ascii="Times New Roman" w:hAnsi="Times New Roman" w:cs="Times New Roman"/>
          <w:lang w:val="en-GB"/>
        </w:rPr>
        <w:t xml:space="preserve"> &lt; 0.01; ** </w:t>
      </w:r>
      <w:r>
        <w:rPr>
          <w:rFonts w:ascii="Cambria Math" w:hAnsi="Cambria Math" w:cs="Cambria Math"/>
          <w:lang w:val="en-GB"/>
        </w:rPr>
        <w:t>𝑝</w:t>
      </w:r>
      <w:r>
        <w:rPr>
          <w:rFonts w:ascii="Times New Roman" w:hAnsi="Times New Roman" w:cs="Times New Roman"/>
          <w:lang w:val="en-GB"/>
        </w:rPr>
        <w:t xml:space="preserve"> &lt; 0.05; * </w:t>
      </w:r>
      <w:r>
        <w:rPr>
          <w:rFonts w:ascii="Cambria Math" w:hAnsi="Cambria Math" w:cs="Cambria Math"/>
          <w:lang w:val="en-GB"/>
        </w:rPr>
        <w:t>𝑝</w:t>
      </w:r>
      <w:r>
        <w:rPr>
          <w:rFonts w:ascii="Times New Roman" w:hAnsi="Times New Roman" w:cs="Times New Roman"/>
          <w:lang w:val="en-GB"/>
        </w:rPr>
        <w:t xml:space="preserve"> &lt; 0.10.</w:t>
      </w:r>
    </w:p>
    <w:p w14:paraId="457FB863">
      <w:pPr>
        <w:pStyle w:val="3"/>
        <w:keepNext w:val="0"/>
        <w:widowControl/>
        <w:rPr>
          <w:rFonts w:ascii="Times New Roman" w:hAnsi="Times New Roman"/>
          <w:sz w:val="24"/>
          <w:szCs w:val="21"/>
          <w:lang w:val="en-GB"/>
        </w:rPr>
      </w:pPr>
      <w:r>
        <w:rPr>
          <w:rFonts w:ascii="Times New Roman" w:hAnsi="Times New Roman"/>
          <w:sz w:val="24"/>
          <w:szCs w:val="21"/>
          <w:lang w:val="en-GB"/>
        </w:rPr>
        <w:t>Endogeneity test</w:t>
      </w:r>
    </w:p>
    <w:p w14:paraId="1BE2A19C">
      <w:pPr>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cs="Times New Roman"/>
          <w:lang w:val="en-GB"/>
        </w:rPr>
      </w:pPr>
      <w:r>
        <w:rPr>
          <w:rFonts w:ascii="Times New Roman" w:hAnsi="Times New Roman" w:cs="Times New Roman"/>
          <w:lang w:val="en-GB"/>
        </w:rPr>
        <w:t xml:space="preserve">The instrumental variable used in </w:t>
      </w:r>
      <w:r>
        <w:rPr>
          <w:rFonts w:ascii="Times New Roman" w:hAnsi="Times New Roman" w:cs="Times New Roman"/>
          <w:color w:val="4874CB" w:themeColor="accent1"/>
          <w:lang w:val="en-GB"/>
          <w14:textFill>
            <w14:solidFill>
              <w14:schemeClr w14:val="accent1"/>
            </w14:solidFill>
          </w14:textFill>
        </w:rPr>
        <w:t xml:space="preserve">Table </w:t>
      </w:r>
      <w:r>
        <w:rPr>
          <w:rFonts w:hint="eastAsia" w:ascii="Times New Roman" w:hAnsi="Times New Roman" w:cs="Times New Roman"/>
          <w:color w:val="4874CB" w:themeColor="accent1"/>
          <w:lang w:val="en-US" w:eastAsia="zh-CN"/>
          <w14:textFill>
            <w14:solidFill>
              <w14:schemeClr w14:val="accent1"/>
            </w14:solidFill>
          </w14:textFill>
        </w:rPr>
        <w:t>3</w:t>
      </w:r>
      <w:r>
        <w:rPr>
          <w:rFonts w:ascii="Times New Roman" w:hAnsi="Times New Roman" w:cs="Times New Roman"/>
          <w:color w:val="4874CB" w:themeColor="accent1"/>
          <w:lang w:val="en-GB"/>
          <w14:textFill>
            <w14:solidFill>
              <w14:schemeClr w14:val="accent1"/>
            </w14:solidFill>
          </w14:textFill>
        </w:rPr>
        <w:t xml:space="preserve"> </w:t>
      </w:r>
      <w:r>
        <w:rPr>
          <w:rFonts w:ascii="Times New Roman" w:hAnsi="Times New Roman" w:cs="Times New Roman"/>
          <w:lang w:val="en-GB"/>
        </w:rPr>
        <w:t>is the average contract rate by region, which is relevant for predicting the number of insurance schemes, as shown in the first-stage regression results. The first-stage F-statistic of 145.02 confirms the strength of the instrument. In the second-stage regression, the predicted number of insurance schemes significantly improves job satisfaction, supporting the conclusion that increased insurance coverage positively influences job satisfaction after addressing endogeneity. This evidence underscores the suitability of the average contract rate as an instrument and highlights the importance of insurance in enhancing employee well-being.</w:t>
      </w:r>
    </w:p>
    <w:p w14:paraId="630AEA4C">
      <w:pPr>
        <w:ind w:firstLine="420" w:firstLineChars="200"/>
        <w:rPr>
          <w:rFonts w:ascii="Times New Roman" w:hAnsi="Times New Roman" w:cs="Times New Roman"/>
          <w:b/>
          <w:bCs/>
          <w:lang w:val="en-GB"/>
        </w:rPr>
      </w:pPr>
      <w:r>
        <w:rPr>
          <w:rFonts w:ascii="Times New Roman" w:hAnsi="Times New Roman" w:cs="Times New Roman"/>
          <w:lang w:val="en-GB"/>
        </w:rPr>
        <w:t xml:space="preserve">The instrumental variable used in </w:t>
      </w:r>
      <w:r>
        <w:rPr>
          <w:rFonts w:ascii="Times New Roman" w:hAnsi="Times New Roman" w:cs="Times New Roman"/>
          <w:color w:val="4874CB" w:themeColor="accent1"/>
          <w:lang w:val="en-GB"/>
          <w14:textFill>
            <w14:solidFill>
              <w14:schemeClr w14:val="accent1"/>
            </w14:solidFill>
          </w14:textFill>
        </w:rPr>
        <w:t xml:space="preserve">Table </w:t>
      </w:r>
      <w:r>
        <w:rPr>
          <w:rFonts w:hint="eastAsia" w:ascii="Times New Roman" w:hAnsi="Times New Roman" w:cs="Times New Roman"/>
          <w:color w:val="4874CB" w:themeColor="accent1"/>
          <w:lang w:val="en-US" w:eastAsia="zh-CN"/>
          <w14:textFill>
            <w14:solidFill>
              <w14:schemeClr w14:val="accent1"/>
            </w14:solidFill>
          </w14:textFill>
        </w:rPr>
        <w:t>3</w:t>
      </w:r>
      <w:r>
        <w:rPr>
          <w:rFonts w:ascii="Times New Roman" w:hAnsi="Times New Roman" w:cs="Times New Roman"/>
          <w:color w:val="4874CB" w:themeColor="accent1"/>
          <w:lang w:val="en-GB"/>
          <w14:textFill>
            <w14:solidFill>
              <w14:schemeClr w14:val="accent1"/>
            </w14:solidFill>
          </w14:textFill>
        </w:rPr>
        <w:t xml:space="preserve"> </w:t>
      </w:r>
      <w:r>
        <w:rPr>
          <w:rFonts w:ascii="Times New Roman" w:hAnsi="Times New Roman" w:cs="Times New Roman"/>
          <w:lang w:val="en-GB"/>
        </w:rPr>
        <w:t>is the average contract rate by region, which is relevant for predicting the number of insurance schemes, as shown in the first-stage regression results. The first-stage F-statistic of 145.02 confirms the strength of the instrument. In the second-stage regression, the predicted number of insurance schemes significantly improves job satisfaction, supporting the conclusion that increased insurance coverage positively influences job satisfaction after addressing endogeneity. This evidence underscores the suitability of the average contract rate as an instrument and highlights the importance of insurance in enhancing employee well-being.</w:t>
      </w:r>
    </w:p>
    <w:p w14:paraId="5CC358F0">
      <w:pPr>
        <w:rPr>
          <w:rFonts w:hint="eastAsia" w:ascii="Times New Roman" w:hAnsi="Times New Roman" w:cs="Times New Roman" w:eastAsiaTheme="minorEastAsia"/>
          <w:b/>
          <w:bCs/>
          <w:lang w:val="en-GB" w:eastAsia="zh-CN"/>
        </w:rPr>
      </w:pPr>
      <w:r>
        <w:rPr>
          <w:rFonts w:ascii="Times New Roman" w:hAnsi="Times New Roman" w:cs="Times New Roman"/>
          <w:b/>
          <w:bCs/>
          <w:lang w:val="en-GB"/>
        </w:rPr>
        <w:t xml:space="preserve">Table </w:t>
      </w:r>
      <w:r>
        <w:rPr>
          <w:rFonts w:hint="eastAsia" w:ascii="Times New Roman" w:hAnsi="Times New Roman" w:cs="Times New Roman"/>
          <w:b/>
          <w:bCs/>
          <w:lang w:val="en-US" w:eastAsia="zh-CN"/>
        </w:rPr>
        <w:t>3</w:t>
      </w:r>
    </w:p>
    <w:p w14:paraId="10CBBF63">
      <w:pPr>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Causal effects of the number of insurance schemes and overall job satisfaction (FE-IV estimate).</w:t>
      </w:r>
    </w:p>
    <w:tbl>
      <w:tblPr>
        <w:tblStyle w:val="6"/>
        <w:tblW w:w="82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52"/>
        <w:gridCol w:w="2739"/>
        <w:gridCol w:w="2173"/>
      </w:tblGrid>
      <w:tr w14:paraId="53D70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auto" w:sz="12" w:space="0"/>
            </w:tcBorders>
          </w:tcPr>
          <w:p w14:paraId="0EA10FEB">
            <w:pPr>
              <w:widowControl/>
              <w:jc w:val="left"/>
              <w:textAlignment w:val="bottom"/>
              <w:rPr>
                <w:rFonts w:ascii="Times New Roman" w:hAnsi="Times New Roman" w:eastAsia="宋体" w:cs="Times New Roman"/>
                <w:color w:val="000000"/>
                <w:kern w:val="0"/>
                <w:sz w:val="18"/>
                <w:szCs w:val="18"/>
                <w:lang w:val="en-GB" w:bidi="ar"/>
              </w:rPr>
            </w:pPr>
          </w:p>
        </w:tc>
        <w:tc>
          <w:tcPr>
            <w:tcW w:w="0" w:type="auto"/>
            <w:tcBorders>
              <w:top w:val="single" w:color="auto" w:sz="12" w:space="0"/>
            </w:tcBorders>
          </w:tcPr>
          <w:p w14:paraId="53EC6E4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First stage</w:t>
            </w:r>
          </w:p>
        </w:tc>
        <w:tc>
          <w:tcPr>
            <w:tcW w:w="0" w:type="auto"/>
            <w:tcBorders>
              <w:top w:val="single" w:color="auto" w:sz="12" w:space="0"/>
              <w:bottom w:val="single" w:color="auto" w:sz="12" w:space="0"/>
            </w:tcBorders>
          </w:tcPr>
          <w:p w14:paraId="304EA32F">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Second stage</w:t>
            </w:r>
          </w:p>
        </w:tc>
      </w:tr>
      <w:tr w14:paraId="62ABA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bottom w:val="single" w:color="auto" w:sz="12" w:space="0"/>
            </w:tcBorders>
          </w:tcPr>
          <w:p w14:paraId="7B40353E">
            <w:pPr>
              <w:widowControl/>
              <w:jc w:val="left"/>
              <w:textAlignment w:val="bottom"/>
              <w:rPr>
                <w:rFonts w:ascii="Times New Roman" w:hAnsi="Times New Roman" w:eastAsia="宋体" w:cs="Times New Roman"/>
                <w:color w:val="000000"/>
                <w:kern w:val="0"/>
                <w:sz w:val="18"/>
                <w:szCs w:val="18"/>
                <w:lang w:val="en-GB" w:bidi="ar"/>
              </w:rPr>
            </w:pPr>
          </w:p>
        </w:tc>
        <w:tc>
          <w:tcPr>
            <w:tcW w:w="0" w:type="auto"/>
            <w:tcBorders>
              <w:bottom w:val="single" w:color="auto" w:sz="12" w:space="0"/>
            </w:tcBorders>
          </w:tcPr>
          <w:p w14:paraId="694779A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insurance schemes</w:t>
            </w:r>
          </w:p>
        </w:tc>
        <w:tc>
          <w:tcPr>
            <w:tcW w:w="0" w:type="auto"/>
            <w:tcBorders>
              <w:top w:val="single" w:color="auto" w:sz="12" w:space="0"/>
              <w:bottom w:val="single" w:color="auto" w:sz="12" w:space="0"/>
            </w:tcBorders>
          </w:tcPr>
          <w:p w14:paraId="76136F8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Overall job satisfaction</w:t>
            </w:r>
          </w:p>
        </w:tc>
      </w:tr>
      <w:tr w14:paraId="1DDA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auto" w:sz="12" w:space="0"/>
            </w:tcBorders>
          </w:tcPr>
          <w:p w14:paraId="6DBF994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Average contract rate</w:t>
            </w:r>
          </w:p>
        </w:tc>
        <w:tc>
          <w:tcPr>
            <w:tcW w:w="2739" w:type="dxa"/>
            <w:tcBorders>
              <w:top w:val="single" w:color="auto" w:sz="12" w:space="0"/>
            </w:tcBorders>
            <w:vAlign w:val="top"/>
          </w:tcPr>
          <w:p w14:paraId="6A68D7C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0</w:t>
            </w:r>
            <w:r>
              <w:rPr>
                <w:rFonts w:hint="eastAsia" w:ascii="Times New Roman" w:hAnsi="Times New Roman" w:eastAsia="微软雅黑" w:cs="Times New Roman"/>
                <w:color w:val="0000FF"/>
                <w:kern w:val="0"/>
                <w:sz w:val="18"/>
                <w:szCs w:val="18"/>
                <w:lang w:val="en-GB" w:eastAsia="zh-CN" w:bidi="ar"/>
              </w:rPr>
              <w:t>.</w:t>
            </w:r>
            <w:r>
              <w:rPr>
                <w:rFonts w:hint="eastAsia" w:ascii="Times New Roman" w:hAnsi="Times New Roman" w:eastAsia="微软雅黑" w:cs="Times New Roman"/>
                <w:color w:val="0000FF"/>
                <w:kern w:val="0"/>
                <w:sz w:val="18"/>
                <w:szCs w:val="18"/>
                <w:lang w:val="en-US" w:eastAsia="zh-CN" w:bidi="ar"/>
              </w:rPr>
              <w:t>657</w:t>
            </w:r>
            <w:r>
              <w:rPr>
                <w:rFonts w:hint="eastAsia" w:ascii="Times New Roman" w:hAnsi="Times New Roman" w:eastAsia="微软雅黑" w:cs="Times New Roman"/>
                <w:color w:val="0000FF"/>
                <w:kern w:val="0"/>
                <w:sz w:val="18"/>
                <w:szCs w:val="18"/>
                <w:lang w:val="en-GB" w:eastAsia="zh-CN" w:bidi="ar"/>
              </w:rPr>
              <w:t xml:space="preserve">** </w:t>
            </w:r>
            <w:r>
              <w:rPr>
                <w:rFonts w:hint="eastAsia" w:ascii="Times New Roman" w:hAnsi="Times New Roman" w:eastAsia="微软雅黑" w:cs="Times New Roman"/>
                <w:color w:val="0000FF"/>
                <w:kern w:val="0"/>
                <w:sz w:val="18"/>
                <w:szCs w:val="18"/>
                <w:highlight w:val="none"/>
                <w:lang w:val="en-GB" w:eastAsia="zh-CN" w:bidi="ar"/>
              </w:rPr>
              <w:t>(0.</w:t>
            </w:r>
            <w:r>
              <w:rPr>
                <w:rFonts w:hint="eastAsia" w:ascii="Times New Roman" w:hAnsi="Times New Roman" w:eastAsia="微软雅黑" w:cs="Times New Roman"/>
                <w:color w:val="0000FF"/>
                <w:kern w:val="0"/>
                <w:sz w:val="18"/>
                <w:szCs w:val="18"/>
                <w:highlight w:val="none"/>
                <w:lang w:val="en-US" w:eastAsia="zh-CN" w:bidi="ar"/>
              </w:rPr>
              <w:t>305</w:t>
            </w:r>
            <w:r>
              <w:rPr>
                <w:rFonts w:hint="eastAsia" w:ascii="Times New Roman" w:hAnsi="Times New Roman" w:eastAsia="微软雅黑" w:cs="Times New Roman"/>
                <w:color w:val="0000FF"/>
                <w:kern w:val="0"/>
                <w:sz w:val="18"/>
                <w:szCs w:val="18"/>
                <w:highlight w:val="none"/>
                <w:lang w:val="en-GB" w:eastAsia="zh-CN" w:bidi="ar"/>
              </w:rPr>
              <w:t>)</w:t>
            </w:r>
          </w:p>
        </w:tc>
        <w:tc>
          <w:tcPr>
            <w:tcW w:w="2173" w:type="dxa"/>
            <w:tcBorders>
              <w:top w:val="single" w:color="auto" w:sz="12" w:space="0"/>
            </w:tcBorders>
            <w:vAlign w:val="top"/>
          </w:tcPr>
          <w:p w14:paraId="532A6E6B">
            <w:pPr>
              <w:widowControl/>
              <w:jc w:val="left"/>
              <w:textAlignment w:val="bottom"/>
              <w:rPr>
                <w:rFonts w:ascii="Times New Roman" w:hAnsi="Times New Roman" w:eastAsia="宋体" w:cs="Times New Roman"/>
                <w:color w:val="000000"/>
                <w:kern w:val="0"/>
                <w:sz w:val="18"/>
                <w:szCs w:val="18"/>
                <w:lang w:val="en-GB" w:bidi="ar"/>
              </w:rPr>
            </w:pPr>
          </w:p>
        </w:tc>
      </w:tr>
      <w:tr w14:paraId="0FC1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1C3C5E62">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insurance schemes</w:t>
            </w:r>
          </w:p>
        </w:tc>
        <w:tc>
          <w:tcPr>
            <w:tcW w:w="2739" w:type="dxa"/>
            <w:vAlign w:val="top"/>
          </w:tcPr>
          <w:p w14:paraId="52FD97FD">
            <w:pPr>
              <w:widowControl/>
              <w:jc w:val="left"/>
              <w:textAlignment w:val="bottom"/>
              <w:rPr>
                <w:rFonts w:ascii="Times New Roman" w:hAnsi="Times New Roman" w:eastAsia="宋体" w:cs="Times New Roman"/>
                <w:color w:val="000000"/>
                <w:kern w:val="0"/>
                <w:sz w:val="18"/>
                <w:szCs w:val="18"/>
                <w:lang w:val="en-GB" w:bidi="ar"/>
              </w:rPr>
            </w:pPr>
          </w:p>
        </w:tc>
        <w:tc>
          <w:tcPr>
            <w:tcW w:w="2173" w:type="dxa"/>
            <w:vAlign w:val="top"/>
          </w:tcPr>
          <w:p w14:paraId="65BC9C3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1</w:t>
            </w:r>
            <w:r>
              <w:rPr>
                <w:rFonts w:hint="eastAsia" w:ascii="Times New Roman" w:hAnsi="Times New Roman" w:eastAsia="微软雅黑" w:cs="Times New Roman"/>
                <w:color w:val="0000FF"/>
                <w:kern w:val="0"/>
                <w:sz w:val="18"/>
                <w:szCs w:val="18"/>
                <w:lang w:val="en-GB" w:eastAsia="zh-CN" w:bidi="ar"/>
              </w:rPr>
              <w:t>.</w:t>
            </w:r>
            <w:r>
              <w:rPr>
                <w:rFonts w:hint="eastAsia" w:ascii="Times New Roman" w:hAnsi="Times New Roman" w:eastAsia="微软雅黑" w:cs="Times New Roman"/>
                <w:color w:val="0000FF"/>
                <w:kern w:val="0"/>
                <w:sz w:val="18"/>
                <w:szCs w:val="18"/>
                <w:lang w:val="en-US" w:eastAsia="zh-CN" w:bidi="ar"/>
              </w:rPr>
              <w:t>021</w:t>
            </w:r>
            <w:r>
              <w:rPr>
                <w:rFonts w:hint="eastAsia" w:ascii="Times New Roman" w:hAnsi="Times New Roman" w:eastAsia="微软雅黑" w:cs="Times New Roman"/>
                <w:color w:val="0000FF"/>
                <w:kern w:val="0"/>
                <w:sz w:val="18"/>
                <w:szCs w:val="18"/>
                <w:lang w:val="en-GB" w:eastAsia="zh-CN" w:bidi="ar"/>
              </w:rPr>
              <w:t>** (</w:t>
            </w:r>
            <w:r>
              <w:rPr>
                <w:rFonts w:hint="eastAsia" w:ascii="Times New Roman" w:hAnsi="Times New Roman" w:eastAsia="微软雅黑" w:cs="Times New Roman"/>
                <w:color w:val="0000FF"/>
                <w:kern w:val="0"/>
                <w:sz w:val="18"/>
                <w:szCs w:val="18"/>
                <w:lang w:val="en-US" w:eastAsia="zh-CN" w:bidi="ar"/>
              </w:rPr>
              <w:t>0.519</w:t>
            </w:r>
            <w:r>
              <w:rPr>
                <w:rFonts w:hint="eastAsia" w:ascii="Times New Roman" w:hAnsi="Times New Roman" w:eastAsia="微软雅黑" w:cs="Times New Roman"/>
                <w:color w:val="0000FF"/>
                <w:kern w:val="0"/>
                <w:sz w:val="18"/>
                <w:szCs w:val="18"/>
                <w:lang w:val="en-GB" w:eastAsia="zh-CN" w:bidi="ar"/>
              </w:rPr>
              <w:t>)</w:t>
            </w:r>
          </w:p>
        </w:tc>
      </w:tr>
      <w:tr w14:paraId="6859D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6E23420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Control variables</w:t>
            </w:r>
          </w:p>
        </w:tc>
        <w:tc>
          <w:tcPr>
            <w:tcW w:w="0" w:type="auto"/>
          </w:tcPr>
          <w:p w14:paraId="59A8BF3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39BB7A9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51A20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Pr>
          <w:p w14:paraId="597D63B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Individual, time FE</w:t>
            </w:r>
          </w:p>
        </w:tc>
        <w:tc>
          <w:tcPr>
            <w:tcW w:w="0" w:type="auto"/>
          </w:tcPr>
          <w:p w14:paraId="3A663C3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7F21E02D">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68D1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50E896A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F-statistic on the excluded instrument</w:t>
            </w:r>
          </w:p>
        </w:tc>
        <w:tc>
          <w:tcPr>
            <w:tcW w:w="2739" w:type="dxa"/>
            <w:vAlign w:val="top"/>
          </w:tcPr>
          <w:p w14:paraId="05E8A95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US" w:eastAsia="zh-CN" w:bidi="ar"/>
              </w:rPr>
              <w:t>51.46</w:t>
            </w:r>
          </w:p>
        </w:tc>
        <w:tc>
          <w:tcPr>
            <w:tcW w:w="2173" w:type="dxa"/>
            <w:vAlign w:val="top"/>
          </w:tcPr>
          <w:p w14:paraId="49B611B4">
            <w:pPr>
              <w:widowControl/>
              <w:jc w:val="left"/>
              <w:textAlignment w:val="bottom"/>
              <w:rPr>
                <w:rFonts w:ascii="Times New Roman" w:hAnsi="Times New Roman" w:eastAsia="宋体" w:cs="Times New Roman"/>
                <w:color w:val="000000"/>
                <w:kern w:val="0"/>
                <w:sz w:val="18"/>
                <w:szCs w:val="18"/>
                <w:lang w:val="en-GB" w:bidi="ar"/>
              </w:rPr>
            </w:pPr>
          </w:p>
        </w:tc>
      </w:tr>
      <w:tr w14:paraId="5061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08357FA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Obs.</w:t>
            </w:r>
          </w:p>
        </w:tc>
        <w:tc>
          <w:tcPr>
            <w:tcW w:w="2739" w:type="dxa"/>
            <w:vAlign w:val="top"/>
          </w:tcPr>
          <w:p w14:paraId="076DF2C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c>
          <w:tcPr>
            <w:tcW w:w="2173" w:type="dxa"/>
            <w:vAlign w:val="top"/>
          </w:tcPr>
          <w:p w14:paraId="20073AA6">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31191</w:t>
            </w:r>
          </w:p>
        </w:tc>
      </w:tr>
      <w:tr w14:paraId="7401C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bottom w:val="single" w:color="auto" w:sz="12" w:space="0"/>
            </w:tcBorders>
          </w:tcPr>
          <w:p w14:paraId="4D277B12">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R</w:t>
            </w:r>
          </w:p>
        </w:tc>
        <w:tc>
          <w:tcPr>
            <w:tcW w:w="2739" w:type="dxa"/>
            <w:tcBorders>
              <w:bottom w:val="single" w:color="auto" w:sz="12" w:space="0"/>
            </w:tcBorders>
            <w:vAlign w:val="top"/>
          </w:tcPr>
          <w:p w14:paraId="7EA932AF">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403</w:t>
            </w:r>
          </w:p>
        </w:tc>
        <w:tc>
          <w:tcPr>
            <w:tcW w:w="2173" w:type="dxa"/>
            <w:tcBorders>
              <w:bottom w:val="single" w:color="auto" w:sz="12" w:space="0"/>
            </w:tcBorders>
            <w:vAlign w:val="top"/>
          </w:tcPr>
          <w:p w14:paraId="3C0A58EA">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0.046</w:t>
            </w:r>
          </w:p>
        </w:tc>
      </w:tr>
    </w:tbl>
    <w:p w14:paraId="24545300">
      <w:pPr>
        <w:rPr>
          <w:lang w:val="en-GB"/>
        </w:rPr>
      </w:pPr>
      <w:r>
        <w:rPr>
          <w:rFonts w:ascii="Times New Roman" w:hAnsi="Times New Roman" w:cs="Times New Roman"/>
          <w:lang w:val="en-GB"/>
        </w:rPr>
        <w:t xml:space="preserve">Notes: Standard errors clustered at the individual and time levels are reported in parentheses. *** </w:t>
      </w:r>
      <w:r>
        <w:rPr>
          <w:rFonts w:ascii="Cambria Math" w:hAnsi="Cambria Math" w:cs="Cambria Math"/>
          <w:lang w:val="en-GB"/>
        </w:rPr>
        <w:t>𝑝</w:t>
      </w:r>
      <w:r>
        <w:rPr>
          <w:rFonts w:ascii="Times New Roman" w:hAnsi="Times New Roman" w:cs="Times New Roman"/>
          <w:lang w:val="en-GB"/>
        </w:rPr>
        <w:t xml:space="preserve"> &lt; 0.01; ** </w:t>
      </w:r>
      <w:r>
        <w:rPr>
          <w:rFonts w:ascii="Cambria Math" w:hAnsi="Cambria Math" w:cs="Cambria Math"/>
          <w:lang w:val="en-GB"/>
        </w:rPr>
        <w:t>𝑝</w:t>
      </w:r>
      <w:r>
        <w:rPr>
          <w:rFonts w:ascii="Times New Roman" w:hAnsi="Times New Roman" w:cs="Times New Roman"/>
          <w:lang w:val="en-GB"/>
        </w:rPr>
        <w:t xml:space="preserve"> &lt; 0.05; * </w:t>
      </w:r>
      <w:r>
        <w:rPr>
          <w:rFonts w:ascii="Cambria Math" w:hAnsi="Cambria Math" w:cs="Cambria Math"/>
          <w:lang w:val="en-GB"/>
        </w:rPr>
        <w:t>𝑝</w:t>
      </w:r>
      <w:r>
        <w:rPr>
          <w:rFonts w:ascii="Times New Roman" w:hAnsi="Times New Roman" w:cs="Times New Roman"/>
          <w:lang w:val="en-GB"/>
        </w:rPr>
        <w:t xml:space="preserve"> &lt; 0.10.</w:t>
      </w:r>
    </w:p>
    <w:p w14:paraId="4B2A5FB1">
      <w:pPr>
        <w:pStyle w:val="3"/>
        <w:keepNext w:val="0"/>
        <w:widowControl/>
        <w:rPr>
          <w:rFonts w:ascii="Times New Roman" w:hAnsi="Times New Roman" w:eastAsia="宋体" w:cs="Times New Roman"/>
          <w:color w:val="000000"/>
          <w:kern w:val="0"/>
          <w:szCs w:val="21"/>
          <w:lang w:val="en-GB" w:bidi="ar"/>
        </w:rPr>
      </w:pPr>
      <w:r>
        <w:rPr>
          <w:rFonts w:hint="eastAsia" w:ascii="Times New Roman" w:hAnsi="Times New Roman"/>
          <w:i/>
          <w:iCs/>
          <w:sz w:val="24"/>
          <w:szCs w:val="21"/>
          <w:lang w:val="en-GB" w:eastAsia="zh-CN"/>
        </w:rPr>
        <w:t>Potential mechanism</w:t>
      </w:r>
    </w:p>
    <w:p w14:paraId="239C5870">
      <w:pPr>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cs="Times New Roman"/>
          <w:color w:val="auto"/>
          <w:lang w:val="en-GB"/>
        </w:rPr>
      </w:pPr>
      <w:r>
        <w:rPr>
          <w:rFonts w:ascii="Times New Roman" w:hAnsi="Times New Roman" w:cs="Times New Roman"/>
          <w:color w:val="4874CB" w:themeColor="accent1"/>
          <w:lang w:val="en-GB"/>
          <w14:textFill>
            <w14:solidFill>
              <w14:schemeClr w14:val="accent1"/>
            </w14:solidFill>
          </w14:textFill>
        </w:rPr>
        <w:t xml:space="preserve">Table </w:t>
      </w:r>
      <w:r>
        <w:rPr>
          <w:rFonts w:hint="eastAsia" w:ascii="Times New Roman" w:hAnsi="Times New Roman" w:cs="Times New Roman"/>
          <w:color w:val="4874CB" w:themeColor="accent1"/>
          <w:lang w:val="en-US" w:eastAsia="zh-CN"/>
          <w14:textFill>
            <w14:solidFill>
              <w14:schemeClr w14:val="accent1"/>
            </w14:solidFill>
          </w14:textFill>
        </w:rPr>
        <w:t>4</w:t>
      </w:r>
      <w:r>
        <w:rPr>
          <w:rFonts w:ascii="Times New Roman" w:hAnsi="Times New Roman" w:cs="Times New Roman"/>
          <w:color w:val="auto"/>
          <w:lang w:val="en-GB"/>
        </w:rPr>
        <w:t xml:space="preserve"> reveals the relationship between mental health and insurance purchasing for gig and non-gig workers. For gig workers, the number of insurance schemes shows a negative coefficient of -0.168, although this is not statistically significant, suggesting a weak or negligible relationship. In contrast, for non-gig workers, the number of insurance schemes demonstrates a statistically significant negative coefficient of -0.128 at the 1% level, indicating a more robust inverse association between mental health and insurance purchases.</w:t>
      </w:r>
    </w:p>
    <w:p w14:paraId="393256CA">
      <w:pPr>
        <w:rPr>
          <w:rFonts w:hint="eastAsia" w:ascii="Times New Roman" w:hAnsi="Times New Roman" w:cs="Times New Roman" w:eastAsiaTheme="minorEastAsia"/>
          <w:b/>
          <w:bCs/>
          <w:lang w:val="en-GB" w:eastAsia="zh-CN"/>
        </w:rPr>
      </w:pPr>
      <w:r>
        <w:rPr>
          <w:rFonts w:ascii="Times New Roman" w:hAnsi="Times New Roman" w:cs="Times New Roman"/>
          <w:b/>
          <w:bCs/>
          <w:lang w:val="en-GB"/>
        </w:rPr>
        <w:t xml:space="preserve">Table </w:t>
      </w:r>
      <w:r>
        <w:rPr>
          <w:rFonts w:hint="eastAsia" w:ascii="Times New Roman" w:hAnsi="Times New Roman" w:cs="Times New Roman"/>
          <w:b/>
          <w:bCs/>
          <w:lang w:val="en-US" w:eastAsia="zh-CN"/>
        </w:rPr>
        <w:t>4</w:t>
      </w:r>
    </w:p>
    <w:p w14:paraId="651CD7D8">
      <w:pPr>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Number of insurance schemes and mental health (FE estimation).</w:t>
      </w:r>
    </w:p>
    <w:tbl>
      <w:tblPr>
        <w:tblStyle w:val="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46"/>
        <w:gridCol w:w="2065"/>
        <w:gridCol w:w="2511"/>
      </w:tblGrid>
      <w:tr w14:paraId="61E03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auto" w:sz="12" w:space="0"/>
            </w:tcBorders>
          </w:tcPr>
          <w:p w14:paraId="23F0C5B7">
            <w:pPr>
              <w:widowControl/>
              <w:jc w:val="left"/>
              <w:textAlignment w:val="bottom"/>
              <w:rPr>
                <w:rFonts w:ascii="Times New Roman" w:hAnsi="Times New Roman" w:eastAsia="宋体" w:cs="Times New Roman"/>
                <w:color w:val="000000"/>
                <w:kern w:val="0"/>
                <w:sz w:val="18"/>
                <w:szCs w:val="18"/>
                <w:lang w:val="en-GB" w:bidi="ar"/>
              </w:rPr>
            </w:pPr>
          </w:p>
        </w:tc>
        <w:tc>
          <w:tcPr>
            <w:tcW w:w="0" w:type="auto"/>
            <w:gridSpan w:val="2"/>
            <w:tcBorders>
              <w:top w:val="single" w:color="auto" w:sz="12" w:space="0"/>
            </w:tcBorders>
          </w:tcPr>
          <w:p w14:paraId="66DDB11B">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Cs w:val="21"/>
                <w:lang w:val="en-GB" w:bidi="ar"/>
              </w:rPr>
              <w:t>Mental health</w:t>
            </w:r>
          </w:p>
        </w:tc>
      </w:tr>
      <w:tr w14:paraId="07F9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bottom w:val="single" w:color="auto" w:sz="12" w:space="0"/>
            </w:tcBorders>
          </w:tcPr>
          <w:p w14:paraId="71E13204">
            <w:pPr>
              <w:widowControl/>
              <w:jc w:val="left"/>
              <w:textAlignment w:val="bottom"/>
              <w:rPr>
                <w:rFonts w:ascii="Times New Roman" w:hAnsi="Times New Roman" w:eastAsia="宋体" w:cs="Times New Roman"/>
                <w:color w:val="000000"/>
                <w:kern w:val="0"/>
                <w:sz w:val="18"/>
                <w:szCs w:val="18"/>
                <w:lang w:val="en-GB" w:bidi="ar"/>
              </w:rPr>
            </w:pPr>
          </w:p>
        </w:tc>
        <w:tc>
          <w:tcPr>
            <w:tcW w:w="0" w:type="auto"/>
            <w:tcBorders>
              <w:top w:val="single" w:color="auto" w:sz="12" w:space="0"/>
            </w:tcBorders>
          </w:tcPr>
          <w:p w14:paraId="16A7CC7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 xml:space="preserve">Gig workers </w:t>
            </w:r>
          </w:p>
          <w:p w14:paraId="6BE6089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(1)</w:t>
            </w:r>
          </w:p>
        </w:tc>
        <w:tc>
          <w:tcPr>
            <w:tcW w:w="0" w:type="auto"/>
            <w:tcBorders>
              <w:top w:val="single" w:color="auto" w:sz="12" w:space="0"/>
            </w:tcBorders>
          </w:tcPr>
          <w:p w14:paraId="28527124">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 xml:space="preserve">Non-gig workers </w:t>
            </w:r>
          </w:p>
          <w:p w14:paraId="553FB46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(2)</w:t>
            </w:r>
          </w:p>
        </w:tc>
      </w:tr>
      <w:tr w14:paraId="063C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auto" w:sz="12" w:space="0"/>
            </w:tcBorders>
          </w:tcPr>
          <w:p w14:paraId="777DF47D">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insurance schemes</w:t>
            </w:r>
          </w:p>
        </w:tc>
        <w:tc>
          <w:tcPr>
            <w:tcW w:w="2065" w:type="dxa"/>
            <w:tcBorders>
              <w:top w:val="single" w:color="auto" w:sz="12" w:space="0"/>
            </w:tcBorders>
            <w:vAlign w:val="top"/>
          </w:tcPr>
          <w:p w14:paraId="36195D5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019</w:t>
            </w:r>
            <w:r>
              <w:rPr>
                <w:rFonts w:hint="eastAsia" w:ascii="Times New Roman" w:hAnsi="Times New Roman" w:eastAsia="微软雅黑" w:cs="Times New Roman"/>
                <w:color w:val="0000FF"/>
                <w:kern w:val="0"/>
                <w:sz w:val="18"/>
                <w:szCs w:val="18"/>
                <w:lang w:val="en-GB" w:eastAsia="zh-CN" w:bidi="ar"/>
              </w:rPr>
              <w:t xml:space="preserve"> (0.</w:t>
            </w:r>
            <w:r>
              <w:rPr>
                <w:rFonts w:hint="eastAsia" w:ascii="Times New Roman" w:hAnsi="Times New Roman" w:eastAsia="微软雅黑" w:cs="Times New Roman"/>
                <w:color w:val="0000FF"/>
                <w:kern w:val="0"/>
                <w:sz w:val="18"/>
                <w:szCs w:val="18"/>
                <w:lang w:val="en-US" w:eastAsia="zh-CN" w:bidi="ar"/>
              </w:rPr>
              <w:t>039</w:t>
            </w:r>
            <w:r>
              <w:rPr>
                <w:rFonts w:hint="eastAsia" w:ascii="Times New Roman" w:hAnsi="Times New Roman" w:eastAsia="微软雅黑" w:cs="Times New Roman"/>
                <w:color w:val="0000FF"/>
                <w:kern w:val="0"/>
                <w:sz w:val="18"/>
                <w:szCs w:val="18"/>
                <w:lang w:val="en-GB" w:eastAsia="zh-CN" w:bidi="ar"/>
              </w:rPr>
              <w:t>)</w:t>
            </w:r>
          </w:p>
        </w:tc>
        <w:tc>
          <w:tcPr>
            <w:tcW w:w="2511" w:type="dxa"/>
            <w:tcBorders>
              <w:top w:val="single" w:color="auto" w:sz="12" w:space="0"/>
            </w:tcBorders>
            <w:vAlign w:val="top"/>
          </w:tcPr>
          <w:p w14:paraId="061F9FAA">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095</w:t>
            </w:r>
            <w:r>
              <w:rPr>
                <w:rFonts w:hint="eastAsia" w:ascii="Times New Roman" w:hAnsi="Times New Roman" w:eastAsia="微软雅黑" w:cs="Times New Roman"/>
                <w:color w:val="0000FF"/>
                <w:kern w:val="0"/>
                <w:sz w:val="18"/>
                <w:szCs w:val="18"/>
                <w:lang w:val="en-GB" w:eastAsia="zh-CN" w:bidi="ar"/>
              </w:rPr>
              <w:t>*** (0.</w:t>
            </w:r>
            <w:r>
              <w:rPr>
                <w:rFonts w:hint="eastAsia" w:ascii="Times New Roman" w:hAnsi="Times New Roman" w:eastAsia="微软雅黑" w:cs="Times New Roman"/>
                <w:color w:val="0000FF"/>
                <w:kern w:val="0"/>
                <w:sz w:val="18"/>
                <w:szCs w:val="18"/>
                <w:lang w:val="en-US" w:eastAsia="zh-CN" w:bidi="ar"/>
              </w:rPr>
              <w:t>036</w:t>
            </w:r>
            <w:r>
              <w:rPr>
                <w:rFonts w:hint="eastAsia" w:ascii="Times New Roman" w:hAnsi="Times New Roman" w:eastAsia="微软雅黑" w:cs="Times New Roman"/>
                <w:color w:val="0000FF"/>
                <w:kern w:val="0"/>
                <w:sz w:val="18"/>
                <w:szCs w:val="18"/>
                <w:lang w:val="en-GB" w:eastAsia="zh-CN" w:bidi="ar"/>
              </w:rPr>
              <w:t>)</w:t>
            </w:r>
          </w:p>
        </w:tc>
      </w:tr>
      <w:tr w14:paraId="3D3CF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Pr>
          <w:p w14:paraId="6F15FC93">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Control variables</w:t>
            </w:r>
          </w:p>
        </w:tc>
        <w:tc>
          <w:tcPr>
            <w:tcW w:w="0" w:type="auto"/>
          </w:tcPr>
          <w:p w14:paraId="3987895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1FACA4DA">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58371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Pr>
          <w:p w14:paraId="669B1DA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 xml:space="preserve">Individual, </w:t>
            </w:r>
            <w:r>
              <w:rPr>
                <w:rFonts w:hint="eastAsia" w:ascii="Times New Roman" w:hAnsi="Times New Roman" w:eastAsia="宋体" w:cs="Times New Roman"/>
                <w:color w:val="000000"/>
                <w:kern w:val="0"/>
                <w:sz w:val="18"/>
                <w:szCs w:val="18"/>
                <w:lang w:val="en-US" w:eastAsia="zh-CN" w:bidi="ar"/>
              </w:rPr>
              <w:t>year</w:t>
            </w:r>
            <w:r>
              <w:rPr>
                <w:rFonts w:ascii="Times New Roman" w:hAnsi="Times New Roman" w:eastAsia="宋体" w:cs="Times New Roman"/>
                <w:color w:val="000000"/>
                <w:kern w:val="0"/>
                <w:sz w:val="18"/>
                <w:szCs w:val="18"/>
                <w:lang w:val="en-GB" w:bidi="ar"/>
              </w:rPr>
              <w:t xml:space="preserve"> FE</w:t>
            </w:r>
          </w:p>
        </w:tc>
        <w:tc>
          <w:tcPr>
            <w:tcW w:w="0" w:type="auto"/>
          </w:tcPr>
          <w:p w14:paraId="67CC8C18">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2D27500F">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649FE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0" w:type="auto"/>
          </w:tcPr>
          <w:p w14:paraId="53E213F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Obs.</w:t>
            </w:r>
          </w:p>
        </w:tc>
        <w:tc>
          <w:tcPr>
            <w:tcW w:w="2065" w:type="dxa"/>
            <w:vAlign w:val="top"/>
          </w:tcPr>
          <w:p w14:paraId="2324C07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11634</w:t>
            </w:r>
          </w:p>
        </w:tc>
        <w:tc>
          <w:tcPr>
            <w:tcW w:w="2511" w:type="dxa"/>
            <w:vAlign w:val="top"/>
          </w:tcPr>
          <w:p w14:paraId="53F7CDD3">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19557</w:t>
            </w:r>
          </w:p>
        </w:tc>
      </w:tr>
      <w:tr w14:paraId="0085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0" w:type="auto"/>
            <w:tcBorders>
              <w:bottom w:val="single" w:color="auto" w:sz="12" w:space="0"/>
            </w:tcBorders>
          </w:tcPr>
          <w:p w14:paraId="6667E74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R</w:t>
            </w:r>
          </w:p>
        </w:tc>
        <w:tc>
          <w:tcPr>
            <w:tcW w:w="2065" w:type="dxa"/>
            <w:tcBorders>
              <w:bottom w:val="single" w:color="auto" w:sz="12" w:space="0"/>
            </w:tcBorders>
            <w:vAlign w:val="top"/>
          </w:tcPr>
          <w:p w14:paraId="3B21429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465</w:t>
            </w:r>
          </w:p>
        </w:tc>
        <w:tc>
          <w:tcPr>
            <w:tcW w:w="2511" w:type="dxa"/>
            <w:tcBorders>
              <w:bottom w:val="single" w:color="auto" w:sz="12" w:space="0"/>
            </w:tcBorders>
            <w:vAlign w:val="top"/>
          </w:tcPr>
          <w:p w14:paraId="0604C851">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458</w:t>
            </w:r>
          </w:p>
        </w:tc>
      </w:tr>
    </w:tbl>
    <w:p w14:paraId="4C4B73E2">
      <w:pPr>
        <w:rPr>
          <w:rFonts w:ascii="Times New Roman" w:hAnsi="Times New Roman" w:cs="Times New Roman"/>
          <w:color w:val="0000FF"/>
          <w:lang w:val="en-GB"/>
        </w:rPr>
      </w:pPr>
      <w:r>
        <w:rPr>
          <w:rFonts w:ascii="Times New Roman" w:hAnsi="Times New Roman" w:cs="Times New Roman"/>
          <w:lang w:val="en-GB"/>
        </w:rPr>
        <w:t>Notes:</w:t>
      </w:r>
      <w:r>
        <w:rPr>
          <w:rFonts w:ascii="DM Sans" w:hAnsi="DM Sans"/>
          <w:shd w:val="clear" w:color="auto" w:fill="FFFFFF"/>
          <w:lang w:val="en-GB"/>
        </w:rPr>
        <w:t xml:space="preserve"> </w:t>
      </w:r>
      <w:r>
        <w:rPr>
          <w:rFonts w:ascii="Times New Roman" w:hAnsi="Times New Roman" w:cs="Times New Roman"/>
          <w:lang w:val="en-GB"/>
        </w:rPr>
        <w:t xml:space="preserve">The mental health indicator used in this table is the Center for Epidemiologic Studies Depression Scale (CES-D 20), a widely recognised and validated instrument designed to assess the severity of depressive symptoms and overall psychological well-being. Specifically, the CES-D 20 captures the frequency and intensity of depressive symptoms experienced over the past week, offering a nuanced quantitative measure of mental health that ranges from 0 to 60. Standard errors clustered at the individual and time levels are reported in parentheses. *** </w:t>
      </w:r>
      <w:r>
        <w:rPr>
          <w:rFonts w:ascii="Cambria Math" w:hAnsi="Cambria Math" w:cs="Cambria Math"/>
          <w:lang w:val="en-GB"/>
        </w:rPr>
        <w:t>𝑝</w:t>
      </w:r>
      <w:r>
        <w:rPr>
          <w:rFonts w:ascii="Times New Roman" w:hAnsi="Times New Roman" w:cs="Times New Roman"/>
          <w:lang w:val="en-GB"/>
        </w:rPr>
        <w:t xml:space="preserve"> &lt; 0.01; ** </w:t>
      </w:r>
      <w:r>
        <w:rPr>
          <w:rFonts w:ascii="Cambria Math" w:hAnsi="Cambria Math" w:cs="Cambria Math"/>
          <w:lang w:val="en-GB"/>
        </w:rPr>
        <w:t>𝑝</w:t>
      </w:r>
      <w:r>
        <w:rPr>
          <w:rFonts w:ascii="Times New Roman" w:hAnsi="Times New Roman" w:cs="Times New Roman"/>
          <w:lang w:val="en-GB"/>
        </w:rPr>
        <w:t xml:space="preserve"> &lt; 0.05; * </w:t>
      </w:r>
      <w:r>
        <w:rPr>
          <w:rFonts w:ascii="Cambria Math" w:hAnsi="Cambria Math" w:cs="Cambria Math"/>
          <w:lang w:val="en-GB"/>
        </w:rPr>
        <w:t>𝑝</w:t>
      </w:r>
      <w:r>
        <w:rPr>
          <w:rFonts w:ascii="Times New Roman" w:hAnsi="Times New Roman" w:cs="Times New Roman"/>
          <w:lang w:val="en-GB"/>
        </w:rPr>
        <w:t xml:space="preserve"> &lt; 0.10.</w:t>
      </w:r>
    </w:p>
    <w:p w14:paraId="460451A0">
      <w:pPr>
        <w:pStyle w:val="3"/>
        <w:keepNext w:val="0"/>
        <w:widowControl/>
        <w:rPr>
          <w:rFonts w:hint="eastAsia" w:ascii="Times New Roman" w:hAnsi="Times New Roman"/>
          <w:i/>
          <w:iCs/>
          <w:sz w:val="24"/>
          <w:szCs w:val="21"/>
          <w:lang w:val="en-GB" w:eastAsia="zh-CN"/>
        </w:rPr>
      </w:pPr>
      <w:r>
        <w:rPr>
          <w:rFonts w:hint="eastAsia" w:ascii="Times New Roman" w:hAnsi="Times New Roman"/>
          <w:i/>
          <w:iCs/>
          <w:sz w:val="24"/>
          <w:szCs w:val="21"/>
          <w:lang w:val="en-GB" w:eastAsia="zh-CN"/>
        </w:rPr>
        <w:t>Potential motive</w:t>
      </w:r>
    </w:p>
    <w:p w14:paraId="47F5E3D9">
      <w:pPr>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cs="Times New Roman"/>
          <w:color w:val="auto"/>
          <w:lang w:val="en-GB"/>
        </w:rPr>
      </w:pPr>
      <w:r>
        <w:rPr>
          <w:rFonts w:ascii="Times New Roman" w:hAnsi="Times New Roman" w:cs="Times New Roman"/>
          <w:color w:val="4874CB" w:themeColor="accent1"/>
          <w:lang w:val="en-GB"/>
          <w14:textFill>
            <w14:solidFill>
              <w14:schemeClr w14:val="accent1"/>
            </w14:solidFill>
          </w14:textFill>
        </w:rPr>
        <w:t xml:space="preserve">Table </w:t>
      </w:r>
      <w:r>
        <w:rPr>
          <w:rFonts w:hint="eastAsia" w:ascii="Times New Roman" w:hAnsi="Times New Roman" w:cs="Times New Roman"/>
          <w:color w:val="4874CB" w:themeColor="accent1"/>
          <w:lang w:val="en-US" w:eastAsia="zh-CN"/>
          <w14:textFill>
            <w14:solidFill>
              <w14:schemeClr w14:val="accent1"/>
            </w14:solidFill>
          </w14:textFill>
        </w:rPr>
        <w:t>5</w:t>
      </w:r>
      <w:r>
        <w:rPr>
          <w:rFonts w:ascii="Times New Roman" w:hAnsi="Times New Roman" w:cs="Times New Roman"/>
          <w:color w:val="auto"/>
          <w:lang w:val="en-GB"/>
        </w:rPr>
        <w:t xml:space="preserve"> provides evidence of the difference in insurance purchasing behaviour between gig and non-gig workers across various household financial dimensions.</w:t>
      </w:r>
      <w:r>
        <w:rPr>
          <w:rFonts w:ascii="DM Sans" w:hAnsi="DM Sans"/>
          <w:color w:val="auto"/>
          <w:shd w:val="clear" w:color="auto" w:fill="FFFFFF"/>
          <w:lang w:val="en-GB"/>
        </w:rPr>
        <w:t xml:space="preserve"> </w:t>
      </w:r>
      <w:r>
        <w:rPr>
          <w:rFonts w:ascii="Times New Roman" w:hAnsi="Times New Roman" w:cs="Times New Roman"/>
          <w:color w:val="auto"/>
          <w:lang w:val="en-GB"/>
        </w:rPr>
        <w:t xml:space="preserve">The results reveal a nuanced relationship between household financial indicators and insurance purchasing for gig workers, with household net assets demonstrating a statistically significant positive coefficient of 0.580 at the 5% level, household financial assets showing a significant positive coefficient of 0.292 at the 1% level, and household debt exhibiting a marginally significant positive coefficient of 0.249 at the 10% level. In stark contrast, non-gig workers present a distinctly different pattern: their household net assets remain positive and significant but with a lower magnitude of 0.408, household financial assets maintain a positive relationship with a coefficient of 0.153, and notably, household debt shows a negative and statistically significant coefficient of -0.130, thereby highlighting the fundamental differences in financial behaviour and insurance purchasing dynamics between gig and non-gig workers in the contemporary labour market. </w:t>
      </w:r>
    </w:p>
    <w:p w14:paraId="117AACD6">
      <w:pPr>
        <w:rPr>
          <w:rFonts w:hint="eastAsia" w:ascii="Times New Roman" w:hAnsi="Times New Roman" w:cs="Times New Roman" w:eastAsiaTheme="minorEastAsia"/>
          <w:b/>
          <w:bCs/>
          <w:lang w:val="en-GB" w:eastAsia="zh-CN"/>
        </w:rPr>
      </w:pPr>
      <w:r>
        <w:rPr>
          <w:rFonts w:ascii="Times New Roman" w:hAnsi="Times New Roman" w:cs="Times New Roman"/>
          <w:b/>
          <w:bCs/>
          <w:lang w:val="en-GB"/>
        </w:rPr>
        <w:t xml:space="preserve">Table </w:t>
      </w:r>
      <w:r>
        <w:rPr>
          <w:rFonts w:hint="eastAsia" w:ascii="Times New Roman" w:hAnsi="Times New Roman" w:cs="Times New Roman"/>
          <w:b/>
          <w:bCs/>
          <w:lang w:val="en-US" w:eastAsia="zh-CN"/>
        </w:rPr>
        <w:t>5</w:t>
      </w:r>
    </w:p>
    <w:p w14:paraId="71B02663">
      <w:pPr>
        <w:rPr>
          <w:rFonts w:ascii="Times New Roman" w:hAnsi="Times New Roman" w:eastAsia="宋体" w:cs="Times New Roman"/>
          <w:color w:val="000000"/>
          <w:kern w:val="0"/>
          <w:szCs w:val="21"/>
          <w:lang w:val="en-GB" w:bidi="ar"/>
        </w:rPr>
      </w:pPr>
      <w:r>
        <w:rPr>
          <w:rFonts w:ascii="Times New Roman" w:hAnsi="Times New Roman" w:eastAsia="宋体" w:cs="Times New Roman"/>
          <w:color w:val="000000"/>
          <w:kern w:val="0"/>
          <w:szCs w:val="21"/>
          <w:lang w:val="en-GB" w:bidi="ar"/>
        </w:rPr>
        <w:t>Number of insurance schemes and household financial indices (FE estimation).</w:t>
      </w:r>
    </w:p>
    <w:tbl>
      <w:tblPr>
        <w:tblStyle w:val="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1"/>
        <w:gridCol w:w="1019"/>
        <w:gridCol w:w="1601"/>
        <w:gridCol w:w="1110"/>
        <w:gridCol w:w="981"/>
        <w:gridCol w:w="1170"/>
        <w:gridCol w:w="1110"/>
      </w:tblGrid>
      <w:tr w14:paraId="24B0A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auto" w:sz="12" w:space="0"/>
            </w:tcBorders>
          </w:tcPr>
          <w:p w14:paraId="0628E686">
            <w:pPr>
              <w:widowControl/>
              <w:jc w:val="left"/>
              <w:textAlignment w:val="bottom"/>
              <w:rPr>
                <w:rFonts w:ascii="Times New Roman" w:hAnsi="Times New Roman" w:eastAsia="宋体" w:cs="Times New Roman"/>
                <w:color w:val="000000"/>
                <w:kern w:val="0"/>
                <w:sz w:val="18"/>
                <w:szCs w:val="18"/>
                <w:lang w:val="en-GB" w:bidi="ar"/>
              </w:rPr>
            </w:pPr>
            <w:bookmarkStart w:id="2" w:name="_Hlk186823226"/>
          </w:p>
        </w:tc>
        <w:tc>
          <w:tcPr>
            <w:tcW w:w="0" w:type="auto"/>
            <w:gridSpan w:val="6"/>
            <w:tcBorders>
              <w:top w:val="single" w:color="auto" w:sz="12" w:space="0"/>
              <w:bottom w:val="single" w:color="auto" w:sz="12" w:space="0"/>
            </w:tcBorders>
          </w:tcPr>
          <w:p w14:paraId="657B1FEF">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Number of insurance schemes</w:t>
            </w:r>
          </w:p>
        </w:tc>
      </w:tr>
      <w:tr w14:paraId="09EE2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Pr>
          <w:p w14:paraId="27980448">
            <w:pPr>
              <w:widowControl/>
              <w:jc w:val="left"/>
              <w:textAlignment w:val="bottom"/>
              <w:rPr>
                <w:rFonts w:ascii="Times New Roman" w:hAnsi="Times New Roman" w:eastAsia="宋体" w:cs="Times New Roman"/>
                <w:color w:val="000000"/>
                <w:kern w:val="0"/>
                <w:sz w:val="18"/>
                <w:szCs w:val="18"/>
                <w:lang w:val="en-GB" w:bidi="ar"/>
              </w:rPr>
            </w:pPr>
          </w:p>
        </w:tc>
        <w:tc>
          <w:tcPr>
            <w:tcW w:w="0" w:type="auto"/>
            <w:gridSpan w:val="3"/>
            <w:tcBorders>
              <w:top w:val="single" w:color="auto" w:sz="12" w:space="0"/>
            </w:tcBorders>
          </w:tcPr>
          <w:p w14:paraId="0270430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Gig workers</w:t>
            </w:r>
          </w:p>
        </w:tc>
        <w:tc>
          <w:tcPr>
            <w:tcW w:w="0" w:type="auto"/>
            <w:gridSpan w:val="3"/>
            <w:tcBorders>
              <w:top w:val="single" w:color="auto" w:sz="12" w:space="0"/>
            </w:tcBorders>
          </w:tcPr>
          <w:p w14:paraId="7C22520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Non-gig workers</w:t>
            </w:r>
          </w:p>
        </w:tc>
      </w:tr>
      <w:tr w14:paraId="569FB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bottom w:val="single" w:color="auto" w:sz="12" w:space="0"/>
            </w:tcBorders>
          </w:tcPr>
          <w:p w14:paraId="03EA9F15">
            <w:pPr>
              <w:widowControl/>
              <w:jc w:val="left"/>
              <w:textAlignment w:val="bottom"/>
              <w:rPr>
                <w:rFonts w:ascii="Times New Roman" w:hAnsi="Times New Roman" w:eastAsia="宋体" w:cs="Times New Roman"/>
                <w:color w:val="000000"/>
                <w:kern w:val="0"/>
                <w:sz w:val="18"/>
                <w:szCs w:val="18"/>
                <w:lang w:val="en-GB" w:bidi="ar"/>
              </w:rPr>
            </w:pPr>
          </w:p>
        </w:tc>
        <w:tc>
          <w:tcPr>
            <w:tcW w:w="0" w:type="auto"/>
            <w:tcBorders>
              <w:bottom w:val="single" w:color="auto" w:sz="12" w:space="0"/>
            </w:tcBorders>
          </w:tcPr>
          <w:p w14:paraId="5AE59BA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(1)</w:t>
            </w:r>
          </w:p>
        </w:tc>
        <w:tc>
          <w:tcPr>
            <w:tcW w:w="0" w:type="auto"/>
            <w:tcBorders>
              <w:bottom w:val="single" w:color="auto" w:sz="12" w:space="0"/>
            </w:tcBorders>
          </w:tcPr>
          <w:p w14:paraId="35914A42">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(2)</w:t>
            </w:r>
          </w:p>
        </w:tc>
        <w:tc>
          <w:tcPr>
            <w:tcW w:w="0" w:type="auto"/>
            <w:tcBorders>
              <w:bottom w:val="single" w:color="auto" w:sz="12" w:space="0"/>
            </w:tcBorders>
          </w:tcPr>
          <w:p w14:paraId="21DA91BB">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(3)</w:t>
            </w:r>
          </w:p>
        </w:tc>
        <w:tc>
          <w:tcPr>
            <w:tcW w:w="0" w:type="auto"/>
            <w:tcBorders>
              <w:bottom w:val="single" w:color="auto" w:sz="12" w:space="0"/>
            </w:tcBorders>
          </w:tcPr>
          <w:p w14:paraId="59157EE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(4)</w:t>
            </w:r>
          </w:p>
        </w:tc>
        <w:tc>
          <w:tcPr>
            <w:tcW w:w="0" w:type="auto"/>
            <w:tcBorders>
              <w:bottom w:val="single" w:color="auto" w:sz="12" w:space="0"/>
            </w:tcBorders>
          </w:tcPr>
          <w:p w14:paraId="28B2918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(5)</w:t>
            </w:r>
          </w:p>
        </w:tc>
        <w:tc>
          <w:tcPr>
            <w:tcW w:w="0" w:type="auto"/>
            <w:tcBorders>
              <w:bottom w:val="single" w:color="auto" w:sz="12" w:space="0"/>
            </w:tcBorders>
          </w:tcPr>
          <w:p w14:paraId="6585BC8F">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(6)</w:t>
            </w:r>
          </w:p>
        </w:tc>
      </w:tr>
      <w:tr w14:paraId="2491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auto" w:sz="12" w:space="0"/>
            </w:tcBorders>
          </w:tcPr>
          <w:p w14:paraId="0F80F612">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Household Net Assets (log)</w:t>
            </w:r>
          </w:p>
        </w:tc>
        <w:tc>
          <w:tcPr>
            <w:tcW w:w="1019" w:type="dxa"/>
            <w:tcBorders>
              <w:top w:val="single" w:color="auto" w:sz="12" w:space="0"/>
            </w:tcBorders>
            <w:vAlign w:val="top"/>
          </w:tcPr>
          <w:p w14:paraId="616CDB9E">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0.5</w:t>
            </w:r>
            <w:r>
              <w:rPr>
                <w:rFonts w:hint="eastAsia" w:ascii="Times New Roman" w:hAnsi="Times New Roman" w:eastAsia="微软雅黑" w:cs="Times New Roman"/>
                <w:color w:val="0000FF"/>
                <w:kern w:val="0"/>
                <w:sz w:val="18"/>
                <w:szCs w:val="18"/>
                <w:lang w:val="en-US" w:eastAsia="zh-CN" w:bidi="ar"/>
              </w:rPr>
              <w:t>27</w:t>
            </w:r>
            <w:r>
              <w:rPr>
                <w:rFonts w:hint="eastAsia" w:ascii="Times New Roman" w:hAnsi="Times New Roman" w:eastAsia="微软雅黑" w:cs="Times New Roman"/>
                <w:color w:val="0000FF"/>
                <w:kern w:val="0"/>
                <w:sz w:val="18"/>
                <w:szCs w:val="18"/>
                <w:lang w:val="en-GB" w:eastAsia="zh-CN" w:bidi="ar"/>
              </w:rPr>
              <w:t>** (0.</w:t>
            </w:r>
            <w:r>
              <w:rPr>
                <w:rFonts w:hint="eastAsia" w:ascii="Times New Roman" w:hAnsi="Times New Roman" w:eastAsia="微软雅黑" w:cs="Times New Roman"/>
                <w:color w:val="0000FF"/>
                <w:kern w:val="0"/>
                <w:sz w:val="18"/>
                <w:szCs w:val="18"/>
                <w:lang w:val="en-US" w:eastAsia="zh-CN" w:bidi="ar"/>
              </w:rPr>
              <w:t>232</w:t>
            </w:r>
            <w:r>
              <w:rPr>
                <w:rFonts w:hint="eastAsia" w:ascii="Times New Roman" w:hAnsi="Times New Roman" w:eastAsia="微软雅黑" w:cs="Times New Roman"/>
                <w:color w:val="0000FF"/>
                <w:kern w:val="0"/>
                <w:sz w:val="18"/>
                <w:szCs w:val="18"/>
                <w:lang w:val="en-GB" w:eastAsia="zh-CN" w:bidi="ar"/>
              </w:rPr>
              <w:t>)</w:t>
            </w:r>
          </w:p>
        </w:tc>
        <w:tc>
          <w:tcPr>
            <w:tcW w:w="1601" w:type="dxa"/>
            <w:tcBorders>
              <w:top w:val="single" w:color="auto" w:sz="12" w:space="0"/>
            </w:tcBorders>
            <w:vAlign w:val="top"/>
          </w:tcPr>
          <w:p w14:paraId="28321664">
            <w:pPr>
              <w:widowControl/>
              <w:jc w:val="left"/>
              <w:textAlignment w:val="bottom"/>
              <w:rPr>
                <w:rFonts w:ascii="Times New Roman" w:hAnsi="Times New Roman" w:eastAsia="宋体" w:cs="Times New Roman"/>
                <w:color w:val="000000"/>
                <w:kern w:val="0"/>
                <w:sz w:val="18"/>
                <w:szCs w:val="18"/>
                <w:lang w:val="en-GB" w:bidi="ar"/>
              </w:rPr>
            </w:pPr>
          </w:p>
        </w:tc>
        <w:tc>
          <w:tcPr>
            <w:tcW w:w="1110" w:type="dxa"/>
            <w:tcBorders>
              <w:top w:val="single" w:color="auto" w:sz="12" w:space="0"/>
            </w:tcBorders>
            <w:vAlign w:val="top"/>
          </w:tcPr>
          <w:p w14:paraId="31E24649">
            <w:pPr>
              <w:widowControl/>
              <w:jc w:val="left"/>
              <w:textAlignment w:val="bottom"/>
              <w:rPr>
                <w:rFonts w:ascii="Times New Roman" w:hAnsi="Times New Roman" w:eastAsia="宋体" w:cs="Times New Roman"/>
                <w:color w:val="000000"/>
                <w:kern w:val="0"/>
                <w:sz w:val="18"/>
                <w:szCs w:val="18"/>
                <w:lang w:val="en-GB" w:bidi="ar"/>
              </w:rPr>
            </w:pPr>
          </w:p>
        </w:tc>
        <w:tc>
          <w:tcPr>
            <w:tcW w:w="891" w:type="dxa"/>
            <w:tcBorders>
              <w:top w:val="single" w:color="auto" w:sz="12" w:space="0"/>
            </w:tcBorders>
            <w:vAlign w:val="top"/>
          </w:tcPr>
          <w:p w14:paraId="50AF24A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031</w:t>
            </w:r>
            <w:r>
              <w:rPr>
                <w:rFonts w:hint="eastAsia" w:ascii="Times New Roman" w:hAnsi="Times New Roman" w:eastAsia="微软雅黑" w:cs="Times New Roman"/>
                <w:color w:val="0000FF"/>
                <w:kern w:val="0"/>
                <w:sz w:val="18"/>
                <w:szCs w:val="18"/>
                <w:lang w:val="en-GB" w:eastAsia="zh-CN" w:bidi="ar"/>
              </w:rPr>
              <w:t>**（</w:t>
            </w:r>
            <w:r>
              <w:rPr>
                <w:rFonts w:hint="eastAsia" w:ascii="Times New Roman" w:hAnsi="Times New Roman" w:eastAsia="微软雅黑" w:cs="Times New Roman"/>
                <w:color w:val="0000FF"/>
                <w:kern w:val="0"/>
                <w:sz w:val="18"/>
                <w:szCs w:val="18"/>
                <w:lang w:val="en-US" w:eastAsia="zh-CN" w:bidi="ar"/>
              </w:rPr>
              <w:t>0.015</w:t>
            </w:r>
            <w:r>
              <w:rPr>
                <w:rFonts w:hint="eastAsia" w:ascii="Times New Roman" w:hAnsi="Times New Roman" w:eastAsia="微软雅黑" w:cs="Times New Roman"/>
                <w:color w:val="0000FF"/>
                <w:kern w:val="0"/>
                <w:sz w:val="18"/>
                <w:szCs w:val="18"/>
                <w:lang w:val="en-GB" w:eastAsia="zh-CN" w:bidi="ar"/>
              </w:rPr>
              <w:t>）</w:t>
            </w:r>
          </w:p>
        </w:tc>
        <w:tc>
          <w:tcPr>
            <w:tcW w:w="1170" w:type="dxa"/>
            <w:tcBorders>
              <w:top w:val="single" w:color="auto" w:sz="12" w:space="0"/>
            </w:tcBorders>
            <w:vAlign w:val="top"/>
          </w:tcPr>
          <w:p w14:paraId="7E3DC983">
            <w:pPr>
              <w:widowControl/>
              <w:jc w:val="left"/>
              <w:textAlignment w:val="bottom"/>
              <w:rPr>
                <w:rFonts w:ascii="Times New Roman" w:hAnsi="Times New Roman" w:eastAsia="宋体" w:cs="Times New Roman"/>
                <w:color w:val="000000"/>
                <w:kern w:val="0"/>
                <w:sz w:val="18"/>
                <w:szCs w:val="18"/>
                <w:lang w:val="en-GB" w:bidi="ar"/>
              </w:rPr>
            </w:pPr>
          </w:p>
        </w:tc>
        <w:tc>
          <w:tcPr>
            <w:tcW w:w="1110" w:type="dxa"/>
            <w:tcBorders>
              <w:top w:val="single" w:color="auto" w:sz="12" w:space="0"/>
            </w:tcBorders>
            <w:vAlign w:val="top"/>
          </w:tcPr>
          <w:p w14:paraId="2368AA04">
            <w:pPr>
              <w:widowControl/>
              <w:jc w:val="left"/>
              <w:textAlignment w:val="bottom"/>
              <w:rPr>
                <w:rFonts w:ascii="Times New Roman" w:hAnsi="Times New Roman" w:eastAsia="宋体" w:cs="Times New Roman"/>
                <w:color w:val="000000"/>
                <w:kern w:val="0"/>
                <w:sz w:val="18"/>
                <w:szCs w:val="18"/>
                <w:lang w:val="en-GB" w:bidi="ar"/>
              </w:rPr>
            </w:pPr>
          </w:p>
        </w:tc>
      </w:tr>
      <w:tr w14:paraId="0751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04A2DF8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Household Debt (log)</w:t>
            </w:r>
          </w:p>
        </w:tc>
        <w:tc>
          <w:tcPr>
            <w:tcW w:w="1019" w:type="dxa"/>
            <w:vAlign w:val="top"/>
          </w:tcPr>
          <w:p w14:paraId="7766F332">
            <w:pPr>
              <w:widowControl/>
              <w:jc w:val="left"/>
              <w:textAlignment w:val="bottom"/>
              <w:rPr>
                <w:rFonts w:ascii="Times New Roman" w:hAnsi="Times New Roman" w:eastAsia="宋体" w:cs="Times New Roman"/>
                <w:color w:val="000000"/>
                <w:kern w:val="0"/>
                <w:sz w:val="18"/>
                <w:szCs w:val="18"/>
                <w:lang w:val="en-GB" w:bidi="ar"/>
              </w:rPr>
            </w:pPr>
          </w:p>
        </w:tc>
        <w:tc>
          <w:tcPr>
            <w:tcW w:w="1601" w:type="dxa"/>
            <w:vAlign w:val="top"/>
          </w:tcPr>
          <w:p w14:paraId="02433B4C">
            <w:pPr>
              <w:pStyle w:val="8"/>
              <w:widowControl/>
              <w:numPr>
                <w:ilvl w:val="0"/>
                <w:numId w:val="0"/>
              </w:numPr>
              <w:ind w:left="360" w:leftChars="0"/>
              <w:jc w:val="left"/>
              <w:textAlignment w:val="bottom"/>
              <w:rPr>
                <w:rFonts w:hint="eastAsia" w:ascii="Times New Roman" w:hAnsi="Times New Roman" w:eastAsia="微软雅黑" w:cs="Times New Roman"/>
                <w:color w:val="0000FF"/>
                <w:kern w:val="0"/>
                <w:sz w:val="18"/>
                <w:szCs w:val="18"/>
                <w:lang w:val="en-GB" w:eastAsia="zh-CN" w:bidi="ar"/>
              </w:rPr>
            </w:pPr>
            <w:r>
              <w:rPr>
                <w:rFonts w:hint="eastAsia" w:ascii="Times New Roman" w:hAnsi="Times New Roman" w:eastAsia="微软雅黑" w:cs="Times New Roman"/>
                <w:color w:val="0000FF"/>
                <w:kern w:val="0"/>
                <w:sz w:val="18"/>
                <w:szCs w:val="18"/>
                <w:lang w:val="en-US" w:eastAsia="zh-CN" w:bidi="ar"/>
              </w:rPr>
              <w:t>0.087</w:t>
            </w:r>
            <w:r>
              <w:rPr>
                <w:rFonts w:hint="eastAsia" w:ascii="Times New Roman" w:hAnsi="Times New Roman" w:eastAsia="微软雅黑" w:cs="Times New Roman"/>
                <w:color w:val="0000FF"/>
                <w:kern w:val="0"/>
                <w:sz w:val="18"/>
                <w:szCs w:val="18"/>
                <w:lang w:val="en-GB" w:eastAsia="zh-CN" w:bidi="ar"/>
              </w:rPr>
              <w:t>*</w:t>
            </w:r>
          </w:p>
          <w:p w14:paraId="6DB5780E">
            <w:pPr>
              <w:pStyle w:val="8"/>
              <w:widowControl/>
              <w:numPr>
                <w:ilvl w:val="0"/>
                <w:numId w:val="0"/>
              </w:numPr>
              <w:ind w:left="360" w:leftChars="0" w:firstLine="0" w:firstLineChars="0"/>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(0.0</w:t>
            </w:r>
            <w:r>
              <w:rPr>
                <w:rFonts w:hint="eastAsia" w:ascii="Times New Roman" w:hAnsi="Times New Roman" w:eastAsia="微软雅黑" w:cs="Times New Roman"/>
                <w:color w:val="0000FF"/>
                <w:kern w:val="0"/>
                <w:sz w:val="18"/>
                <w:szCs w:val="18"/>
                <w:lang w:val="en-US" w:eastAsia="zh-CN" w:bidi="ar"/>
              </w:rPr>
              <w:t>50</w:t>
            </w:r>
            <w:r>
              <w:rPr>
                <w:rFonts w:hint="eastAsia" w:ascii="Times New Roman" w:hAnsi="Times New Roman" w:eastAsia="微软雅黑" w:cs="Times New Roman"/>
                <w:color w:val="0000FF"/>
                <w:kern w:val="0"/>
                <w:sz w:val="18"/>
                <w:szCs w:val="18"/>
                <w:lang w:val="en-GB" w:eastAsia="zh-CN" w:bidi="ar"/>
              </w:rPr>
              <w:t>)</w:t>
            </w:r>
          </w:p>
        </w:tc>
        <w:tc>
          <w:tcPr>
            <w:tcW w:w="1110" w:type="dxa"/>
            <w:vAlign w:val="top"/>
          </w:tcPr>
          <w:p w14:paraId="1A50EFDE">
            <w:pPr>
              <w:widowControl/>
              <w:jc w:val="left"/>
              <w:textAlignment w:val="bottom"/>
              <w:rPr>
                <w:rFonts w:ascii="Times New Roman" w:hAnsi="Times New Roman" w:eastAsia="宋体" w:cs="Times New Roman"/>
                <w:color w:val="000000"/>
                <w:kern w:val="0"/>
                <w:sz w:val="18"/>
                <w:szCs w:val="18"/>
                <w:lang w:val="en-GB" w:bidi="ar"/>
              </w:rPr>
            </w:pPr>
          </w:p>
        </w:tc>
        <w:tc>
          <w:tcPr>
            <w:tcW w:w="891" w:type="dxa"/>
            <w:vAlign w:val="top"/>
          </w:tcPr>
          <w:p w14:paraId="2E0ED012">
            <w:pPr>
              <w:widowControl/>
              <w:jc w:val="left"/>
              <w:textAlignment w:val="bottom"/>
              <w:rPr>
                <w:rFonts w:ascii="Times New Roman" w:hAnsi="Times New Roman" w:eastAsia="宋体" w:cs="Times New Roman"/>
                <w:color w:val="000000"/>
                <w:kern w:val="0"/>
                <w:sz w:val="18"/>
                <w:szCs w:val="18"/>
                <w:lang w:val="en-GB" w:bidi="ar"/>
              </w:rPr>
            </w:pPr>
          </w:p>
        </w:tc>
        <w:tc>
          <w:tcPr>
            <w:tcW w:w="1170" w:type="dxa"/>
            <w:vAlign w:val="top"/>
          </w:tcPr>
          <w:p w14:paraId="5471EA4D">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w:t>
            </w:r>
            <w:r>
              <w:rPr>
                <w:rFonts w:hint="eastAsia" w:ascii="Times New Roman" w:hAnsi="Times New Roman" w:eastAsia="微软雅黑" w:cs="Times New Roman"/>
                <w:color w:val="0000FF"/>
                <w:kern w:val="0"/>
                <w:sz w:val="18"/>
                <w:szCs w:val="18"/>
                <w:lang w:val="en-GB" w:eastAsia="zh-CN" w:bidi="ar"/>
              </w:rPr>
              <w:t>1</w:t>
            </w:r>
            <w:r>
              <w:rPr>
                <w:rFonts w:hint="eastAsia" w:ascii="Times New Roman" w:hAnsi="Times New Roman" w:eastAsia="微软雅黑" w:cs="Times New Roman"/>
                <w:color w:val="0000FF"/>
                <w:kern w:val="0"/>
                <w:sz w:val="18"/>
                <w:szCs w:val="18"/>
                <w:lang w:val="en-US" w:eastAsia="zh-CN" w:bidi="ar"/>
              </w:rPr>
              <w:t>2</w:t>
            </w:r>
            <w:r>
              <w:rPr>
                <w:rFonts w:hint="eastAsia" w:ascii="Times New Roman" w:hAnsi="Times New Roman" w:eastAsia="微软雅黑" w:cs="Times New Roman"/>
                <w:color w:val="0000FF"/>
                <w:kern w:val="0"/>
                <w:sz w:val="18"/>
                <w:szCs w:val="18"/>
                <w:lang w:val="en-GB" w:eastAsia="zh-CN" w:bidi="ar"/>
              </w:rPr>
              <w:t>*** (0.0</w:t>
            </w:r>
            <w:r>
              <w:rPr>
                <w:rFonts w:hint="eastAsia" w:ascii="Times New Roman" w:hAnsi="Times New Roman" w:eastAsia="微软雅黑" w:cs="Times New Roman"/>
                <w:color w:val="0000FF"/>
                <w:kern w:val="0"/>
                <w:sz w:val="18"/>
                <w:szCs w:val="18"/>
                <w:lang w:val="en-US" w:eastAsia="zh-CN" w:bidi="ar"/>
              </w:rPr>
              <w:t>04</w:t>
            </w:r>
            <w:r>
              <w:rPr>
                <w:rFonts w:hint="eastAsia" w:ascii="Times New Roman" w:hAnsi="Times New Roman" w:eastAsia="微软雅黑" w:cs="Times New Roman"/>
                <w:color w:val="0000FF"/>
                <w:kern w:val="0"/>
                <w:sz w:val="18"/>
                <w:szCs w:val="18"/>
                <w:lang w:val="en-GB" w:eastAsia="zh-CN" w:bidi="ar"/>
              </w:rPr>
              <w:t>)</w:t>
            </w:r>
          </w:p>
        </w:tc>
        <w:tc>
          <w:tcPr>
            <w:tcW w:w="1110" w:type="dxa"/>
            <w:vAlign w:val="top"/>
          </w:tcPr>
          <w:p w14:paraId="31366211">
            <w:pPr>
              <w:widowControl/>
              <w:jc w:val="left"/>
              <w:textAlignment w:val="bottom"/>
              <w:rPr>
                <w:rFonts w:ascii="Times New Roman" w:hAnsi="Times New Roman" w:eastAsia="宋体" w:cs="Times New Roman"/>
                <w:color w:val="000000"/>
                <w:kern w:val="0"/>
                <w:sz w:val="18"/>
                <w:szCs w:val="18"/>
                <w:lang w:val="en-GB" w:bidi="ar"/>
              </w:rPr>
            </w:pPr>
          </w:p>
        </w:tc>
      </w:tr>
      <w:tr w14:paraId="05C5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07FEF19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Household Financial Assets (log)</w:t>
            </w:r>
          </w:p>
        </w:tc>
        <w:tc>
          <w:tcPr>
            <w:tcW w:w="1019" w:type="dxa"/>
            <w:vAlign w:val="top"/>
          </w:tcPr>
          <w:p w14:paraId="5A86AF47">
            <w:pPr>
              <w:widowControl/>
              <w:jc w:val="left"/>
              <w:textAlignment w:val="bottom"/>
              <w:rPr>
                <w:rFonts w:ascii="Times New Roman" w:hAnsi="Times New Roman" w:eastAsia="宋体" w:cs="Times New Roman"/>
                <w:color w:val="000000"/>
                <w:kern w:val="0"/>
                <w:sz w:val="18"/>
                <w:szCs w:val="18"/>
                <w:lang w:val="en-GB" w:bidi="ar"/>
              </w:rPr>
            </w:pPr>
          </w:p>
        </w:tc>
        <w:tc>
          <w:tcPr>
            <w:tcW w:w="1601" w:type="dxa"/>
            <w:vAlign w:val="top"/>
          </w:tcPr>
          <w:p w14:paraId="7BFF21F0">
            <w:pPr>
              <w:widowControl/>
              <w:jc w:val="left"/>
              <w:textAlignment w:val="bottom"/>
              <w:rPr>
                <w:rFonts w:ascii="Times New Roman" w:hAnsi="Times New Roman" w:eastAsia="宋体" w:cs="Times New Roman"/>
                <w:color w:val="000000"/>
                <w:kern w:val="0"/>
                <w:sz w:val="18"/>
                <w:szCs w:val="18"/>
                <w:lang w:val="en-GB" w:bidi="ar"/>
              </w:rPr>
            </w:pPr>
          </w:p>
        </w:tc>
        <w:tc>
          <w:tcPr>
            <w:tcW w:w="1110" w:type="dxa"/>
            <w:vAlign w:val="top"/>
          </w:tcPr>
          <w:p w14:paraId="066FF5C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018</w:t>
            </w:r>
            <w:r>
              <w:rPr>
                <w:rFonts w:hint="eastAsia" w:ascii="Times New Roman" w:hAnsi="Times New Roman" w:eastAsia="微软雅黑" w:cs="Times New Roman"/>
                <w:color w:val="0000FF"/>
                <w:kern w:val="0"/>
                <w:sz w:val="18"/>
                <w:szCs w:val="18"/>
                <w:lang w:val="en-GB" w:eastAsia="zh-CN" w:bidi="ar"/>
              </w:rPr>
              <w:t>*** (0.0</w:t>
            </w:r>
            <w:r>
              <w:rPr>
                <w:rFonts w:hint="eastAsia" w:ascii="Times New Roman" w:hAnsi="Times New Roman" w:eastAsia="微软雅黑" w:cs="Times New Roman"/>
                <w:color w:val="0000FF"/>
                <w:kern w:val="0"/>
                <w:sz w:val="18"/>
                <w:szCs w:val="18"/>
                <w:lang w:val="en-US" w:eastAsia="zh-CN" w:bidi="ar"/>
              </w:rPr>
              <w:t>0</w:t>
            </w:r>
            <w:r>
              <w:rPr>
                <w:rFonts w:hint="eastAsia" w:ascii="Times New Roman" w:hAnsi="Times New Roman" w:eastAsia="微软雅黑" w:cs="Times New Roman"/>
                <w:color w:val="0000FF"/>
                <w:kern w:val="0"/>
                <w:sz w:val="18"/>
                <w:szCs w:val="18"/>
                <w:lang w:val="en-GB" w:eastAsia="zh-CN" w:bidi="ar"/>
              </w:rPr>
              <w:t>9)</w:t>
            </w:r>
          </w:p>
        </w:tc>
        <w:tc>
          <w:tcPr>
            <w:tcW w:w="891" w:type="dxa"/>
            <w:vAlign w:val="top"/>
          </w:tcPr>
          <w:p w14:paraId="1034E09C">
            <w:pPr>
              <w:widowControl/>
              <w:jc w:val="left"/>
              <w:textAlignment w:val="bottom"/>
              <w:rPr>
                <w:rFonts w:ascii="Times New Roman" w:hAnsi="Times New Roman" w:eastAsia="宋体" w:cs="Times New Roman"/>
                <w:color w:val="000000"/>
                <w:kern w:val="0"/>
                <w:sz w:val="18"/>
                <w:szCs w:val="18"/>
                <w:lang w:val="en-GB" w:bidi="ar"/>
              </w:rPr>
            </w:pPr>
          </w:p>
        </w:tc>
        <w:tc>
          <w:tcPr>
            <w:tcW w:w="1170" w:type="dxa"/>
            <w:vAlign w:val="top"/>
          </w:tcPr>
          <w:p w14:paraId="20DC2ADE">
            <w:pPr>
              <w:widowControl/>
              <w:jc w:val="left"/>
              <w:textAlignment w:val="bottom"/>
              <w:rPr>
                <w:rFonts w:ascii="Times New Roman" w:hAnsi="Times New Roman" w:eastAsia="宋体" w:cs="Times New Roman"/>
                <w:color w:val="000000"/>
                <w:kern w:val="0"/>
                <w:sz w:val="18"/>
                <w:szCs w:val="18"/>
                <w:lang w:val="en-GB" w:bidi="ar"/>
              </w:rPr>
            </w:pPr>
          </w:p>
        </w:tc>
        <w:tc>
          <w:tcPr>
            <w:tcW w:w="1110" w:type="dxa"/>
            <w:vAlign w:val="top"/>
          </w:tcPr>
          <w:p w14:paraId="396557CC">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微软雅黑" w:cs="Times New Roman"/>
                <w:color w:val="0000FF"/>
                <w:kern w:val="0"/>
                <w:sz w:val="18"/>
                <w:szCs w:val="18"/>
                <w:lang w:val="en-GB" w:eastAsia="zh-CN" w:bidi="ar"/>
              </w:rPr>
              <w:t>0.</w:t>
            </w:r>
            <w:r>
              <w:rPr>
                <w:rFonts w:hint="eastAsia" w:ascii="Times New Roman" w:hAnsi="Times New Roman" w:eastAsia="微软雅黑" w:cs="Times New Roman"/>
                <w:color w:val="0000FF"/>
                <w:kern w:val="0"/>
                <w:sz w:val="18"/>
                <w:szCs w:val="18"/>
                <w:lang w:val="en-US" w:eastAsia="zh-CN" w:bidi="ar"/>
              </w:rPr>
              <w:t>009</w:t>
            </w:r>
            <w:r>
              <w:rPr>
                <w:rFonts w:hint="eastAsia" w:ascii="Times New Roman" w:hAnsi="Times New Roman" w:eastAsia="微软雅黑" w:cs="Times New Roman"/>
                <w:color w:val="0000FF"/>
                <w:kern w:val="0"/>
                <w:sz w:val="18"/>
                <w:szCs w:val="18"/>
                <w:lang w:val="en-GB" w:eastAsia="zh-CN" w:bidi="ar"/>
              </w:rPr>
              <w:t>*** (0.0</w:t>
            </w:r>
            <w:r>
              <w:rPr>
                <w:rFonts w:hint="eastAsia" w:ascii="Times New Roman" w:hAnsi="Times New Roman" w:eastAsia="微软雅黑" w:cs="Times New Roman"/>
                <w:color w:val="0000FF"/>
                <w:kern w:val="0"/>
                <w:sz w:val="18"/>
                <w:szCs w:val="18"/>
                <w:lang w:val="en-US" w:eastAsia="zh-CN" w:bidi="ar"/>
              </w:rPr>
              <w:t>03</w:t>
            </w:r>
            <w:r>
              <w:rPr>
                <w:rFonts w:hint="eastAsia" w:ascii="Times New Roman" w:hAnsi="Times New Roman" w:eastAsia="微软雅黑" w:cs="Times New Roman"/>
                <w:color w:val="0000FF"/>
                <w:kern w:val="0"/>
                <w:sz w:val="18"/>
                <w:szCs w:val="18"/>
                <w:lang w:val="en-GB" w:eastAsia="zh-CN" w:bidi="ar"/>
              </w:rPr>
              <w:t>)</w:t>
            </w:r>
          </w:p>
        </w:tc>
      </w:tr>
      <w:tr w14:paraId="117E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6AA62461">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Control variables</w:t>
            </w:r>
          </w:p>
        </w:tc>
        <w:tc>
          <w:tcPr>
            <w:tcW w:w="0" w:type="auto"/>
          </w:tcPr>
          <w:p w14:paraId="02CE972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4A89549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3856C175">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7348689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35049CB4">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0CFC6E9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3B565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Pr>
          <w:p w14:paraId="4A4F5CC7">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 xml:space="preserve">Individual, </w:t>
            </w:r>
            <w:r>
              <w:rPr>
                <w:rFonts w:hint="eastAsia" w:ascii="Times New Roman" w:hAnsi="Times New Roman" w:eastAsia="宋体" w:cs="Times New Roman"/>
                <w:color w:val="000000"/>
                <w:kern w:val="0"/>
                <w:sz w:val="18"/>
                <w:szCs w:val="18"/>
                <w:lang w:val="en-US" w:eastAsia="zh-CN" w:bidi="ar"/>
              </w:rPr>
              <w:t>year</w:t>
            </w:r>
            <w:r>
              <w:rPr>
                <w:rFonts w:ascii="Times New Roman" w:hAnsi="Times New Roman" w:eastAsia="宋体" w:cs="Times New Roman"/>
                <w:color w:val="000000"/>
                <w:kern w:val="0"/>
                <w:sz w:val="18"/>
                <w:szCs w:val="18"/>
                <w:lang w:val="en-GB" w:bidi="ar"/>
              </w:rPr>
              <w:t xml:space="preserve"> FE</w:t>
            </w:r>
          </w:p>
        </w:tc>
        <w:tc>
          <w:tcPr>
            <w:tcW w:w="0" w:type="auto"/>
          </w:tcPr>
          <w:p w14:paraId="61A71C40">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62F3BAE9">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26CEC25C">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6502FA6B">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64F82D78">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c>
          <w:tcPr>
            <w:tcW w:w="0" w:type="auto"/>
          </w:tcPr>
          <w:p w14:paraId="1FF542BE">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YES</w:t>
            </w:r>
          </w:p>
        </w:tc>
      </w:tr>
      <w:tr w14:paraId="2519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Pr>
          <w:p w14:paraId="6D02A0BF">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Obs.</w:t>
            </w:r>
          </w:p>
        </w:tc>
        <w:tc>
          <w:tcPr>
            <w:tcW w:w="1019" w:type="dxa"/>
            <w:vAlign w:val="top"/>
          </w:tcPr>
          <w:p w14:paraId="18DDA119">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11634</w:t>
            </w:r>
          </w:p>
        </w:tc>
        <w:tc>
          <w:tcPr>
            <w:tcW w:w="1601" w:type="dxa"/>
            <w:vAlign w:val="top"/>
          </w:tcPr>
          <w:p w14:paraId="0979EA2B">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11634</w:t>
            </w:r>
          </w:p>
        </w:tc>
        <w:tc>
          <w:tcPr>
            <w:tcW w:w="1110" w:type="dxa"/>
            <w:vAlign w:val="top"/>
          </w:tcPr>
          <w:p w14:paraId="47F7A652">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11634</w:t>
            </w:r>
          </w:p>
        </w:tc>
        <w:tc>
          <w:tcPr>
            <w:tcW w:w="891" w:type="dxa"/>
            <w:vAlign w:val="top"/>
          </w:tcPr>
          <w:p w14:paraId="02B477A0">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19557</w:t>
            </w:r>
          </w:p>
        </w:tc>
        <w:tc>
          <w:tcPr>
            <w:tcW w:w="1170" w:type="dxa"/>
            <w:vAlign w:val="top"/>
          </w:tcPr>
          <w:p w14:paraId="7CF90D64">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19557</w:t>
            </w:r>
          </w:p>
        </w:tc>
        <w:tc>
          <w:tcPr>
            <w:tcW w:w="1110" w:type="dxa"/>
            <w:vAlign w:val="top"/>
          </w:tcPr>
          <w:p w14:paraId="7983C2B7">
            <w:pPr>
              <w:widowControl/>
              <w:jc w:val="left"/>
              <w:textAlignment w:val="bottom"/>
              <w:rPr>
                <w:rFonts w:ascii="Times New Roman" w:hAnsi="Times New Roman" w:eastAsia="宋体" w:cs="Times New Roman"/>
                <w:color w:val="000000"/>
                <w:kern w:val="0"/>
                <w:sz w:val="18"/>
                <w:szCs w:val="18"/>
                <w:lang w:val="en-GB" w:bidi="ar"/>
              </w:rPr>
            </w:pPr>
            <w:r>
              <w:rPr>
                <w:rFonts w:hint="eastAsia" w:ascii="Times New Roman" w:hAnsi="Times New Roman" w:eastAsia="宋体" w:cs="Times New Roman"/>
                <w:color w:val="0000FF"/>
                <w:kern w:val="0"/>
                <w:sz w:val="18"/>
                <w:szCs w:val="18"/>
                <w:highlight w:val="none"/>
                <w:lang w:val="en-US" w:eastAsia="zh-CN" w:bidi="ar"/>
              </w:rPr>
              <w:t>19557</w:t>
            </w:r>
          </w:p>
        </w:tc>
      </w:tr>
      <w:tr w14:paraId="749AE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bottom w:val="single" w:color="auto" w:sz="12" w:space="0"/>
            </w:tcBorders>
          </w:tcPr>
          <w:p w14:paraId="4F516F06">
            <w:pPr>
              <w:widowControl/>
              <w:jc w:val="left"/>
              <w:textAlignment w:val="bottom"/>
              <w:rPr>
                <w:rFonts w:ascii="Times New Roman" w:hAnsi="Times New Roman" w:eastAsia="宋体" w:cs="Times New Roman"/>
                <w:color w:val="000000"/>
                <w:kern w:val="0"/>
                <w:sz w:val="18"/>
                <w:szCs w:val="18"/>
                <w:lang w:val="en-GB" w:bidi="ar"/>
              </w:rPr>
            </w:pPr>
            <w:r>
              <w:rPr>
                <w:rFonts w:ascii="Times New Roman" w:hAnsi="Times New Roman" w:eastAsia="宋体" w:cs="Times New Roman"/>
                <w:color w:val="000000"/>
                <w:kern w:val="0"/>
                <w:sz w:val="18"/>
                <w:szCs w:val="18"/>
                <w:lang w:val="en-GB" w:bidi="ar"/>
              </w:rPr>
              <w:t>R</w:t>
            </w:r>
          </w:p>
        </w:tc>
        <w:tc>
          <w:tcPr>
            <w:tcW w:w="1019" w:type="dxa"/>
            <w:tcBorders>
              <w:bottom w:val="single" w:color="auto" w:sz="12" w:space="0"/>
            </w:tcBorders>
            <w:vAlign w:val="top"/>
          </w:tcPr>
          <w:p w14:paraId="021D12CC">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微软雅黑" w:cs="Times New Roman"/>
                <w:color w:val="0000FF"/>
                <w:kern w:val="0"/>
                <w:sz w:val="18"/>
                <w:szCs w:val="18"/>
                <w:lang w:val="en-GB" w:eastAsia="zh-CN" w:bidi="ar"/>
              </w:rPr>
              <w:t>0.700</w:t>
            </w:r>
          </w:p>
        </w:tc>
        <w:tc>
          <w:tcPr>
            <w:tcW w:w="1601" w:type="dxa"/>
            <w:tcBorders>
              <w:bottom w:val="single" w:color="auto" w:sz="12" w:space="0"/>
            </w:tcBorders>
            <w:vAlign w:val="top"/>
          </w:tcPr>
          <w:p w14:paraId="3066D8E1">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微软雅黑" w:cs="Times New Roman"/>
                <w:color w:val="0000FF"/>
                <w:kern w:val="0"/>
                <w:sz w:val="18"/>
                <w:szCs w:val="18"/>
                <w:lang w:val="en-GB" w:eastAsia="zh-CN" w:bidi="ar"/>
              </w:rPr>
              <w:t>0.382</w:t>
            </w:r>
          </w:p>
        </w:tc>
        <w:tc>
          <w:tcPr>
            <w:tcW w:w="1110" w:type="dxa"/>
            <w:tcBorders>
              <w:bottom w:val="single" w:color="auto" w:sz="12" w:space="0"/>
            </w:tcBorders>
            <w:vAlign w:val="top"/>
          </w:tcPr>
          <w:p w14:paraId="0F85B88B">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微软雅黑" w:cs="Times New Roman"/>
                <w:color w:val="0000FF"/>
                <w:kern w:val="0"/>
                <w:sz w:val="18"/>
                <w:szCs w:val="18"/>
                <w:lang w:val="en-GB" w:eastAsia="zh-CN" w:bidi="ar"/>
              </w:rPr>
              <w:t>0.700</w:t>
            </w:r>
          </w:p>
        </w:tc>
        <w:tc>
          <w:tcPr>
            <w:tcW w:w="891" w:type="dxa"/>
            <w:tcBorders>
              <w:bottom w:val="single" w:color="auto" w:sz="12" w:space="0"/>
            </w:tcBorders>
            <w:vAlign w:val="top"/>
          </w:tcPr>
          <w:p w14:paraId="180562F9">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微软雅黑" w:cs="Times New Roman"/>
                <w:color w:val="0000FF"/>
                <w:kern w:val="0"/>
                <w:sz w:val="18"/>
                <w:szCs w:val="18"/>
                <w:lang w:val="en-GB" w:eastAsia="zh-CN" w:bidi="ar"/>
              </w:rPr>
              <w:t>0.814</w:t>
            </w:r>
          </w:p>
        </w:tc>
        <w:tc>
          <w:tcPr>
            <w:tcW w:w="1170" w:type="dxa"/>
            <w:tcBorders>
              <w:bottom w:val="single" w:color="auto" w:sz="12" w:space="0"/>
            </w:tcBorders>
            <w:vAlign w:val="top"/>
          </w:tcPr>
          <w:p w14:paraId="6427295B">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微软雅黑" w:cs="Times New Roman"/>
                <w:color w:val="0000FF"/>
                <w:kern w:val="0"/>
                <w:sz w:val="18"/>
                <w:szCs w:val="18"/>
                <w:lang w:val="en-GB" w:eastAsia="zh-CN" w:bidi="ar"/>
              </w:rPr>
              <w:t>0.700</w:t>
            </w:r>
          </w:p>
        </w:tc>
        <w:tc>
          <w:tcPr>
            <w:tcW w:w="1110" w:type="dxa"/>
            <w:tcBorders>
              <w:bottom w:val="single" w:color="auto" w:sz="12" w:space="0"/>
            </w:tcBorders>
            <w:vAlign w:val="top"/>
          </w:tcPr>
          <w:p w14:paraId="4D6A74B4">
            <w:pPr>
              <w:widowControl/>
              <w:jc w:val="left"/>
              <w:textAlignment w:val="bottom"/>
              <w:rPr>
                <w:rFonts w:ascii="Times New Roman" w:hAnsi="Times New Roman" w:eastAsia="宋体" w:cs="Times New Roman"/>
                <w:color w:val="000000"/>
                <w:kern w:val="0"/>
                <w:sz w:val="18"/>
                <w:szCs w:val="18"/>
                <w:lang w:val="en-GB" w:bidi="ar"/>
              </w:rPr>
            </w:pPr>
            <w:r>
              <w:rPr>
                <w:rFonts w:hint="default" w:ascii="Times New Roman" w:hAnsi="Times New Roman" w:eastAsia="微软雅黑" w:cs="Times New Roman"/>
                <w:color w:val="0000FF"/>
                <w:kern w:val="0"/>
                <w:sz w:val="18"/>
                <w:szCs w:val="18"/>
                <w:lang w:val="en-GB" w:eastAsia="zh-CN" w:bidi="ar"/>
              </w:rPr>
              <w:t>0.797</w:t>
            </w:r>
          </w:p>
        </w:tc>
      </w:tr>
      <w:bookmarkEnd w:id="2"/>
    </w:tbl>
    <w:p w14:paraId="062B93D9">
      <w:pPr>
        <w:rPr>
          <w:rFonts w:ascii="Times New Roman" w:hAnsi="Times New Roman" w:cs="Times New Roman"/>
          <w:lang w:val="en-GB"/>
        </w:rPr>
      </w:pPr>
      <w:r>
        <w:rPr>
          <w:rFonts w:ascii="Times New Roman" w:hAnsi="Times New Roman" w:cs="Times New Roman"/>
          <w:lang w:val="en-GB"/>
        </w:rPr>
        <w:t xml:space="preserve">Notes: Given that the control variables at the household level used in the baseline regression may be correlated with household assets, this table does not control for household income and household expenditure in the regression process. Standard errors clustered at the individual and time levels are reported in parentheses. *** </w:t>
      </w:r>
      <w:r>
        <w:rPr>
          <w:rFonts w:ascii="Cambria Math" w:hAnsi="Cambria Math" w:cs="Cambria Math"/>
          <w:lang w:val="en-GB"/>
        </w:rPr>
        <w:t>𝑝</w:t>
      </w:r>
      <w:r>
        <w:rPr>
          <w:rFonts w:ascii="Times New Roman" w:hAnsi="Times New Roman" w:cs="Times New Roman"/>
          <w:lang w:val="en-GB"/>
        </w:rPr>
        <w:t xml:space="preserve"> &lt; 0.01; ** </w:t>
      </w:r>
      <w:r>
        <w:rPr>
          <w:rFonts w:ascii="Cambria Math" w:hAnsi="Cambria Math" w:cs="Cambria Math"/>
          <w:lang w:val="en-GB"/>
        </w:rPr>
        <w:t>𝑝</w:t>
      </w:r>
      <w:r>
        <w:rPr>
          <w:rFonts w:ascii="Times New Roman" w:hAnsi="Times New Roman" w:cs="Times New Roman"/>
          <w:lang w:val="en-GB"/>
        </w:rPr>
        <w:t xml:space="preserve"> &lt; 0.05; * </w:t>
      </w:r>
      <w:r>
        <w:rPr>
          <w:rFonts w:ascii="Cambria Math" w:hAnsi="Cambria Math" w:cs="Cambria Math"/>
          <w:lang w:val="en-GB"/>
        </w:rPr>
        <w:t>𝑝</w:t>
      </w:r>
      <w:r>
        <w:rPr>
          <w:rFonts w:ascii="Times New Roman" w:hAnsi="Times New Roman" w:cs="Times New Roman"/>
          <w:lang w:val="en-GB"/>
        </w:rPr>
        <w:t xml:space="preserve"> &lt; 0.10.</w:t>
      </w:r>
    </w:p>
    <w:p w14:paraId="7C01988A"/>
    <w:p w14:paraId="21C60012"/>
    <w:p w14:paraId="75DF8D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DM Sans">
    <w:altName w:val="Segoe Print"/>
    <w:panose1 w:val="00000000000000000000"/>
    <w:charset w:val="4D"/>
    <w:family w:val="auto"/>
    <w:pitch w:val="default"/>
    <w:sig w:usb0="00000000" w:usb1="00000000" w:usb2="00000000" w:usb3="00000000" w:csb0="00000093"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2247A3"/>
    <w:multiLevelType w:val="multilevel"/>
    <w:tmpl w:val="5C2247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D7182"/>
    <w:rsid w:val="0C0437D2"/>
    <w:rsid w:val="0E9C279A"/>
    <w:rsid w:val="199618B0"/>
    <w:rsid w:val="1FAD2D92"/>
    <w:rsid w:val="200160E2"/>
    <w:rsid w:val="399D15F6"/>
    <w:rsid w:val="3F5B403D"/>
    <w:rsid w:val="40774C91"/>
    <w:rsid w:val="598C29B2"/>
    <w:rsid w:val="60C34F31"/>
    <w:rsid w:val="64132FAB"/>
    <w:rsid w:val="66DA6C1A"/>
    <w:rsid w:val="6C5C13E6"/>
    <w:rsid w:val="6F3A7164"/>
    <w:rsid w:val="7511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cs="Times New Roman"/>
      <w:b/>
      <w:sz w:val="28"/>
      <w:szCs w:val="2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995</Words>
  <Characters>5719</Characters>
  <Lines>0</Lines>
  <Paragraphs>0</Paragraphs>
  <TotalTime>1</TotalTime>
  <ScaleCrop>false</ScaleCrop>
  <LinksUpToDate>false</LinksUpToDate>
  <CharactersWithSpaces>6565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2026-04-12T02:57:00Z</dcterms:created>
  <dc:creator>baby2</dc:creator>
  <cp:lastModifiedBy>PF.Gao</cp:lastModifiedBy>
  <dcterms:modified xsi:type="dcterms:W3CDTF">2026-07-10T07:16:28Z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eyJoZGlkIjoiZGI2OTY2MDA5ODQ1MGZlNjA3YmEwYWUxODdkNWZlYjgiLCJ1c2VySWQiOiIxNDQwOTA0MTcxIn0=</vt:lpwstr>
  </property>
  <property fmtid="{D5CDD505-2E9C-101B-9397-08002B2CF9AE}" pid="4" name="ICV">
    <vt:lpwstr>0A1F1B3DC7B24954A60D838449A919A2_12</vt:lpwstr>
  </property>
</Properties>
</file>