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Online Resource captions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File</w:t>
            </w:r>
          </w:p>
        </w:tc>
        <w:tc>
          <w:tcPr>
            <w:tcW w:type="dxa" w:w="4320"/>
          </w:tcPr>
          <w:p>
            <w:r>
              <w:t>Caption</w:t>
            </w:r>
          </w:p>
        </w:tc>
      </w:tr>
      <w:tr>
        <w:tc>
          <w:tcPr>
            <w:tcW w:type="dxa" w:w="4320"/>
          </w:tcPr>
          <w:p>
            <w:r>
              <w:t>ESM_1_data_audit_and_dictionary.xlsx</w:t>
            </w:r>
          </w:p>
        </w:tc>
        <w:tc>
          <w:tcPr>
            <w:tcW w:type="dxa" w:w="4320"/>
          </w:tcPr>
          <w:p>
            <w:r>
              <w:t>Data-audit workbook, parameter coverage, station inventory, quality-control findings, and data dictionary used to reconstruct the frozen analytical database.</w:t>
            </w:r>
          </w:p>
        </w:tc>
      </w:tr>
      <w:tr>
        <w:tc>
          <w:tcPr>
            <w:tcW w:type="dxa" w:w="4320"/>
          </w:tcPr>
          <w:p>
            <w:r>
              <w:t>ESM_2_station_coordinates_selected_PTEs.xlsx</w:t>
            </w:r>
          </w:p>
        </w:tc>
        <w:tc>
          <w:tcPr>
            <w:tcW w:type="dxa" w:w="4320"/>
          </w:tcPr>
          <w:p>
            <w:r>
              <w:t>Station coordinates, altitude, monitoring category, and censor-aware summaries used for selected PTE spatial maps.</w:t>
            </w:r>
          </w:p>
        </w:tc>
      </w:tr>
      <w:tr>
        <w:tc>
          <w:tcPr>
            <w:tcW w:type="dxa" w:w="4320"/>
          </w:tcPr>
          <w:p>
            <w:r>
              <w:t>ESM_3_station_PTE_censor_aware_summaries.xlsx</w:t>
            </w:r>
          </w:p>
        </w:tc>
        <w:tc>
          <w:tcPr>
            <w:tcW w:type="dxa" w:w="4320"/>
          </w:tcPr>
          <w:p>
            <w:r>
              <w:t>Complete station-level censor-aware summaries for the eight primary potentially toxic elements.</w:t>
            </w:r>
          </w:p>
        </w:tc>
      </w:tr>
      <w:tr>
        <w:tc>
          <w:tcPr>
            <w:tcW w:type="dxa" w:w="4320"/>
          </w:tcPr>
          <w:p>
            <w:r>
              <w:t>ESM_4_adjusted_ionic_PTE_associations.xlsx</w:t>
            </w:r>
          </w:p>
        </w:tc>
        <w:tc>
          <w:tcPr>
            <w:tcW w:type="dxa" w:w="4320"/>
          </w:tcPr>
          <w:p>
            <w:r>
              <w:t>Complete adjusted ionic-gradient association models and censoring sensitivity results.</w:t>
            </w:r>
          </w:p>
        </w:tc>
      </w:tr>
      <w:tr>
        <w:tc>
          <w:tcPr>
            <w:tcW w:type="dxa" w:w="4320"/>
          </w:tcPr>
          <w:p>
            <w:r>
              <w:t>ESM_5_adjusted_TSS_PTE_associations.xlsx</w:t>
            </w:r>
          </w:p>
        </w:tc>
        <w:tc>
          <w:tcPr>
            <w:tcW w:type="dxa" w:w="4320"/>
          </w:tcPr>
          <w:p>
            <w:r>
              <w:t>Complete total suspended solids-PTE association models and censoring sensitivity results.</w:t>
            </w:r>
          </w:p>
        </w:tc>
      </w:tr>
      <w:tr>
        <w:tc>
          <w:tcPr>
            <w:tcW w:type="dxa" w:w="4320"/>
          </w:tcPr>
          <w:p>
            <w:r>
              <w:t>ESM_6_ICARHS_station_results.xlsx</w:t>
            </w:r>
          </w:p>
        </w:tc>
        <w:tc>
          <w:tcPr>
            <w:tcW w:type="dxa" w:w="4320"/>
          </w:tcPr>
          <w:p>
            <w:r>
              <w:t>Definitive ICARHS D1 results for 122 Category 3 lotic stations.</w:t>
            </w:r>
          </w:p>
        </w:tc>
      </w:tr>
      <w:tr>
        <w:tc>
          <w:tcPr>
            <w:tcW w:type="dxa" w:w="4320"/>
          </w:tcPr>
          <w:p>
            <w:r>
              <w:t>ESM_7_ICARHS_parameter_diagnostics.xlsx</w:t>
            </w:r>
          </w:p>
        </w:tc>
        <w:tc>
          <w:tcPr>
            <w:tcW w:type="dxa" w:w="4320"/>
          </w:tcPr>
          <w:p>
            <w:r>
              <w:t>Station-by-parameter ICARHS diagnostics, failures, and critical-subindex information.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