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6CB2C" w14:textId="43C515BE" w:rsidR="00287F4A" w:rsidRPr="00686808" w:rsidRDefault="00B92E38" w:rsidP="00B92E38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86808">
        <w:rPr>
          <w:rFonts w:ascii="Times New Roman" w:hAnsi="Times New Roman" w:cs="Times New Roman"/>
          <w:b/>
          <w:bCs/>
          <w:sz w:val="28"/>
          <w:szCs w:val="28"/>
        </w:rPr>
        <w:t>Supplementary Info</w:t>
      </w:r>
    </w:p>
    <w:p w14:paraId="1108D74A" w14:textId="18DFB680" w:rsidR="00682E7D" w:rsidRPr="00DE498C" w:rsidRDefault="00BD7F57" w:rsidP="00682E7D">
      <w:pPr>
        <w:spacing w:line="360" w:lineRule="auto"/>
        <w:jc w:val="both"/>
        <w:rPr>
          <w:rFonts w:ascii="Times New Roman" w:eastAsia="Arial" w:hAnsi="Times New Roman" w:cs="Times New Roman"/>
          <w:lang w:val="en-US"/>
        </w:rPr>
      </w:pPr>
      <w:r>
        <w:rPr>
          <w:rFonts w:ascii="Times New Roman" w:eastAsia="Calibri" w:hAnsi="Times New Roman" w:cs="Times New Roman"/>
          <w:b/>
          <w:bCs/>
          <w:lang w:val="en-US"/>
        </w:rPr>
        <w:t>E</w:t>
      </w:r>
      <w:r w:rsidRPr="00DE498C">
        <w:rPr>
          <w:rFonts w:ascii="Times New Roman" w:eastAsia="Calibri" w:hAnsi="Times New Roman" w:cs="Times New Roman"/>
          <w:b/>
          <w:bCs/>
          <w:lang w:val="en-US"/>
        </w:rPr>
        <w:t>stonian Biobank (EstBB) genotyping, quality control and imputation</w:t>
      </w:r>
      <w:r w:rsidR="00A3611F">
        <w:rPr>
          <w:rFonts w:ascii="Times New Roman" w:eastAsia="Calibri" w:hAnsi="Times New Roman" w:cs="Times New Roman"/>
          <w:b/>
          <w:bCs/>
          <w:lang w:val="en-US"/>
        </w:rPr>
        <w:t xml:space="preserve">. </w:t>
      </w:r>
      <w:r w:rsidRPr="00DE498C">
        <w:rPr>
          <w:rFonts w:ascii="Times New Roman" w:eastAsia="Calibri" w:hAnsi="Times New Roman" w:cs="Times New Roman"/>
          <w:lang w:val="en-US"/>
        </w:rPr>
        <w:br/>
        <w:t xml:space="preserve">EstBB participants have been genotyped at the </w:t>
      </w:r>
      <w:r w:rsidR="00682E7D" w:rsidRPr="00682E7D">
        <w:rPr>
          <w:rFonts w:ascii="Times New Roman" w:eastAsia="Arial" w:hAnsi="Times New Roman" w:cs="Times New Roman"/>
          <w:lang w:val="en-US"/>
        </w:rPr>
        <w:t>Genotyping of DNA samples from the Estonian Biobank was done at the Core Genotyping Lab of the Institute of</w:t>
      </w:r>
      <w:r w:rsidR="005E78BE">
        <w:rPr>
          <w:rFonts w:ascii="Times New Roman" w:eastAsia="Arial" w:hAnsi="Times New Roman" w:cs="Times New Roman"/>
          <w:lang w:val="en-US"/>
        </w:rPr>
        <w:t xml:space="preserve"> </w:t>
      </w:r>
      <w:r w:rsidR="00682E7D" w:rsidRPr="00682E7D">
        <w:rPr>
          <w:rFonts w:ascii="Times New Roman" w:eastAsia="Arial" w:hAnsi="Times New Roman" w:cs="Times New Roman"/>
          <w:lang w:val="en-US"/>
        </w:rPr>
        <w:t>Genomics, University of Tartu using the Illumina Global Screening Arrays (GSAv1.0, GSAv2.0, and GSAv2.0_EST).</w:t>
      </w:r>
      <w:r w:rsidR="005E78BE">
        <w:rPr>
          <w:rFonts w:ascii="Times New Roman" w:eastAsia="Arial" w:hAnsi="Times New Roman" w:cs="Times New Roman"/>
          <w:lang w:val="en-US"/>
        </w:rPr>
        <w:t xml:space="preserve"> </w:t>
      </w:r>
      <w:r w:rsidR="00682E7D" w:rsidRPr="00682E7D">
        <w:rPr>
          <w:rFonts w:ascii="Times New Roman" w:eastAsia="Arial" w:hAnsi="Times New Roman" w:cs="Times New Roman"/>
          <w:lang w:val="en-US"/>
        </w:rPr>
        <w:t>Altogether 200,000 samples were genotyped and then PLINK format files were created using Illumina</w:t>
      </w:r>
      <w:r w:rsidR="005E78BE">
        <w:rPr>
          <w:rFonts w:ascii="Times New Roman" w:eastAsia="Arial" w:hAnsi="Times New Roman" w:cs="Times New Roman"/>
          <w:lang w:val="en-US"/>
        </w:rPr>
        <w:t xml:space="preserve"> </w:t>
      </w:r>
      <w:r w:rsidR="00682E7D" w:rsidRPr="00682E7D">
        <w:rPr>
          <w:rFonts w:ascii="Times New Roman" w:eastAsia="Arial" w:hAnsi="Times New Roman" w:cs="Times New Roman"/>
          <w:lang w:val="en-US"/>
        </w:rPr>
        <w:t>GenomeStudio v2.0.4. During the QC all individuals with call-rate &lt; 95% or mismatching sex that was defined</w:t>
      </w:r>
      <w:r w:rsidR="005E78BE">
        <w:rPr>
          <w:rFonts w:ascii="Times New Roman" w:eastAsia="Arial" w:hAnsi="Times New Roman" w:cs="Times New Roman"/>
          <w:lang w:val="en-US"/>
        </w:rPr>
        <w:t xml:space="preserve"> </w:t>
      </w:r>
      <w:r w:rsidR="00682E7D" w:rsidRPr="00682E7D">
        <w:rPr>
          <w:rFonts w:ascii="Times New Roman" w:eastAsia="Arial" w:hAnsi="Times New Roman" w:cs="Times New Roman"/>
          <w:lang w:val="en-US"/>
        </w:rPr>
        <w:t>based on the heterozygosity of X chromosome and sex in the phenotype data, were excluded from the analysis.Variants were filtered by call-rate &lt; 95% and HWE p-value &lt; 1</w:t>
      </w:r>
      <w:r w:rsidR="001A4F79">
        <w:rPr>
          <w:rFonts w:ascii="Cambria Math" w:eastAsia="Arial" w:hAnsi="Cambria Math" w:cs="Cambria Math"/>
          <w:lang w:val="en-US"/>
        </w:rPr>
        <w:t>x10</w:t>
      </w:r>
      <w:r w:rsidR="00BC4BC7" w:rsidRPr="00DE498C">
        <w:rPr>
          <w:rFonts w:ascii="Times New Roman" w:eastAsia="Calibri" w:hAnsi="Times New Roman" w:cs="Times New Roman"/>
          <w:vertAlign w:val="superscript"/>
          <w:lang w:val="en-US"/>
        </w:rPr>
        <w:t>−4</w:t>
      </w:r>
      <w:r w:rsidR="00682E7D" w:rsidRPr="00682E7D">
        <w:rPr>
          <w:rFonts w:ascii="Times New Roman" w:eastAsia="Arial" w:hAnsi="Times New Roman" w:cs="Times New Roman"/>
          <w:lang w:val="en-US"/>
        </w:rPr>
        <w:t xml:space="preserve"> (autosomal variants only). Variant positions</w:t>
      </w:r>
      <w:r w:rsidR="001A4F79">
        <w:rPr>
          <w:rFonts w:ascii="Times New Roman" w:eastAsia="Arial" w:hAnsi="Times New Roman" w:cs="Times New Roman"/>
          <w:lang w:val="en-US"/>
        </w:rPr>
        <w:t xml:space="preserve"> </w:t>
      </w:r>
      <w:r w:rsidR="00682E7D" w:rsidRPr="00682E7D">
        <w:rPr>
          <w:rFonts w:ascii="Times New Roman" w:eastAsia="Arial" w:hAnsi="Times New Roman" w:cs="Times New Roman"/>
          <w:lang w:val="en-US"/>
        </w:rPr>
        <w:t>were updated to Genome Reference Consortium Human Build 37 and all variants were changed to be from TOP</w:t>
      </w:r>
      <w:r w:rsidR="001A4F79">
        <w:rPr>
          <w:rFonts w:ascii="Times New Roman" w:eastAsia="Arial" w:hAnsi="Times New Roman" w:cs="Times New Roman"/>
          <w:lang w:val="en-US"/>
        </w:rPr>
        <w:t xml:space="preserve"> </w:t>
      </w:r>
      <w:r w:rsidR="00682E7D" w:rsidRPr="00682E7D">
        <w:rPr>
          <w:rFonts w:ascii="Times New Roman" w:eastAsia="Arial" w:hAnsi="Times New Roman" w:cs="Times New Roman"/>
          <w:lang w:val="en-US"/>
        </w:rPr>
        <w:t>strand using reference information provided by Dr. Will Rayner from the University of Oxford</w:t>
      </w:r>
      <w:r w:rsidR="001A4F79">
        <w:rPr>
          <w:rFonts w:ascii="Times New Roman" w:eastAsia="Arial" w:hAnsi="Times New Roman" w:cs="Times New Roman"/>
          <w:lang w:val="en-US"/>
        </w:rPr>
        <w:t xml:space="preserve"> </w:t>
      </w:r>
      <w:r w:rsidR="00682E7D" w:rsidRPr="00682E7D">
        <w:rPr>
          <w:rFonts w:ascii="Times New Roman" w:eastAsia="Arial" w:hAnsi="Times New Roman" w:cs="Times New Roman"/>
          <w:lang w:val="en-US"/>
        </w:rPr>
        <w:t>(https://www.well.ox.ac.uk/~wrayner/strand/). Before imputation variants with MAF &lt; 1% and Indels were</w:t>
      </w:r>
      <w:r w:rsidR="001A4F79">
        <w:rPr>
          <w:rFonts w:ascii="Times New Roman" w:eastAsia="Arial" w:hAnsi="Times New Roman" w:cs="Times New Roman"/>
          <w:lang w:val="en-US"/>
        </w:rPr>
        <w:t xml:space="preserve"> </w:t>
      </w:r>
      <w:r w:rsidR="00682E7D" w:rsidRPr="00682E7D">
        <w:rPr>
          <w:rFonts w:ascii="Times New Roman" w:eastAsia="Arial" w:hAnsi="Times New Roman" w:cs="Times New Roman"/>
          <w:lang w:val="en-US"/>
        </w:rPr>
        <w:t>removed. Prephasing was done using the Eagle v2.3 software (</w:t>
      </w:r>
      <w:r w:rsidR="00BA39CD">
        <w:rPr>
          <w:rFonts w:ascii="Times New Roman" w:eastAsia="Arial" w:hAnsi="Times New Roman" w:cs="Times New Roman"/>
          <w:lang w:val="en-US"/>
        </w:rPr>
        <w:t>1</w:t>
      </w:r>
      <w:r w:rsidR="00682E7D" w:rsidRPr="00682E7D">
        <w:rPr>
          <w:rFonts w:ascii="Times New Roman" w:eastAsia="Arial" w:hAnsi="Times New Roman" w:cs="Times New Roman"/>
          <w:lang w:val="en-US"/>
        </w:rPr>
        <w:t>) (number of conditioning haplotypes Eagle2 uses</w:t>
      </w:r>
      <w:r w:rsidR="001A4F79">
        <w:rPr>
          <w:rFonts w:ascii="Times New Roman" w:eastAsia="Arial" w:hAnsi="Times New Roman" w:cs="Times New Roman"/>
          <w:lang w:val="en-US"/>
        </w:rPr>
        <w:t xml:space="preserve"> </w:t>
      </w:r>
      <w:r w:rsidR="00682E7D" w:rsidRPr="00682E7D">
        <w:rPr>
          <w:rFonts w:ascii="Times New Roman" w:eastAsia="Arial" w:hAnsi="Times New Roman" w:cs="Times New Roman"/>
          <w:lang w:val="en-US"/>
        </w:rPr>
        <w:t>when phasing each sample was set to: --Kpbwt=20000) and imputation was carried out using Beagle</w:t>
      </w:r>
      <w:r w:rsidR="001A4F79">
        <w:rPr>
          <w:rFonts w:ascii="Times New Roman" w:eastAsia="Arial" w:hAnsi="Times New Roman" w:cs="Times New Roman"/>
          <w:lang w:val="en-US"/>
        </w:rPr>
        <w:t xml:space="preserve"> </w:t>
      </w:r>
      <w:r w:rsidR="00682E7D" w:rsidRPr="00682E7D">
        <w:rPr>
          <w:rFonts w:ascii="Times New Roman" w:eastAsia="Arial" w:hAnsi="Times New Roman" w:cs="Times New Roman"/>
          <w:lang w:val="en-US"/>
        </w:rPr>
        <w:t>v.28Sep18.793 (</w:t>
      </w:r>
      <w:r w:rsidR="00BA39CD">
        <w:rPr>
          <w:rFonts w:ascii="Times New Roman" w:eastAsia="Arial" w:hAnsi="Times New Roman" w:cs="Times New Roman"/>
          <w:lang w:val="en-US"/>
        </w:rPr>
        <w:t>2,3</w:t>
      </w:r>
      <w:r w:rsidR="00682E7D" w:rsidRPr="00682E7D">
        <w:rPr>
          <w:rFonts w:ascii="Times New Roman" w:eastAsia="Arial" w:hAnsi="Times New Roman" w:cs="Times New Roman"/>
          <w:lang w:val="en-US"/>
        </w:rPr>
        <w:t xml:space="preserve">) with an effective population size </w:t>
      </w:r>
      <w:r w:rsidR="00682E7D" w:rsidRPr="00682E7D">
        <w:rPr>
          <w:rFonts w:ascii="Cambria Math" w:eastAsia="Arial" w:hAnsi="Cambria Math" w:cs="Cambria Math"/>
          <w:lang w:val="en-US"/>
        </w:rPr>
        <w:t>𝑁</w:t>
      </w:r>
      <w:r w:rsidR="00682E7D" w:rsidRPr="00682E7D">
        <w:rPr>
          <w:rFonts w:ascii="Times New Roman" w:eastAsia="Arial" w:hAnsi="Times New Roman" w:cs="Times New Roman"/>
          <w:lang w:val="en-US"/>
        </w:rPr>
        <w:t>' = 20,000. As a reference, Estonian population specific</w:t>
      </w:r>
      <w:r w:rsidR="001A4F79">
        <w:rPr>
          <w:rFonts w:ascii="Times New Roman" w:eastAsia="Arial" w:hAnsi="Times New Roman" w:cs="Times New Roman"/>
          <w:lang w:val="en-US"/>
        </w:rPr>
        <w:t xml:space="preserve"> </w:t>
      </w:r>
      <w:r w:rsidR="00682E7D" w:rsidRPr="00682E7D">
        <w:rPr>
          <w:rFonts w:ascii="Times New Roman" w:eastAsia="Arial" w:hAnsi="Times New Roman" w:cs="Times New Roman"/>
          <w:lang w:val="en-US"/>
        </w:rPr>
        <w:t>imputation reference of 2,297 WGS samples was used (4).</w:t>
      </w:r>
    </w:p>
    <w:p w14:paraId="3EEE2EA8" w14:textId="77777777" w:rsidR="00DE498C" w:rsidRPr="00A3611F" w:rsidRDefault="00DE498C" w:rsidP="00DE498C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A3611F">
        <w:rPr>
          <w:rFonts w:ascii="Times New Roman" w:eastAsia="Calibri" w:hAnsi="Times New Roman" w:cs="Times New Roman"/>
          <w:sz w:val="24"/>
          <w:szCs w:val="24"/>
          <w:lang w:val="en-US"/>
        </w:rPr>
        <w:t>References</w:t>
      </w:r>
    </w:p>
    <w:p w14:paraId="31CEB22F" w14:textId="77777777" w:rsidR="00DE498C" w:rsidRPr="00A3611F" w:rsidRDefault="00DE498C" w:rsidP="00DE498C">
      <w:pPr>
        <w:pBdr>
          <w:top w:val="nil"/>
          <w:left w:val="nil"/>
          <w:bottom w:val="nil"/>
          <w:right w:val="nil"/>
          <w:between w:val="nil"/>
        </w:pBdr>
        <w:tabs>
          <w:tab w:val="left" w:pos="260"/>
        </w:tabs>
        <w:ind w:left="264" w:hanging="264"/>
        <w:rPr>
          <w:rFonts w:ascii="Times New Roman" w:eastAsia="Calibri" w:hAnsi="Times New Roman" w:cs="Times New Roman"/>
          <w:sz w:val="24"/>
          <w:szCs w:val="24"/>
          <w:lang w:val="en-US"/>
        </w:rPr>
      </w:pPr>
      <w:hyperlink r:id="rId4">
        <w:r w:rsidRPr="00A3611F">
          <w:rPr>
            <w:rFonts w:ascii="Times New Roman" w:eastAsia="Calibri" w:hAnsi="Times New Roman" w:cs="Times New Roman"/>
            <w:sz w:val="24"/>
            <w:szCs w:val="24"/>
            <w:lang w:val="en-US"/>
          </w:rPr>
          <w:t>1.</w:t>
        </w:r>
      </w:hyperlink>
      <w:r w:rsidRPr="00A3611F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hyperlink r:id="rId5">
        <w:r w:rsidRPr="00A3611F">
          <w:rPr>
            <w:rFonts w:ascii="Times New Roman" w:eastAsia="Calibri" w:hAnsi="Times New Roman" w:cs="Times New Roman"/>
            <w:sz w:val="24"/>
            <w:szCs w:val="24"/>
            <w:lang w:val="en-US"/>
          </w:rPr>
          <w:t xml:space="preserve">Loh, P.-R. </w:t>
        </w:r>
      </w:hyperlink>
      <w:hyperlink r:id="rId6">
        <w:r w:rsidRPr="00A3611F">
          <w:rPr>
            <w:rFonts w:ascii="Times New Roman" w:eastAsia="Calibri" w:hAnsi="Times New Roman" w:cs="Times New Roman"/>
            <w:sz w:val="24"/>
            <w:szCs w:val="24"/>
            <w:lang w:val="en-US"/>
          </w:rPr>
          <w:t>et al.</w:t>
        </w:r>
      </w:hyperlink>
      <w:hyperlink r:id="rId7">
        <w:r w:rsidRPr="00A3611F">
          <w:rPr>
            <w:rFonts w:ascii="Times New Roman" w:eastAsia="Calibri" w:hAnsi="Times New Roman" w:cs="Times New Roman"/>
            <w:sz w:val="24"/>
            <w:szCs w:val="24"/>
            <w:lang w:val="en-US"/>
          </w:rPr>
          <w:t xml:space="preserve"> Reference-based phasing using the Haplotype Reference Consortium panel. </w:t>
        </w:r>
      </w:hyperlink>
      <w:hyperlink r:id="rId8">
        <w:r w:rsidRPr="00A3611F">
          <w:rPr>
            <w:rFonts w:ascii="Times New Roman" w:eastAsia="Calibri" w:hAnsi="Times New Roman" w:cs="Times New Roman"/>
            <w:sz w:val="24"/>
            <w:szCs w:val="24"/>
            <w:lang w:val="en-US"/>
          </w:rPr>
          <w:t xml:space="preserve">Nat. Genet. </w:t>
        </w:r>
      </w:hyperlink>
      <w:hyperlink r:id="rId9">
        <w:r w:rsidRPr="00A3611F">
          <w:rPr>
            <w:rFonts w:ascii="Times New Roman" w:eastAsia="Calibri" w:hAnsi="Times New Roman" w:cs="Times New Roman"/>
            <w:sz w:val="24"/>
            <w:szCs w:val="24"/>
            <w:lang w:val="en-US"/>
          </w:rPr>
          <w:t xml:space="preserve">48, 1443–1448 (2016). </w:t>
        </w:r>
      </w:hyperlink>
    </w:p>
    <w:p w14:paraId="619673F0" w14:textId="77777777" w:rsidR="00DE498C" w:rsidRPr="00A3611F" w:rsidRDefault="00DE498C" w:rsidP="00DE498C">
      <w:pPr>
        <w:pBdr>
          <w:top w:val="nil"/>
          <w:left w:val="nil"/>
          <w:bottom w:val="nil"/>
          <w:right w:val="nil"/>
          <w:between w:val="nil"/>
        </w:pBdr>
        <w:tabs>
          <w:tab w:val="left" w:pos="260"/>
        </w:tabs>
        <w:ind w:left="264" w:hanging="264"/>
        <w:rPr>
          <w:rFonts w:ascii="Times New Roman" w:eastAsia="Calibri" w:hAnsi="Times New Roman" w:cs="Times New Roman"/>
          <w:sz w:val="24"/>
          <w:szCs w:val="24"/>
          <w:lang w:val="en-US"/>
        </w:rPr>
      </w:pPr>
      <w:hyperlink r:id="rId10">
        <w:r w:rsidRPr="00A3611F">
          <w:rPr>
            <w:rFonts w:ascii="Times New Roman" w:eastAsia="Calibri" w:hAnsi="Times New Roman" w:cs="Times New Roman"/>
            <w:sz w:val="24"/>
            <w:szCs w:val="24"/>
            <w:lang w:val="en-US"/>
          </w:rPr>
          <w:t>2.</w:t>
        </w:r>
      </w:hyperlink>
      <w:r w:rsidRPr="00A3611F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hyperlink r:id="rId11">
        <w:r w:rsidRPr="00A3611F">
          <w:rPr>
            <w:rFonts w:ascii="Times New Roman" w:eastAsia="Calibri" w:hAnsi="Times New Roman" w:cs="Times New Roman"/>
            <w:sz w:val="24"/>
            <w:szCs w:val="24"/>
            <w:lang w:val="en-US"/>
          </w:rPr>
          <w:t xml:space="preserve">Browning, B. L., Zhou, Y. &amp; Browning, S. R. A One-Penny Imputed Genome from Next-Generation Reference Panels. </w:t>
        </w:r>
      </w:hyperlink>
      <w:hyperlink r:id="rId12">
        <w:r w:rsidRPr="00A3611F">
          <w:rPr>
            <w:rFonts w:ascii="Times New Roman" w:eastAsia="Calibri" w:hAnsi="Times New Roman" w:cs="Times New Roman"/>
            <w:sz w:val="24"/>
            <w:szCs w:val="24"/>
            <w:lang w:val="en-US"/>
          </w:rPr>
          <w:t xml:space="preserve">Am. J. Hum. Genet. </w:t>
        </w:r>
      </w:hyperlink>
      <w:hyperlink r:id="rId13">
        <w:r w:rsidRPr="00A3611F">
          <w:rPr>
            <w:rFonts w:ascii="Times New Roman" w:eastAsia="Calibri" w:hAnsi="Times New Roman" w:cs="Times New Roman"/>
            <w:sz w:val="24"/>
            <w:szCs w:val="24"/>
            <w:lang w:val="en-US"/>
          </w:rPr>
          <w:t xml:space="preserve">103, 338–348 (2018). </w:t>
        </w:r>
      </w:hyperlink>
    </w:p>
    <w:p w14:paraId="63EAA73C" w14:textId="77777777" w:rsidR="00DE498C" w:rsidRPr="00A3611F" w:rsidRDefault="00DE498C" w:rsidP="00DE498C">
      <w:pPr>
        <w:pBdr>
          <w:top w:val="nil"/>
          <w:left w:val="nil"/>
          <w:bottom w:val="nil"/>
          <w:right w:val="nil"/>
          <w:between w:val="nil"/>
        </w:pBdr>
        <w:tabs>
          <w:tab w:val="left" w:pos="260"/>
        </w:tabs>
        <w:ind w:left="264" w:hanging="264"/>
        <w:rPr>
          <w:rFonts w:ascii="Times New Roman" w:eastAsia="Calibri" w:hAnsi="Times New Roman" w:cs="Times New Roman"/>
          <w:sz w:val="24"/>
          <w:szCs w:val="24"/>
          <w:lang w:val="en-US"/>
        </w:rPr>
      </w:pPr>
      <w:hyperlink r:id="rId14">
        <w:r w:rsidRPr="00A3611F">
          <w:rPr>
            <w:rFonts w:ascii="Times New Roman" w:eastAsia="Calibri" w:hAnsi="Times New Roman" w:cs="Times New Roman"/>
            <w:sz w:val="24"/>
            <w:szCs w:val="24"/>
            <w:lang w:val="en-US"/>
          </w:rPr>
          <w:t>3.</w:t>
        </w:r>
      </w:hyperlink>
      <w:r w:rsidRPr="00A3611F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hyperlink r:id="rId15">
        <w:r w:rsidRPr="00A3611F">
          <w:rPr>
            <w:rFonts w:ascii="Times New Roman" w:eastAsia="Calibri" w:hAnsi="Times New Roman" w:cs="Times New Roman"/>
            <w:sz w:val="24"/>
            <w:szCs w:val="24"/>
            <w:lang w:val="en-US"/>
          </w:rPr>
          <w:t xml:space="preserve">Browning, S. R. &amp; Browning, B. L. Rapid and Accurate Haplotype Phasing and Missing-Data Inference for Whole-Genome Association Studies By Use of Localized Haplotype Clustering. </w:t>
        </w:r>
      </w:hyperlink>
      <w:hyperlink r:id="rId16">
        <w:r w:rsidRPr="00A3611F">
          <w:rPr>
            <w:rFonts w:ascii="Times New Roman" w:eastAsia="Calibri" w:hAnsi="Times New Roman" w:cs="Times New Roman"/>
            <w:sz w:val="24"/>
            <w:szCs w:val="24"/>
            <w:lang w:val="en-US"/>
          </w:rPr>
          <w:t xml:space="preserve">Am. J. Hum. Genet. </w:t>
        </w:r>
      </w:hyperlink>
      <w:hyperlink r:id="rId17">
        <w:r w:rsidRPr="00A3611F">
          <w:rPr>
            <w:rFonts w:ascii="Times New Roman" w:eastAsia="Calibri" w:hAnsi="Times New Roman" w:cs="Times New Roman"/>
            <w:sz w:val="24"/>
            <w:szCs w:val="24"/>
            <w:lang w:val="en-US"/>
          </w:rPr>
          <w:t xml:space="preserve">81, 1084–1097 (2007). </w:t>
        </w:r>
      </w:hyperlink>
    </w:p>
    <w:p w14:paraId="3C1E9BF6" w14:textId="77777777" w:rsidR="00DE498C" w:rsidRPr="00A3611F" w:rsidRDefault="00DE498C" w:rsidP="00DE498C">
      <w:pPr>
        <w:pBdr>
          <w:top w:val="nil"/>
          <w:left w:val="nil"/>
          <w:bottom w:val="nil"/>
          <w:right w:val="nil"/>
          <w:between w:val="nil"/>
        </w:pBdr>
        <w:tabs>
          <w:tab w:val="left" w:pos="260"/>
        </w:tabs>
        <w:ind w:left="264" w:hanging="264"/>
        <w:rPr>
          <w:rFonts w:ascii="Times New Roman" w:hAnsi="Times New Roman" w:cs="Times New Roman"/>
          <w:sz w:val="24"/>
          <w:szCs w:val="24"/>
          <w:lang w:val="en-US"/>
        </w:rPr>
      </w:pPr>
      <w:hyperlink r:id="rId18">
        <w:r w:rsidRPr="00A3611F">
          <w:rPr>
            <w:rFonts w:ascii="Times New Roman" w:eastAsia="Calibri" w:hAnsi="Times New Roman" w:cs="Times New Roman"/>
            <w:sz w:val="24"/>
            <w:szCs w:val="24"/>
            <w:lang w:val="en-US"/>
          </w:rPr>
          <w:t>4.</w:t>
        </w:r>
      </w:hyperlink>
      <w:r w:rsidRPr="00A3611F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hyperlink r:id="rId19">
        <w:r w:rsidRPr="00A3611F">
          <w:rPr>
            <w:rFonts w:ascii="Times New Roman" w:eastAsia="Calibri" w:hAnsi="Times New Roman" w:cs="Times New Roman"/>
            <w:sz w:val="24"/>
            <w:szCs w:val="24"/>
            <w:lang w:val="en-US"/>
          </w:rPr>
          <w:t xml:space="preserve">Mitt, M. </w:t>
        </w:r>
      </w:hyperlink>
      <w:hyperlink r:id="rId20">
        <w:r w:rsidRPr="00A3611F">
          <w:rPr>
            <w:rFonts w:ascii="Times New Roman" w:eastAsia="Calibri" w:hAnsi="Times New Roman" w:cs="Times New Roman"/>
            <w:sz w:val="24"/>
            <w:szCs w:val="24"/>
            <w:lang w:val="en-US"/>
          </w:rPr>
          <w:t>et al.</w:t>
        </w:r>
      </w:hyperlink>
      <w:hyperlink r:id="rId21">
        <w:r w:rsidRPr="00A3611F">
          <w:rPr>
            <w:rFonts w:ascii="Times New Roman" w:eastAsia="Calibri" w:hAnsi="Times New Roman" w:cs="Times New Roman"/>
            <w:sz w:val="24"/>
            <w:szCs w:val="24"/>
            <w:lang w:val="en-US"/>
          </w:rPr>
          <w:t xml:space="preserve"> Improved imputation accuracy of rare and low-frequency variants using population-specific high-coverage WGS-based imputation reference panel. </w:t>
        </w:r>
      </w:hyperlink>
      <w:hyperlink r:id="rId22">
        <w:r w:rsidRPr="00A3611F">
          <w:rPr>
            <w:rFonts w:ascii="Times New Roman" w:eastAsia="Calibri" w:hAnsi="Times New Roman" w:cs="Times New Roman"/>
            <w:sz w:val="24"/>
            <w:szCs w:val="24"/>
            <w:lang w:val="en-US"/>
          </w:rPr>
          <w:t xml:space="preserve">Eur. J. Hum. Genet. </w:t>
        </w:r>
      </w:hyperlink>
      <w:hyperlink r:id="rId23">
        <w:r w:rsidRPr="00A3611F">
          <w:rPr>
            <w:rFonts w:ascii="Times New Roman" w:eastAsia="Calibri" w:hAnsi="Times New Roman" w:cs="Times New Roman"/>
            <w:sz w:val="24"/>
            <w:szCs w:val="24"/>
            <w:lang w:val="en-US"/>
          </w:rPr>
          <w:t xml:space="preserve">25, 869–876 (2017). </w:t>
        </w:r>
      </w:hyperlink>
    </w:p>
    <w:p w14:paraId="297E04D1" w14:textId="7D520D2C" w:rsidR="00DE498C" w:rsidRPr="00B92E38" w:rsidRDefault="00DE498C" w:rsidP="00B92E3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DE498C" w:rsidRPr="00B92E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2E38"/>
    <w:rsid w:val="000C7CC1"/>
    <w:rsid w:val="00105034"/>
    <w:rsid w:val="001A4F79"/>
    <w:rsid w:val="00287F4A"/>
    <w:rsid w:val="005E78BE"/>
    <w:rsid w:val="00682E7D"/>
    <w:rsid w:val="00686808"/>
    <w:rsid w:val="008539AC"/>
    <w:rsid w:val="008E03CE"/>
    <w:rsid w:val="00A3611F"/>
    <w:rsid w:val="00AF7E05"/>
    <w:rsid w:val="00B92E38"/>
    <w:rsid w:val="00BA39CD"/>
    <w:rsid w:val="00BC4BC7"/>
    <w:rsid w:val="00BD7F57"/>
    <w:rsid w:val="00D3046C"/>
    <w:rsid w:val="00D60050"/>
    <w:rsid w:val="00DE0B05"/>
    <w:rsid w:val="00DE498C"/>
    <w:rsid w:val="00EA5655"/>
    <w:rsid w:val="00FF6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93ACC"/>
  <w15:chartTrackingRefBased/>
  <w15:docId w15:val="{57679F37-E779-4AB5-9251-9279FED26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2E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2E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2E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2E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2E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2E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2E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2E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2E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2E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2E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2E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2E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2E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2E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2E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2E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2E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2E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2E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2E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2E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2E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2E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2E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2E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2E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2E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2E38"/>
    <w:rPr>
      <w:b/>
      <w:bCs/>
      <w:smallCaps/>
      <w:color w:val="0F4761" w:themeColor="accent1" w:themeShade="BF"/>
      <w:spacing w:val="5"/>
    </w:rPr>
  </w:style>
  <w:style w:type="character" w:styleId="SubtleEmphasis">
    <w:name w:val="Subtle Emphasis"/>
    <w:basedOn w:val="DefaultParagraphFont"/>
    <w:uiPriority w:val="19"/>
    <w:qFormat/>
    <w:rsid w:val="00B92E38"/>
    <w:rPr>
      <w:i/>
      <w:iCs/>
      <w:color w:val="404040" w:themeColor="text1" w:themeTint="BF"/>
    </w:rPr>
  </w:style>
  <w:style w:type="character" w:customStyle="1" w:styleId="normaltextrun">
    <w:name w:val="normaltextrun"/>
    <w:basedOn w:val="DefaultParagraphFont"/>
    <w:rsid w:val="00B92E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otero.org/google-docs/?v8DDgn" TargetMode="External"/><Relationship Id="rId13" Type="http://schemas.openxmlformats.org/officeDocument/2006/relationships/hyperlink" Target="https://www.zotero.org/google-docs/?v8DDgn" TargetMode="External"/><Relationship Id="rId18" Type="http://schemas.openxmlformats.org/officeDocument/2006/relationships/hyperlink" Target="https://www.zotero.org/google-docs/?v8DDgn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zotero.org/google-docs/?v8DDgn" TargetMode="External"/><Relationship Id="rId7" Type="http://schemas.openxmlformats.org/officeDocument/2006/relationships/hyperlink" Target="https://www.zotero.org/google-docs/?v8DDgn" TargetMode="External"/><Relationship Id="rId12" Type="http://schemas.openxmlformats.org/officeDocument/2006/relationships/hyperlink" Target="https://www.zotero.org/google-docs/?v8DDgn" TargetMode="External"/><Relationship Id="rId17" Type="http://schemas.openxmlformats.org/officeDocument/2006/relationships/hyperlink" Target="https://www.zotero.org/google-docs/?v8DDgn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www.zotero.org/google-docs/?v8DDgn" TargetMode="External"/><Relationship Id="rId20" Type="http://schemas.openxmlformats.org/officeDocument/2006/relationships/hyperlink" Target="https://www.zotero.org/google-docs/?v8DDgn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zotero.org/google-docs/?v8DDgn" TargetMode="External"/><Relationship Id="rId11" Type="http://schemas.openxmlformats.org/officeDocument/2006/relationships/hyperlink" Target="https://www.zotero.org/google-docs/?v8DDgn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www.zotero.org/google-docs/?v8DDgn" TargetMode="External"/><Relationship Id="rId15" Type="http://schemas.openxmlformats.org/officeDocument/2006/relationships/hyperlink" Target="https://www.zotero.org/google-docs/?v8DDgn" TargetMode="External"/><Relationship Id="rId23" Type="http://schemas.openxmlformats.org/officeDocument/2006/relationships/hyperlink" Target="https://www.zotero.org/google-docs/?v8DDgn" TargetMode="External"/><Relationship Id="rId10" Type="http://schemas.openxmlformats.org/officeDocument/2006/relationships/hyperlink" Target="https://www.zotero.org/google-docs/?v8DDgn" TargetMode="External"/><Relationship Id="rId19" Type="http://schemas.openxmlformats.org/officeDocument/2006/relationships/hyperlink" Target="https://www.zotero.org/google-docs/?v8DDgn" TargetMode="External"/><Relationship Id="rId4" Type="http://schemas.openxmlformats.org/officeDocument/2006/relationships/hyperlink" Target="https://www.zotero.org/google-docs/?v8DDgn" TargetMode="External"/><Relationship Id="rId9" Type="http://schemas.openxmlformats.org/officeDocument/2006/relationships/hyperlink" Target="https://www.zotero.org/google-docs/?v8DDgn" TargetMode="External"/><Relationship Id="rId14" Type="http://schemas.openxmlformats.org/officeDocument/2006/relationships/hyperlink" Target="https://www.zotero.org/google-docs/?v8DDgn" TargetMode="External"/><Relationship Id="rId22" Type="http://schemas.openxmlformats.org/officeDocument/2006/relationships/hyperlink" Target="https://www.zotero.org/google-docs/?v8DDg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498</Words>
  <Characters>2893</Characters>
  <Application>Microsoft Office Word</Application>
  <DocSecurity>0</DocSecurity>
  <Lines>24</Lines>
  <Paragraphs>6</Paragraphs>
  <ScaleCrop>false</ScaleCrop>
  <Company/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 Pärna</dc:creator>
  <cp:keywords/>
  <dc:description/>
  <cp:lastModifiedBy>Katri Pärna</cp:lastModifiedBy>
  <cp:revision>13</cp:revision>
  <dcterms:created xsi:type="dcterms:W3CDTF">2026-03-17T21:05:00Z</dcterms:created>
  <dcterms:modified xsi:type="dcterms:W3CDTF">2026-06-25T23:12:00Z</dcterms:modified>
</cp:coreProperties>
</file>