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7077F" w14:textId="77777777" w:rsidR="00A66D12" w:rsidRDefault="000B4CFF">
      <w:pPr>
        <w:pStyle w:val="Heading1"/>
      </w:pPr>
      <w:r>
        <w:t>Supplementary Figures</w:t>
      </w:r>
    </w:p>
    <w:p w14:paraId="68EE04A7" w14:textId="77777777" w:rsidR="00E03DE9" w:rsidRDefault="00E03DE9" w:rsidP="00E03DE9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114300" distB="114300" distL="114300" distR="114300" wp14:anchorId="32534A3B" wp14:editId="40538E41">
            <wp:extent cx="5731200" cy="4610100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61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356AEA" w14:textId="77777777" w:rsidR="00E03DE9" w:rsidRPr="005E1451" w:rsidRDefault="00E03DE9" w:rsidP="00E03DE9">
      <w:pPr>
        <w:spacing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03DE9">
        <w:rPr>
          <w:rFonts w:ascii="Times New Roman" w:eastAsia="Calibri" w:hAnsi="Times New Roman" w:cs="Times New Roman"/>
          <w:b/>
          <w:bCs/>
          <w:sz w:val="22"/>
          <w:szCs w:val="22"/>
        </w:rPr>
        <w:t>Supplementary Figure S1.</w:t>
      </w:r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5E1451">
        <w:rPr>
          <w:rFonts w:ascii="Times New Roman" w:eastAsia="Calibri" w:hAnsi="Times New Roman" w:cs="Times New Roman"/>
          <w:sz w:val="22"/>
          <w:szCs w:val="22"/>
        </w:rPr>
        <w:t xml:space="preserve">GWAS analyses Quantile-Quantile plots and Lambda (λ) values for a) Higher ED risk b) Make yourself sick c) Lost &gt; 6 kg d) Feel fat e) Lost control f) Food dominates. </w:t>
      </w:r>
    </w:p>
    <w:p w14:paraId="70A48686" w14:textId="42E10992" w:rsidR="00E03DE9" w:rsidRDefault="00E03DE9">
      <w:r>
        <w:br w:type="page"/>
      </w:r>
    </w:p>
    <w:p w14:paraId="03B70780" w14:textId="77777777" w:rsidR="00A66D12" w:rsidRDefault="000B4CFF">
      <w:r>
        <w:rPr>
          <w:noProof/>
        </w:rPr>
        <w:lastRenderedPageBreak/>
        <w:drawing>
          <wp:inline distT="114300" distB="114300" distL="114300" distR="114300" wp14:anchorId="03B70795" wp14:editId="03B70796">
            <wp:extent cx="5731200" cy="40640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6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B70781" w14:textId="4EFB8A20" w:rsidR="00A66D12" w:rsidRDefault="000B4CFF">
      <w:pPr>
        <w:spacing w:after="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b/>
          <w:bCs/>
        </w:rPr>
        <w:t>Supplementary Figure S</w:t>
      </w:r>
      <w:r w:rsidR="005E1451">
        <w:rPr>
          <w:b/>
          <w:bCs/>
        </w:rPr>
        <w:t>2</w:t>
      </w:r>
      <w:r>
        <w:rPr>
          <w:b/>
          <w:bCs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Manhattan plots for higher ED risk and five SCOFF item based GWASs among </w:t>
      </w:r>
      <w:sdt>
        <w:sdtPr>
          <w:tag w:val="goog_rdk_0"/>
          <w:id w:val="-219036533"/>
        </w:sdtPr>
        <w:sdtContent/>
      </w:sdt>
      <w:r>
        <w:rPr>
          <w:rFonts w:ascii="Times New Roman" w:eastAsia="Times New Roman" w:hAnsi="Times New Roman" w:cs="Times New Roman"/>
          <w:sz w:val="22"/>
          <w:szCs w:val="22"/>
        </w:rPr>
        <w:t xml:space="preserve">females. The </w:t>
      </w:r>
      <w:r w:rsidR="006D1ACF">
        <w:rPr>
          <w:rFonts w:ascii="Times New Roman" w:eastAsia="Times New Roman" w:hAnsi="Times New Roman" w:cs="Times New Roman"/>
          <w:sz w:val="22"/>
          <w:szCs w:val="22"/>
        </w:rPr>
        <w:t>x</w:t>
      </w:r>
      <w:r>
        <w:rPr>
          <w:rFonts w:ascii="Times New Roman" w:eastAsia="Times New Roman" w:hAnsi="Times New Roman" w:cs="Times New Roman"/>
          <w:sz w:val="22"/>
          <w:szCs w:val="22"/>
        </w:rPr>
        <w:t>-axis represents chromosomes 1 to 22, the y-axis shows –log10(P-value) for the association of genetic variants detected in GWAS. The gray dashed line is a genome-wide significance threshold of p-value of &lt;5×10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-8</w:t>
      </w:r>
      <w:r>
        <w:rPr>
          <w:rFonts w:ascii="Times New Roman" w:eastAsia="Times New Roman" w:hAnsi="Times New Roman" w:cs="Times New Roman"/>
          <w:sz w:val="22"/>
          <w:szCs w:val="22"/>
        </w:rPr>
        <w:t>. For each lead SNP in genetic risk loci above GWAS threshold, the nearest genes were prioritized (marked on the figure).</w:t>
      </w:r>
    </w:p>
    <w:p w14:paraId="03B70782" w14:textId="77777777" w:rsidR="00A66D12" w:rsidRDefault="000B4CFF">
      <w:r>
        <w:br w:type="page"/>
      </w:r>
    </w:p>
    <w:p w14:paraId="03B70783" w14:textId="77777777" w:rsidR="00A66D12" w:rsidRDefault="000B4CFF">
      <w:pPr>
        <w:spacing w:after="0" w:line="480" w:lineRule="auto"/>
        <w:jc w:val="both"/>
      </w:pPr>
      <w:r>
        <w:rPr>
          <w:noProof/>
        </w:rPr>
        <w:lastRenderedPageBreak/>
        <w:drawing>
          <wp:inline distT="114300" distB="114300" distL="114300" distR="114300" wp14:anchorId="03B70797" wp14:editId="03B70798">
            <wp:extent cx="5731200" cy="40640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6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B70784" w14:textId="40B6EBC0" w:rsidR="00A66D12" w:rsidRDefault="000B4CFF">
      <w:pPr>
        <w:spacing w:after="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b/>
          <w:bCs/>
        </w:rPr>
        <w:t>Supplementary Figure S</w:t>
      </w:r>
      <w:r w:rsidR="005E1451">
        <w:rPr>
          <w:b/>
          <w:bCs/>
        </w:rPr>
        <w:t>3</w:t>
      </w:r>
      <w:r>
        <w:rPr>
          <w:b/>
          <w:bCs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Manhattan plots for higher ED risk and five SCOFF item based GWASs among </w:t>
      </w:r>
      <w:sdt>
        <w:sdtPr>
          <w:tag w:val="goog_rdk_1"/>
          <w:id w:val="1210889435"/>
        </w:sdtPr>
        <w:sdtContent/>
      </w:sdt>
      <w:r>
        <w:rPr>
          <w:rFonts w:ascii="Times New Roman" w:eastAsia="Times New Roman" w:hAnsi="Times New Roman" w:cs="Times New Roman"/>
          <w:sz w:val="22"/>
          <w:szCs w:val="22"/>
        </w:rPr>
        <w:t xml:space="preserve">males. The </w:t>
      </w:r>
      <w:r w:rsidR="006D1ACF">
        <w:rPr>
          <w:rFonts w:ascii="Times New Roman" w:eastAsia="Times New Roman" w:hAnsi="Times New Roman" w:cs="Times New Roman"/>
          <w:sz w:val="22"/>
          <w:szCs w:val="22"/>
        </w:rPr>
        <w:t>x</w:t>
      </w:r>
      <w:r>
        <w:rPr>
          <w:rFonts w:ascii="Times New Roman" w:eastAsia="Times New Roman" w:hAnsi="Times New Roman" w:cs="Times New Roman"/>
          <w:sz w:val="22"/>
          <w:szCs w:val="22"/>
        </w:rPr>
        <w:t>-axis represents chromosomes 1 to 22, the y-axis shows –log10(P-value) for the association of genetic variants detected in GWAS. The gray dashed line is a genome-wide significance threshold of p-value of &lt;5×10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-8</w:t>
      </w:r>
      <w:r>
        <w:rPr>
          <w:rFonts w:ascii="Times New Roman" w:eastAsia="Times New Roman" w:hAnsi="Times New Roman" w:cs="Times New Roman"/>
          <w:sz w:val="22"/>
          <w:szCs w:val="22"/>
        </w:rPr>
        <w:t>. For each lead SNP in genetic risk loci above GWAS threshold, the nearest genes are marked.</w:t>
      </w:r>
    </w:p>
    <w:p w14:paraId="03B70785" w14:textId="77777777" w:rsidR="00A66D12" w:rsidRDefault="00A66D12">
      <w:pPr>
        <w:spacing w:after="0" w:line="48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3B70786" w14:textId="77777777" w:rsidR="00A66D12" w:rsidRDefault="00A66D12"/>
    <w:p w14:paraId="03B70787" w14:textId="77777777" w:rsidR="00A66D12" w:rsidRDefault="00A66D12"/>
    <w:p w14:paraId="03B70788" w14:textId="77777777" w:rsidR="00A66D12" w:rsidRDefault="000B4CFF">
      <w:r>
        <w:br w:type="page"/>
      </w:r>
    </w:p>
    <w:p w14:paraId="03B70789" w14:textId="77777777" w:rsidR="00A66D12" w:rsidRDefault="000B4CFF">
      <w:r>
        <w:rPr>
          <w:noProof/>
        </w:rPr>
        <w:lastRenderedPageBreak/>
        <w:drawing>
          <wp:inline distT="114300" distB="114300" distL="114300" distR="114300" wp14:anchorId="03B70799" wp14:editId="03B7079A">
            <wp:extent cx="5731200" cy="406400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6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B7078A" w14:textId="58B184BD" w:rsidR="00A66D12" w:rsidRDefault="000B4CF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Supplementary Figure S</w:t>
      </w:r>
      <w:r w:rsidR="005E1451">
        <w:rPr>
          <w:rFonts w:ascii="Calibri" w:eastAsia="Calibri" w:hAnsi="Calibri" w:cs="Calibri"/>
          <w:b/>
          <w:bCs/>
          <w:sz w:val="22"/>
          <w:szCs w:val="22"/>
        </w:rPr>
        <w:t>4</w:t>
      </w:r>
      <w:r>
        <w:rPr>
          <w:rFonts w:ascii="Calibri" w:eastAsia="Calibri" w:hAnsi="Calibri" w:cs="Calibri"/>
          <w:b/>
          <w:bCs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Manhattan plots for higher ED risk and five SCOFF item based GWASs among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sdt>
        <w:sdtPr>
          <w:tag w:val="goog_rdk_2"/>
          <w:id w:val="-1264860650"/>
        </w:sdtPr>
        <w:sdtContent/>
      </w:sdt>
      <w:r>
        <w:rPr>
          <w:rFonts w:ascii="Times New Roman" w:eastAsia="Times New Roman" w:hAnsi="Times New Roman" w:cs="Times New Roman"/>
          <w:sz w:val="22"/>
          <w:szCs w:val="22"/>
        </w:rPr>
        <w:t>underweight/normal BMI (&lt;25 kg/m²). T</w:t>
      </w:r>
      <w:r>
        <w:rPr>
          <w:rFonts w:ascii="Calibri" w:eastAsia="Calibri" w:hAnsi="Calibri" w:cs="Calibri"/>
          <w:sz w:val="22"/>
          <w:szCs w:val="22"/>
        </w:rPr>
        <w:t xml:space="preserve">he </w:t>
      </w:r>
      <w:r w:rsidR="006D1ACF"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-axis represents chromosomes 1 to 22, the y-axis shows –log10(P-values) for the association of genetic variants detected in GWAS. The gray dashed line is a genome-wide significance threshold of p-value of &lt;5×10</w:t>
      </w:r>
      <w:r>
        <w:rPr>
          <w:rFonts w:ascii="Calibri" w:eastAsia="Calibri" w:hAnsi="Calibri" w:cs="Calibri"/>
          <w:sz w:val="22"/>
          <w:szCs w:val="22"/>
          <w:vertAlign w:val="superscript"/>
        </w:rPr>
        <w:t>-8</w:t>
      </w:r>
      <w:r>
        <w:rPr>
          <w:rFonts w:ascii="Calibri" w:eastAsia="Calibri" w:hAnsi="Calibri" w:cs="Calibri"/>
          <w:sz w:val="22"/>
          <w:szCs w:val="22"/>
        </w:rPr>
        <w:t>. For each lead SNP in genetic risk loci above GWAS threshold, the nearest genes are marked.</w:t>
      </w:r>
    </w:p>
    <w:p w14:paraId="03B7078B" w14:textId="77777777" w:rsidR="00A66D12" w:rsidRDefault="000B4CFF">
      <w:pPr>
        <w:spacing w:after="0" w:line="480" w:lineRule="auto"/>
      </w:pPr>
      <w:r>
        <w:br w:type="page"/>
      </w:r>
    </w:p>
    <w:p w14:paraId="03B7078C" w14:textId="77777777" w:rsidR="00A66D12" w:rsidRDefault="000B4CFF">
      <w:pPr>
        <w:spacing w:after="0" w:line="360" w:lineRule="auto"/>
        <w:jc w:val="both"/>
      </w:pPr>
      <w:r>
        <w:rPr>
          <w:noProof/>
        </w:rPr>
        <w:lastRenderedPageBreak/>
        <w:drawing>
          <wp:inline distT="114300" distB="114300" distL="114300" distR="114300" wp14:anchorId="03B7079B" wp14:editId="03B7079C">
            <wp:extent cx="5731200" cy="40640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6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B7078D" w14:textId="76648124" w:rsidR="00A66D12" w:rsidRDefault="000B4CFF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Supplementary Figure S</w:t>
      </w:r>
      <w:r w:rsidR="005E1451">
        <w:rPr>
          <w:rFonts w:ascii="Times New Roman" w:eastAsia="Times New Roman" w:hAnsi="Times New Roman" w:cs="Times New Roman"/>
          <w:b/>
          <w:bCs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Manhattan plots for higher ED risk and five SCOFF item based GWASs among overweight/obese </w:t>
      </w:r>
      <w:r w:rsidRPr="00766839">
        <w:rPr>
          <w:rFonts w:ascii="Times New Roman" w:eastAsia="Times New Roman" w:hAnsi="Times New Roman" w:cs="Times New Roman"/>
          <w:sz w:val="22"/>
          <w:szCs w:val="22"/>
        </w:rPr>
        <w:t>BMI</w:t>
      </w:r>
      <w:r w:rsidRPr="00766839">
        <w:rPr>
          <w:rFonts w:ascii="Times New Roman" w:eastAsia="Gungsuh" w:hAnsi="Times New Roman" w:cs="Times New Roman"/>
          <w:sz w:val="22"/>
          <w:szCs w:val="22"/>
        </w:rPr>
        <w:t xml:space="preserve"> (≥25 kg/m²) group</w:t>
      </w:r>
      <w:r w:rsidRPr="00766839">
        <w:rPr>
          <w:rFonts w:ascii="Times New Roman" w:eastAsia="Times New Roman" w:hAnsi="Times New Roman" w:cs="Times New Roman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The </w:t>
      </w:r>
      <w:r w:rsidR="006D1ACF">
        <w:rPr>
          <w:rFonts w:ascii="Times New Roman" w:eastAsia="Times New Roman" w:hAnsi="Times New Roman" w:cs="Times New Roman"/>
          <w:sz w:val="22"/>
          <w:szCs w:val="22"/>
        </w:rPr>
        <w:t>x</w:t>
      </w:r>
      <w:r>
        <w:rPr>
          <w:rFonts w:ascii="Times New Roman" w:eastAsia="Times New Roman" w:hAnsi="Times New Roman" w:cs="Times New Roman"/>
          <w:sz w:val="22"/>
          <w:szCs w:val="22"/>
        </w:rPr>
        <w:t>-axis represents chromosomes 1 to 22, the y-axis shows –log10(P-values) for the association of genetic variants detected in GWAS. The gray dashed line is a genome-wide significance threshold of p-value of &lt;5×10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-8</w:t>
      </w:r>
      <w:r>
        <w:rPr>
          <w:rFonts w:ascii="Times New Roman" w:eastAsia="Times New Roman" w:hAnsi="Times New Roman" w:cs="Times New Roman"/>
          <w:sz w:val="22"/>
          <w:szCs w:val="22"/>
        </w:rPr>
        <w:t>. For each lead SNP in genetic risk loci above GWAS threshold, the nearest genes are marked.</w:t>
      </w:r>
    </w:p>
    <w:p w14:paraId="03B7078E" w14:textId="77777777" w:rsidR="00A66D12" w:rsidRDefault="00A66D12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3B70791" w14:textId="77777777" w:rsidR="00A66D12" w:rsidRDefault="00A66D12"/>
    <w:p w14:paraId="03B70792" w14:textId="77777777" w:rsidR="00A66D12" w:rsidRDefault="00A66D12"/>
    <w:p w14:paraId="03B70793" w14:textId="77777777" w:rsidR="00A66D12" w:rsidRDefault="00A66D12"/>
    <w:p w14:paraId="03B70794" w14:textId="77777777" w:rsidR="00A66D12" w:rsidRDefault="00A66D12"/>
    <w:sectPr w:rsidR="00A66D12"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295B718-AB5C-42C4-9418-2AA3A0CA496A}"/>
    <w:embedBold r:id="rId2" w:fontKey="{7EE21D1D-F0ED-4334-9EE0-627D88908760}"/>
  </w:font>
  <w:font w:name="Play">
    <w:charset w:val="00"/>
    <w:family w:val="auto"/>
    <w:pitch w:val="default"/>
    <w:embedRegular r:id="rId3" w:fontKey="{FDCEA069-2131-4774-B609-5AE8857BC0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4" w:fontKey="{4CE03EE0-B6C0-473F-92BD-9751AF2E34C8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5" w:fontKey="{4071BB81-9140-4289-B941-761A747C1B7F}"/>
    <w:embedBold r:id="rId6" w:fontKey="{4A539CB9-F255-4D16-8CD2-FC93EE292D49}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7" w:fontKey="{3732A4CA-80D6-4B27-95B7-DCA4641BFA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D12"/>
    <w:rsid w:val="000B4CFF"/>
    <w:rsid w:val="005E1451"/>
    <w:rsid w:val="006D1ACF"/>
    <w:rsid w:val="00766839"/>
    <w:rsid w:val="0099244F"/>
    <w:rsid w:val="00A66D12"/>
    <w:rsid w:val="00BF47EA"/>
    <w:rsid w:val="00E03DE9"/>
    <w:rsid w:val="00F7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7077F"/>
  <w15:docId w15:val="{9C8F242A-B9EA-4A54-9A80-0DDBBB93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t-EE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s9mlZvp+Vf0EJGFotCYYyE9odw==">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293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Katri Pärna</cp:lastModifiedBy>
  <cp:revision>6</cp:revision>
  <dcterms:created xsi:type="dcterms:W3CDTF">2026-06-22T22:51:00Z</dcterms:created>
  <dcterms:modified xsi:type="dcterms:W3CDTF">2026-06-23T06:44:00Z</dcterms:modified>
</cp:coreProperties>
</file>