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55A" w:rsidRPr="00DA682F" w:rsidRDefault="00000000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t>Table S1. Patient Characteristics: Sepsis ImmunoScore (Sepsis ImmunoScore) Available vs Not Available</w:t>
      </w:r>
    </w:p>
    <w:p w:rsidR="0024255A" w:rsidRPr="00DA682F" w:rsidRDefault="0024255A">
      <w:pPr>
        <w:rPr>
          <w:rFonts w:ascii="Arial" w:hAnsi="Arial" w:cs="Arial"/>
          <w:sz w:val="22"/>
          <w:szCs w:val="22"/>
        </w:rPr>
      </w:pPr>
    </w:p>
    <w:tbl>
      <w:tblPr>
        <w:tblStyle w:val="a"/>
        <w:tblW w:w="93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0"/>
        <w:gridCol w:w="1710"/>
        <w:gridCol w:w="1710"/>
        <w:gridCol w:w="1800"/>
        <w:gridCol w:w="1170"/>
      </w:tblGrid>
      <w:tr w:rsidR="0024255A" w:rsidRPr="00DA682F" w:rsidTr="00DA682F">
        <w:trPr>
          <w:tblHeader/>
        </w:trPr>
        <w:tc>
          <w:tcPr>
            <w:tcW w:w="297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Characteristic </w:t>
            </w:r>
          </w:p>
        </w:tc>
        <w:tc>
          <w:tcPr>
            <w:tcW w:w="171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Overall </w:t>
            </w:r>
          </w:p>
        </w:tc>
        <w:tc>
          <w:tcPr>
            <w:tcW w:w="171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Resulted </w:t>
            </w:r>
          </w:p>
        </w:tc>
        <w:tc>
          <w:tcPr>
            <w:tcW w:w="180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Not Resulted </w:t>
            </w:r>
          </w:p>
        </w:tc>
        <w:tc>
          <w:tcPr>
            <w:tcW w:w="117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P-value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445 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401 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44 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Age,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69.0 (53.8–79.0)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68.0 (53.0–79.0)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73.0 (59.0–81.5)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0.380 </w:t>
            </w: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Site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A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159 (35.7%)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140 (34.9%)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 (43.2%)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0.465 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B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72 (16.2%)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67 (16.7%)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(11.4%)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C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214 (48.1%)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194 (48.4%)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 (45.5%)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Male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224 (50.3%)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209 (52.1%)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(34.1%)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0.035 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Female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221 (49.7%)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192 (47.9%)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29 (65.9%)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Race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White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343 (77.1%)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308 (76.8%)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35 (79.5%)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0.439 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Black or African American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79 (17.8%)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73 (18.2%)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(13.6%)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Other Race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16 (3.6%)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(4.5%)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Asian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American Indian or Alaska Native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Unknown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(2.3%)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Ethnicity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Hispanic or Latino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(1.8%)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(2.0%)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Not Hispanic or Latino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429 (96.4%)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387 (96.5%)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42 (95.5%)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Missing/Unknown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(1.8%)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(1.5%)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(4.5%)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Comorbidities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Immunocompromised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64 (14.4%)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59 (14.7%)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(11.4%)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0.656 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Acute Myocardial Infarction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(1.3%)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(1.0%)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(4.5%)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0.111 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History of Myocardial Infarction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Congestive Heart Failure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60 (13.5%)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 (12.5%)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 (22.7%)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0.065 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lastRenderedPageBreak/>
              <w:t>Peripheral Vascular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 (4.3%)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 (4.5%)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(2.3%)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0.709 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Cerebrovascular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27 (6.1%)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24 (6.0%)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(6.8%)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0.741 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Chronic Obstructive Pulmonary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53 (11.9%)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47 (11.7%)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(13.6%)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0.630 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Dementia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13 (2.9%)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 (2.7%)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(4.5%)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0.374 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Paralysis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(1.8%)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(2.0%)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Diabetes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48 (10.8%)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45 (11.2%)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(6.8%)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0.606 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Diabetes with Complications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16 (3.6%)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(4.5%)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0.666 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Renal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42 (9.4%)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38 (9.5%)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(9.1%)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Mild Liver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16 (3.6%)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(2.3%)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Moderate/Severe Liver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Peptic Ulcer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Rheumatologic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(1.1%)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AIDS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Outcomes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Qualifying Antimicrobial Days,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3.0 (1.0–6.0)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3.0 (1.0–6.0)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4.0 (2.0–6.5)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0.291 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Inpatient, n (%)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358 (80.4%)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321 (80.0%)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37 (84.1%)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0.689 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ICU Transfer (24h)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92 (20.7%)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81 (20.2%)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 (25.0%)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0.438 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28-Day In-Hospital Mortality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28 (6.3%)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23 (5.7%)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(11.4%)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0.180 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Organ Dysfunction (%)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213 (47.9%)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187 (46.6%)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26 (59.1%)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0.152 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30-Day Readmission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73 (16.4%)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64 (16.0%)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 (20.5%)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0.519 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Assisted Ventilation (24h)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64 (14.4%)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54 (13.5%)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 (22.7%)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0.112 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Vasopressor Administration (24h)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53 (11.9%)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46 (11.5%)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(15.9%)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0.459 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8" w:space="0" w:color="DDDDDD"/>
            </w:tcBorders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 xml:space="preserve">Critical Care Intervention (24h)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 xml:space="preserve">89 (20.0%)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 xml:space="preserve">77 (19.2%)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 xml:space="preserve">12 (27.3%) </w:t>
            </w:r>
          </w:p>
        </w:tc>
        <w:tc>
          <w:tcPr>
            <w:tcW w:w="117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 xml:space="preserve">0.233 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Length of Stay, days, geometric mean (95% CI)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2.9 (2.6–3.3)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2.8 (2.4–3.2)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4.2 (2.9–6.1)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0.036 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lastRenderedPageBreak/>
              <w:t>Sepsis-3 Within 24 Hours (%)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121 (27.2%)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103 (25.7%)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 (40.9%)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0.048 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Readmission or Mortality Within 1 Year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212 (47.6%)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192 (47.9%)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 (45.5%)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3-Hour Broad-Spectrum Abx Administration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306 (68.8%)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274 (68.3%)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32 (72.7%)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0.611 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NEWS Score at Evaluation,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3.0 (1.0–5.0)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3.0 (1.0–5.0)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2.0 (1.0–4.0)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0.638 </w:t>
            </w: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Infection Assessment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Probability,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80.0 (50.0–95.0)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80.0 (50.0–95.0)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80.0 (50.0–90.0)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0.920 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Low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31 (7.0%)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31 (7.7%)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0.217 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Medium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129 (29.0%)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114 (28.4%)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(34.1%)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136 (30.6%)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121 (30.2%)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(34.1%)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Very 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149 (33.5%)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135 (33.7%)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(31.8%)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Sepsis Assessment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Probability,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50.0 (25.0–76.0)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50.0 (20.0–80.0)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50.0 (50.0–75.0)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0.047 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Low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115 (25.8%)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114 (28.4%)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(2.3%)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Medium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178 (40.0%)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152 (37.9%)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26 (59.1%)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86 (19.3%)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72 (18.0%)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(31.8%)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Very 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66 (14.8%)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63 (15.7%)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(6.8%)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Organ Support Assessment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Probability,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20.0 (10.0–50.0)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20.0 (10.0–40.0)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30.0 (10.0–50.0)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0.014 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Low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271 (60.9%)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253 (63.1%)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 (40.9%)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0.017 </w:t>
            </w: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Medium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109 (24.5%)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94 (23.4%)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(34.1%)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40 (9.0%)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33 (8.2%)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(15.9%) </w:t>
            </w:r>
          </w:p>
        </w:tc>
        <w:tc>
          <w:tcPr>
            <w:tcW w:w="117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297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Very High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25 (5.6%)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21 (5.2%) </w:t>
            </w:r>
          </w:p>
        </w:tc>
        <w:tc>
          <w:tcPr>
            <w:tcW w:w="180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(9.1%) </w:t>
            </w:r>
          </w:p>
        </w:tc>
        <w:tc>
          <w:tcPr>
            <w:tcW w:w="1170" w:type="dxa"/>
            <w:shd w:val="clear" w:color="auto" w:fill="F9F9F9"/>
            <w:vAlign w:val="center"/>
          </w:tcPr>
          <w:p w:rsidR="0024255A" w:rsidRPr="00DA682F" w:rsidRDefault="002425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55A" w:rsidRPr="00DA682F" w:rsidRDefault="0024255A">
      <w:pPr>
        <w:rPr>
          <w:rFonts w:ascii="Arial" w:hAnsi="Arial" w:cs="Arial"/>
          <w:sz w:val="22"/>
          <w:szCs w:val="22"/>
        </w:rPr>
      </w:pP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color w:val="000000"/>
          <w:sz w:val="18"/>
          <w:szCs w:val="18"/>
          <w:vertAlign w:val="superscript"/>
        </w:rPr>
        <w:t>a</w:t>
      </w:r>
      <w:r w:rsidRPr="00DA682F">
        <w:rPr>
          <w:rFonts w:ascii="Arial" w:hAnsi="Arial" w:cs="Arial"/>
          <w:color w:val="000000"/>
          <w:sz w:val="18"/>
          <w:szCs w:val="18"/>
          <w:vertAlign w:val="superscript"/>
        </w:rPr>
        <w:t xml:space="preserve"> </w:t>
      </w:r>
      <w:r w:rsidRPr="00DA682F">
        <w:rPr>
          <w:rFonts w:ascii="Arial" w:hAnsi="Arial" w:cs="Arial"/>
          <w:color w:val="000000"/>
          <w:sz w:val="18"/>
          <w:szCs w:val="18"/>
        </w:rPr>
        <w:t xml:space="preserve"> </w:t>
      </w:r>
      <w:r w:rsidRPr="00DA682F">
        <w:rPr>
          <w:rFonts w:ascii="Arial" w:hAnsi="Arial" w:cs="Arial"/>
          <w:i/>
          <w:iCs/>
          <w:sz w:val="18"/>
          <w:szCs w:val="18"/>
        </w:rPr>
        <w:t xml:space="preserve">Site names anonymized. </w:t>
      </w: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 xml:space="preserve">Abx, antibiotics; AIDS, Acquired immunodeficiency syndrome; CCI, </w:t>
      </w:r>
      <w:proofErr w:type="spellStart"/>
      <w:r w:rsidRPr="00DA682F">
        <w:rPr>
          <w:rFonts w:ascii="Arial" w:hAnsi="Arial" w:cs="Arial"/>
          <w:i/>
          <w:iCs/>
          <w:sz w:val="18"/>
          <w:szCs w:val="18"/>
        </w:rPr>
        <w:t>Charlson</w:t>
      </w:r>
      <w:proofErr w:type="spellEnd"/>
      <w:r w:rsidRPr="00DA682F">
        <w:rPr>
          <w:rFonts w:ascii="Arial" w:hAnsi="Arial" w:cs="Arial"/>
          <w:i/>
          <w:iCs/>
          <w:sz w:val="18"/>
          <w:szCs w:val="18"/>
        </w:rPr>
        <w:t xml:space="preserve"> Comorbidity Index; CI, confidence interval; IQR, Interquartile range; LOS, length of stay; N, Number of patients; Sepsis-3, Third International Consensus Definitions for Sepsis and Septic Shock</w:t>
      </w:r>
    </w:p>
    <w:p w:rsidR="0024255A" w:rsidRPr="00DA682F" w:rsidRDefault="0024255A">
      <w:pPr>
        <w:rPr>
          <w:rFonts w:ascii="Arial" w:hAnsi="Arial" w:cs="Arial"/>
          <w:sz w:val="22"/>
          <w:szCs w:val="22"/>
        </w:rPr>
      </w:pPr>
    </w:p>
    <w:p w:rsidR="0024255A" w:rsidRPr="00DA682F" w:rsidRDefault="00000000">
      <w:pPr>
        <w:rPr>
          <w:rFonts w:ascii="Arial" w:hAnsi="Arial" w:cs="Arial"/>
          <w:sz w:val="22"/>
          <w:szCs w:val="22"/>
        </w:rPr>
      </w:pPr>
      <w:r w:rsidRPr="00DA682F">
        <w:rPr>
          <w:rFonts w:ascii="Arial" w:hAnsi="Arial" w:cs="Arial"/>
          <w:sz w:val="22"/>
          <w:szCs w:val="22"/>
        </w:rPr>
        <w:t xml:space="preserve">     </w:t>
      </w:r>
    </w:p>
    <w:p w:rsidR="003D4506" w:rsidRPr="00DA682F" w:rsidRDefault="003D4506">
      <w:pPr>
        <w:rPr>
          <w:rFonts w:ascii="Arial" w:hAnsi="Arial" w:cs="Arial"/>
          <w:b/>
          <w:bCs/>
          <w:sz w:val="22"/>
          <w:szCs w:val="22"/>
        </w:rPr>
      </w:pPr>
    </w:p>
    <w:p w:rsidR="003D4506" w:rsidRPr="00DA682F" w:rsidRDefault="003D4506">
      <w:pPr>
        <w:rPr>
          <w:rFonts w:ascii="Arial" w:hAnsi="Arial" w:cs="Arial"/>
          <w:b/>
          <w:bCs/>
          <w:sz w:val="22"/>
          <w:szCs w:val="22"/>
        </w:rPr>
      </w:pPr>
    </w:p>
    <w:p w:rsidR="0024255A" w:rsidRPr="00DA682F" w:rsidRDefault="00000000">
      <w:pPr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lastRenderedPageBreak/>
        <w:t>Table S2. Patient Demographics and Comorbidities by Sepsis-3 Status</w:t>
      </w:r>
    </w:p>
    <w:p w:rsidR="0024255A" w:rsidRPr="00DA682F" w:rsidRDefault="0024255A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Arial" w:hAnsi="Arial" w:cs="Arial"/>
          <w:color w:val="000000"/>
          <w:sz w:val="22"/>
          <w:szCs w:val="22"/>
          <w:highlight w:val="yellow"/>
        </w:rPr>
      </w:pPr>
    </w:p>
    <w:tbl>
      <w:tblPr>
        <w:tblStyle w:val="a0"/>
        <w:tblW w:w="93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30"/>
        <w:gridCol w:w="1710"/>
        <w:gridCol w:w="1710"/>
        <w:gridCol w:w="1741"/>
        <w:gridCol w:w="869"/>
      </w:tblGrid>
      <w:tr w:rsidR="0024255A" w:rsidRPr="00DA682F" w:rsidTr="00DA682F">
        <w:trPr>
          <w:tblHeader/>
        </w:trPr>
        <w:tc>
          <w:tcPr>
            <w:tcW w:w="333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Characteristic </w:t>
            </w:r>
          </w:p>
        </w:tc>
        <w:tc>
          <w:tcPr>
            <w:tcW w:w="171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Overall </w:t>
            </w:r>
          </w:p>
        </w:tc>
        <w:tc>
          <w:tcPr>
            <w:tcW w:w="1710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Non-Sepsis </w:t>
            </w:r>
          </w:p>
        </w:tc>
        <w:tc>
          <w:tcPr>
            <w:tcW w:w="1741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 </w:t>
            </w:r>
          </w:p>
        </w:tc>
        <w:tc>
          <w:tcPr>
            <w:tcW w:w="869" w:type="dxa"/>
            <w:tcBorders>
              <w:top w:val="nil"/>
              <w:bottom w:val="single" w:sz="12" w:space="0" w:color="DDDDDD"/>
            </w:tcBorders>
            <w:shd w:val="clear" w:color="auto" w:fill="8DB3E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P-value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401 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298 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103 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Age, median (IQR)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68.0 (53.0–79.0)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68.0 (52.0–78.0)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71.0 (58.0–79.0)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0.098 </w:t>
            </w: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Site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A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140 (34.9%)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108 (36.2%)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32 (31.1%)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0.589 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B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67 (16.7%)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 (16.8%)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17 (16.5%)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Site C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194 (48.4%)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140 (47.0%)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54 (52.4%)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Male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209 (52.1%)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151 (50.7%)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58 (56.3%)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0.383 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Female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192 (47.9%)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147 (49.3%)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45 (43.7%)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Race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White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308 (76.8%)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234 (78.5%)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74 (71.8%)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0.572 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Black or African American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73 (18.2%)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49 (16.4%)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24 (23.3%)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Other Race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 (3.4%)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(3.9%)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Asian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American Indian or Alaska Native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(1.0%)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Unknown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(0.3%)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Ethnicity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Hispanic or Latino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(2.0%)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(2.3%)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(1.0%)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0.686 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Not Hispanic or Latino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387 (96.5%)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285 (95.6%)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102 (99.0%)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Missing/Unknown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(1.5%)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(2.0%)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55A" w:rsidRPr="00DA682F">
        <w:tc>
          <w:tcPr>
            <w:tcW w:w="9360" w:type="dxa"/>
            <w:gridSpan w:val="5"/>
            <w:tcBorders>
              <w:top w:val="single" w:sz="6" w:space="0" w:color="DDDDDD"/>
              <w:bottom w:val="single" w:sz="6" w:space="0" w:color="00000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Comorbidities (CCI)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Immunocompromised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59 (14.7%)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30 (10.1%)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29 (28.2%)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Acute Myocardial Infarction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(1.0%)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(1.9%)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0.273 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History of Myocardial Infarction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(0.3%)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Congestive Heart Failure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 (12.5%)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28 (9.4%)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22 (21.4%)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0.003 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Peripheral Vascular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 (4.5%)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(4.7%)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 (3.9%)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Cerebrovascular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24 (6.0%)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(5.0%)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 (8.7%)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0.226 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Chronic Obstructive Pulmonary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47 (11.7%)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34 (11.4%)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13 (12.6%)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0.725 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lastRenderedPageBreak/>
              <w:t>Dementia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 (2.7%)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 (3.0%)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(1.9%)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0.736 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Paralysis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(2.0%)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 (2.0%)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(1.9%)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Diabetes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45 (11.2%)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34 (11.4%)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 (10.7%)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Diabetes with Complications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 (3.5%)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(2.3%)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(6.8%)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0.055 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Renal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38 (9.5%)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23 (7.7%)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(14.6%)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0.051 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Mild Liver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15 (3.7%)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 (2.7%)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 (6.8%)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0.071 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Moderate/Severe Liver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(0.2%)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(1.0%)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0.257 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Peptic Ulcer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 (0.7%)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 (0.7%)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 (1.0%)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1.000 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Rheumatologic Disease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(1.2%)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 (1.7%)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0.334 </w:t>
            </w:r>
          </w:p>
        </w:tc>
      </w:tr>
      <w:tr w:rsidR="0024255A" w:rsidRPr="00DA682F" w:rsidTr="00DA682F">
        <w:tc>
          <w:tcPr>
            <w:tcW w:w="333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480" w:type="dxa"/>
              <w:bottom w:w="75" w:type="dxa"/>
              <w:right w:w="75" w:type="dxa"/>
            </w:tcMar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AIDS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710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1741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 (0.0%) </w:t>
            </w:r>
          </w:p>
        </w:tc>
        <w:tc>
          <w:tcPr>
            <w:tcW w:w="869" w:type="dxa"/>
            <w:tcBorders>
              <w:top w:val="single" w:sz="6" w:space="0" w:color="DDDDDD"/>
            </w:tcBorders>
            <w:shd w:val="clear" w:color="auto" w:fill="FCFCFC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55A" w:rsidRPr="00DA682F" w:rsidRDefault="002425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255A" w:rsidRPr="00DA682F" w:rsidRDefault="0024255A">
      <w:pPr>
        <w:rPr>
          <w:rFonts w:ascii="Arial" w:hAnsi="Arial" w:cs="Arial"/>
          <w:color w:val="000000"/>
          <w:sz w:val="22"/>
          <w:szCs w:val="22"/>
        </w:rPr>
      </w:pP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  <w:vertAlign w:val="superscript"/>
        </w:rPr>
        <w:t xml:space="preserve">a </w:t>
      </w:r>
      <w:r w:rsidRPr="00DA682F">
        <w:rPr>
          <w:rFonts w:ascii="Arial" w:hAnsi="Arial" w:cs="Arial"/>
          <w:i/>
          <w:iCs/>
          <w:sz w:val="18"/>
          <w:szCs w:val="18"/>
        </w:rPr>
        <w:t xml:space="preserve"> Site names anonymized. </w:t>
      </w: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 xml:space="preserve">AIDS, Acquired immunodeficiency syndrome; CCI, </w:t>
      </w:r>
      <w:proofErr w:type="spellStart"/>
      <w:r w:rsidRPr="00DA682F">
        <w:rPr>
          <w:rFonts w:ascii="Arial" w:hAnsi="Arial" w:cs="Arial"/>
          <w:i/>
          <w:iCs/>
          <w:sz w:val="18"/>
          <w:szCs w:val="18"/>
        </w:rPr>
        <w:t>Charlson</w:t>
      </w:r>
      <w:proofErr w:type="spellEnd"/>
      <w:r w:rsidRPr="00DA682F">
        <w:rPr>
          <w:rFonts w:ascii="Arial" w:hAnsi="Arial" w:cs="Arial"/>
          <w:i/>
          <w:iCs/>
          <w:sz w:val="18"/>
          <w:szCs w:val="18"/>
        </w:rPr>
        <w:t xml:space="preserve"> Comorbidity Index; IQR, Interquartile range; N, Number of patients; Sepsis-3, Third International Consensus Definitions for Sepsis and Septic Shock.</w:t>
      </w:r>
    </w:p>
    <w:p w:rsidR="0024255A" w:rsidRPr="00DA682F" w:rsidRDefault="0024255A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Arial" w:hAnsi="Arial" w:cs="Arial"/>
          <w:color w:val="000000"/>
          <w:sz w:val="22"/>
          <w:szCs w:val="22"/>
          <w:highlight w:val="yellow"/>
        </w:rPr>
      </w:pPr>
    </w:p>
    <w:p w:rsidR="0024255A" w:rsidRPr="00DA682F" w:rsidRDefault="0024255A">
      <w:pPr>
        <w:rPr>
          <w:rFonts w:ascii="Arial" w:hAnsi="Arial" w:cs="Arial"/>
          <w:sz w:val="22"/>
          <w:szCs w:val="22"/>
          <w:highlight w:val="yellow"/>
        </w:rPr>
      </w:pPr>
    </w:p>
    <w:p w:rsidR="00DA682F" w:rsidRDefault="00DA682F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24255A" w:rsidRPr="00DA682F" w:rsidRDefault="0024255A">
      <w:pPr>
        <w:rPr>
          <w:rFonts w:ascii="Arial" w:hAnsi="Arial" w:cs="Arial"/>
          <w:sz w:val="22"/>
          <w:szCs w:val="22"/>
          <w:highlight w:val="yellow"/>
        </w:rPr>
      </w:pP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t>Table S3. AUROC (95% confidence interval) of predictors for discrimination of Sepsis-3 criteria within 24 hours of evaluation</w:t>
      </w:r>
    </w:p>
    <w:tbl>
      <w:tblPr>
        <w:tblStyle w:val="a1"/>
        <w:tblW w:w="96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45"/>
        <w:gridCol w:w="1930"/>
        <w:gridCol w:w="1739"/>
        <w:gridCol w:w="1917"/>
        <w:gridCol w:w="1815"/>
      </w:tblGrid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5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1930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Overall (n=401, 103 events)</w:t>
            </w:r>
          </w:p>
        </w:tc>
        <w:tc>
          <w:tcPr>
            <w:tcW w:w="1739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Site A (n=140, 32 events)</w:t>
            </w:r>
          </w:p>
        </w:tc>
        <w:tc>
          <w:tcPr>
            <w:tcW w:w="1917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Site B (n=67, 17 events)</w:t>
            </w:r>
          </w:p>
        </w:tc>
        <w:tc>
          <w:tcPr>
            <w:tcW w:w="1815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Site C (n=194, 54 events)</w:t>
            </w:r>
          </w:p>
        </w:tc>
      </w:tr>
      <w:tr w:rsidR="0024255A" w:rsidRPr="00DA682F" w:rsidTr="0024255A"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Sepsis ImmunoScore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0.81 (0.76, 0.86)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0.84 (0.75, 0.92)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0.80 (0.68, 0.91)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0.81 (0.73, 0.88)</w:t>
            </w:r>
          </w:p>
        </w:tc>
      </w:tr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Provider Survey (Sepsis</w:t>
            </w:r>
            <w:r w:rsidR="003D4506" w:rsidRPr="00DA682F">
              <w:rPr>
                <w:rFonts w:ascii="Arial" w:hAnsi="Arial" w:cs="Arial"/>
                <w:color w:val="000000"/>
                <w:sz w:val="20"/>
                <w:szCs w:val="20"/>
              </w:rPr>
              <w:t xml:space="preserve"> Risk</w:t>
            </w: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0.68 (0.63, 0.74)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0.83 (0.75, 0.90)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0.57 (0.41, 0.72)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0.62 (0.53, 0.71)</w:t>
            </w:r>
          </w:p>
        </w:tc>
      </w:tr>
      <w:tr w:rsidR="0024255A" w:rsidRPr="00DA682F" w:rsidTr="0024255A"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Provider Survey (Infection</w:t>
            </w:r>
            <w:r w:rsidR="003D4506" w:rsidRPr="00DA682F">
              <w:rPr>
                <w:rFonts w:ascii="Arial" w:hAnsi="Arial" w:cs="Arial"/>
                <w:color w:val="000000"/>
                <w:sz w:val="20"/>
                <w:szCs w:val="20"/>
              </w:rPr>
              <w:t xml:space="preserve"> Risk</w:t>
            </w: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0.53 (0.47, 0.59)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0.67 (0.57, 0.78)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0.46 (0.32, 0.60)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0.46 (0.37, 0.55)</w:t>
            </w:r>
          </w:p>
        </w:tc>
      </w:tr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 xml:space="preserve">NEWS 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0.66 (0.60, 0.72)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0.70 (0.59, 0.82)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0.56 (0.40, 0.71)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0.67 (0.58, 0.75)</w:t>
            </w:r>
          </w:p>
        </w:tc>
      </w:tr>
      <w:tr w:rsidR="0024255A" w:rsidRPr="00DA682F" w:rsidTr="0024255A"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Procalcitonin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0.72 (0.67, 0.78)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0.74 (0.63, 0.84)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0.75 (0.62, 0.88)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0.71 (0.62, 0.79)</w:t>
            </w:r>
          </w:p>
        </w:tc>
      </w:tr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4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930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0.63 (0.57, 0.69)</w:t>
            </w:r>
          </w:p>
        </w:tc>
        <w:tc>
          <w:tcPr>
            <w:tcW w:w="1739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0.67 (0.56, 0.77)</w:t>
            </w:r>
          </w:p>
        </w:tc>
        <w:tc>
          <w:tcPr>
            <w:tcW w:w="1917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0.67 (0.53, 0.81)</w:t>
            </w:r>
          </w:p>
        </w:tc>
        <w:tc>
          <w:tcPr>
            <w:tcW w:w="1815" w:type="dxa"/>
          </w:tcPr>
          <w:p w:rsidR="0024255A" w:rsidRPr="00DA682F" w:rsidRDefault="000000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82F">
              <w:rPr>
                <w:rFonts w:ascii="Arial" w:hAnsi="Arial" w:cs="Arial"/>
                <w:color w:val="000000"/>
                <w:sz w:val="20"/>
                <w:szCs w:val="20"/>
              </w:rPr>
              <w:t>0.60 (0.51, 0.69)</w:t>
            </w:r>
          </w:p>
        </w:tc>
      </w:tr>
    </w:tbl>
    <w:p w:rsidR="0024255A" w:rsidRPr="00DA682F" w:rsidRDefault="0024255A">
      <w:pPr>
        <w:rPr>
          <w:rFonts w:ascii="Arial" w:hAnsi="Arial" w:cs="Arial"/>
          <w:sz w:val="22"/>
          <w:szCs w:val="22"/>
          <w:highlight w:val="yellow"/>
        </w:rPr>
      </w:pPr>
    </w:p>
    <w:p w:rsidR="0024255A" w:rsidRDefault="0024255A">
      <w:pPr>
        <w:rPr>
          <w:rFonts w:ascii="Arial" w:hAnsi="Arial" w:cs="Arial"/>
          <w:sz w:val="22"/>
          <w:szCs w:val="22"/>
          <w:highlight w:val="yellow"/>
        </w:rPr>
      </w:pPr>
    </w:p>
    <w:p w:rsidR="00DA682F" w:rsidRDefault="00DA682F">
      <w:pPr>
        <w:rPr>
          <w:rFonts w:ascii="Arial" w:hAnsi="Arial" w:cs="Arial"/>
          <w:sz w:val="22"/>
          <w:szCs w:val="22"/>
          <w:highlight w:val="yellow"/>
        </w:rPr>
      </w:pPr>
    </w:p>
    <w:p w:rsidR="00DA682F" w:rsidRDefault="00DA682F">
      <w:pPr>
        <w:rPr>
          <w:rFonts w:ascii="Arial" w:hAnsi="Arial" w:cs="Arial"/>
          <w:sz w:val="22"/>
          <w:szCs w:val="22"/>
          <w:highlight w:val="yellow"/>
        </w:rPr>
      </w:pPr>
    </w:p>
    <w:p w:rsidR="00DA682F" w:rsidRDefault="00DA682F">
      <w:pPr>
        <w:rPr>
          <w:rFonts w:ascii="Arial" w:hAnsi="Arial" w:cs="Arial"/>
          <w:sz w:val="22"/>
          <w:szCs w:val="22"/>
          <w:highlight w:val="yellow"/>
        </w:rPr>
      </w:pPr>
    </w:p>
    <w:p w:rsidR="00DA682F" w:rsidRPr="00DA682F" w:rsidRDefault="00DA682F">
      <w:pPr>
        <w:rPr>
          <w:rFonts w:ascii="Arial" w:hAnsi="Arial" w:cs="Arial"/>
          <w:sz w:val="22"/>
          <w:szCs w:val="22"/>
          <w:highlight w:val="yellow"/>
        </w:rPr>
      </w:pP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t>Table S4. Cross-Validated AUROC (Internal Validation, B=1000)</w:t>
      </w:r>
    </w:p>
    <w:p w:rsidR="0024255A" w:rsidRPr="00DA682F" w:rsidRDefault="0024255A">
      <w:pPr>
        <w:rPr>
          <w:rFonts w:ascii="Arial" w:hAnsi="Arial" w:cs="Arial"/>
          <w:sz w:val="22"/>
          <w:szCs w:val="22"/>
          <w:highlight w:val="yellow"/>
        </w:rPr>
      </w:pPr>
    </w:p>
    <w:tbl>
      <w:tblPr>
        <w:tblStyle w:val="a2"/>
        <w:tblW w:w="62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00"/>
        <w:gridCol w:w="1920"/>
        <w:gridCol w:w="1920"/>
      </w:tblGrid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400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920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Mean CV-AUROC</w:t>
            </w:r>
          </w:p>
        </w:tc>
        <w:tc>
          <w:tcPr>
            <w:tcW w:w="1920" w:type="dxa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95% Range</w:t>
            </w:r>
          </w:p>
        </w:tc>
      </w:tr>
      <w:tr w:rsidR="0024255A" w:rsidRPr="00DA682F" w:rsidTr="0024255A">
        <w:trPr>
          <w:trHeight w:val="300"/>
        </w:trPr>
        <w:tc>
          <w:tcPr>
            <w:tcW w:w="2400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Alone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0.80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0.80–0.81</w:t>
            </w:r>
          </w:p>
        </w:tc>
      </w:tr>
      <w:tr w:rsidR="0024255A" w:rsidRPr="00DA682F" w:rsidTr="00242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400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Alone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0.67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0.66–0.68</w:t>
            </w:r>
          </w:p>
        </w:tc>
      </w:tr>
      <w:tr w:rsidR="0024255A" w:rsidRPr="00DA682F" w:rsidTr="0024255A">
        <w:trPr>
          <w:trHeight w:val="300"/>
        </w:trPr>
        <w:tc>
          <w:tcPr>
            <w:tcW w:w="2400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Sepis</w:t>
            </w:r>
            <w:proofErr w:type="spellEnd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ImmunoScore + Provider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9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0.82–0.82</w:t>
            </w:r>
          </w:p>
        </w:tc>
      </w:tr>
    </w:tbl>
    <w:p w:rsidR="002E2A74" w:rsidRPr="00DA682F" w:rsidRDefault="002E2A74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br/>
        <w:t xml:space="preserve">B, bootstrap resampling; CV-AUROC, cross-validated area </w:t>
      </w:r>
      <w:r w:rsidRPr="00DA682F">
        <w:rPr>
          <w:rFonts w:ascii="Arial" w:hAnsi="Arial" w:cs="Arial"/>
          <w:i/>
          <w:iCs/>
          <w:sz w:val="18"/>
          <w:szCs w:val="18"/>
        </w:rPr>
        <w:t>under the receiver operating characteristic</w:t>
      </w:r>
      <w:r w:rsidRPr="00DA682F">
        <w:rPr>
          <w:rFonts w:ascii="Arial" w:hAnsi="Arial" w:cs="Arial"/>
          <w:i/>
          <w:iCs/>
          <w:sz w:val="18"/>
          <w:szCs w:val="18"/>
        </w:rPr>
        <w:t xml:space="preserve"> curve.</w:t>
      </w:r>
    </w:p>
    <w:p w:rsidR="00DA682F" w:rsidRDefault="00DA682F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p w:rsidR="0024255A" w:rsidRPr="00DA682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lastRenderedPageBreak/>
        <w:t>Table S5. Cross-Classification of Provider Assessment × Sepsis ImmunoScore Risk Category</w:t>
      </w:r>
    </w:p>
    <w:tbl>
      <w:tblPr>
        <w:tblStyle w:val="a3"/>
        <w:tblW w:w="98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56"/>
        <w:gridCol w:w="1454"/>
        <w:gridCol w:w="1620"/>
        <w:gridCol w:w="1620"/>
        <w:gridCol w:w="1710"/>
        <w:gridCol w:w="1350"/>
      </w:tblGrid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10" w:type="dxa"/>
            <w:gridSpan w:val="6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Infection Assessment × Sepsis ImmunoScore Risk Category</w:t>
            </w:r>
          </w:p>
        </w:tc>
      </w:tr>
      <w:tr w:rsidR="0024255A" w:rsidRPr="00DA682F" w:rsidTr="00DA682F">
        <w:trPr>
          <w:trHeight w:val="593"/>
        </w:trPr>
        <w:tc>
          <w:tcPr>
            <w:tcW w:w="2056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Risk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Category</w:t>
            </w:r>
          </w:p>
        </w:tc>
        <w:tc>
          <w:tcPr>
            <w:tcW w:w="1454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Low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Medium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High</w:t>
            </w:r>
          </w:p>
        </w:tc>
        <w:tc>
          <w:tcPr>
            <w:tcW w:w="171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Very High</w:t>
            </w:r>
          </w:p>
        </w:tc>
        <w:tc>
          <w:tcPr>
            <w:tcW w:w="135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Low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0/12 (0.0%)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4/40 (10.0%)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2/38 (5.3%)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3/44 (6.8%)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9/134 (6.7%)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Medium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0/9 (0.0%)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5/22 (22.7%)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1/22 (4.5%)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6/29 (20.7%)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12/82 (14.6%)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3/9 (33.3%)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17/48 (35.4%)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18/55 (32.7%)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25/52 (48.1%)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63/164 (38.4%)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Very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1/1 (100.0%)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4/4 (100.0%)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5/6 (83.3%)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9/10 (90.0%)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19/21 (90.5%)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4/31 (12.9%)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30/114 (26.3%)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26/121 (21.5%)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43/135 (31.9%)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103/401 (25.7%)</w:t>
            </w:r>
          </w:p>
        </w:tc>
      </w:tr>
      <w:tr w:rsidR="0024255A" w:rsidRPr="00DA682F" w:rsidTr="00DA682F">
        <w:trPr>
          <w:trHeight w:val="317"/>
        </w:trPr>
        <w:tc>
          <w:tcPr>
            <w:tcW w:w="9810" w:type="dxa"/>
            <w:gridSpan w:val="6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Sepsis Assessment × Sepsis ImmunoScore Risk Category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tcW w:w="2056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Risk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Category</w:t>
            </w:r>
          </w:p>
        </w:tc>
        <w:tc>
          <w:tcPr>
            <w:tcW w:w="1454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Low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Medium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High</w:t>
            </w:r>
          </w:p>
        </w:tc>
        <w:tc>
          <w:tcPr>
            <w:tcW w:w="171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Very High</w:t>
            </w:r>
          </w:p>
        </w:tc>
        <w:tc>
          <w:tcPr>
            <w:tcW w:w="135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Low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2/53 (3.8%)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3/51 (5.9%)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3/20 (15.0%)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1/10 (10.0%)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9/134 (6.7%)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Medium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2/26 (7.7%)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5/30 (16.7%)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3/15 (20.0%)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2/11 (18.2%)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12/82 (14.6%)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9/35 (25.7%)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25/67 (37.3%)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10/30 (33.3%)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19/32 (59.4%)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63/164 (38.4%)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Very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0/0 (—)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4/4 (100.0%)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7/7 (100.0%)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8/10 (80.0%)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19/21 (90.5%)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13/114 (11.4%)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37/152 (24.3%)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23/72 (31.9%)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30/63 (47.6%)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103/401 (25.7%)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10" w:type="dxa"/>
            <w:gridSpan w:val="6"/>
            <w:shd w:val="clear" w:color="auto" w:fill="8DB3E2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 Organ Support Assessment × Sepsis ImmunoScore Risk Category</w:t>
            </w:r>
          </w:p>
        </w:tc>
      </w:tr>
      <w:tr w:rsidR="0024255A" w:rsidRPr="00DA682F" w:rsidTr="00DA682F">
        <w:trPr>
          <w:trHeight w:val="593"/>
        </w:trPr>
        <w:tc>
          <w:tcPr>
            <w:tcW w:w="2056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Sepsis ImmunoScore Risk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Category</w:t>
            </w:r>
          </w:p>
        </w:tc>
        <w:tc>
          <w:tcPr>
            <w:tcW w:w="1454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Low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Medium</w:t>
            </w:r>
          </w:p>
        </w:tc>
        <w:tc>
          <w:tcPr>
            <w:tcW w:w="162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High</w:t>
            </w:r>
          </w:p>
        </w:tc>
        <w:tc>
          <w:tcPr>
            <w:tcW w:w="171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Provider</w:t>
            </w: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Very High</w:t>
            </w:r>
          </w:p>
        </w:tc>
        <w:tc>
          <w:tcPr>
            <w:tcW w:w="1350" w:type="dxa"/>
            <w:shd w:val="clear" w:color="auto" w:fill="C6D9F1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Low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7/108 (6.5%)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1/20 (5.0%)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1/6 (16.7%)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0/0 (—)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9/134 (6.7%)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Medium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8/57 (14.0%)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3/21 (14.3%)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0/3 (0.0%)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1/1 (100.0%)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12/82 (14.6%)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26/85 (30.6%)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14/45 (31.1%)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14/21 (66.7%)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9/13 (69.2%)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63/164 (38.4%)</w:t>
            </w:r>
          </w:p>
        </w:tc>
      </w:tr>
      <w:tr w:rsidR="0024255A" w:rsidRPr="00DA682F" w:rsidTr="00DA682F">
        <w:trPr>
          <w:trHeight w:val="317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 ImmunoScore Very High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2/3 (66.7%)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8/8 (100.0%)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3/3 (100.0%)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6/7 (85.7%)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19/21 (90.5%)</w:t>
            </w:r>
          </w:p>
        </w:tc>
      </w:tr>
      <w:tr w:rsidR="0024255A" w:rsidRPr="00DA682F" w:rsidTr="00DA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2056" w:type="dxa"/>
          </w:tcPr>
          <w:p w:rsidR="0024255A" w:rsidRPr="00DA682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54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43/253 (17.0%)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26/94 (27.7%)</w:t>
            </w:r>
          </w:p>
        </w:tc>
        <w:tc>
          <w:tcPr>
            <w:tcW w:w="162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18/33 (54.5%)</w:t>
            </w:r>
          </w:p>
        </w:tc>
        <w:tc>
          <w:tcPr>
            <w:tcW w:w="171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16/21 (76.2%)</w:t>
            </w:r>
          </w:p>
        </w:tc>
        <w:tc>
          <w:tcPr>
            <w:tcW w:w="1350" w:type="dxa"/>
          </w:tcPr>
          <w:p w:rsidR="0024255A" w:rsidRPr="00DA682F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103/401 (25.7%)</w:t>
            </w:r>
          </w:p>
        </w:tc>
      </w:tr>
      <w:tr w:rsidR="00DA682F" w:rsidRPr="00DA682F" w:rsidTr="002B6295">
        <w:trPr>
          <w:trHeight w:val="369"/>
        </w:trPr>
        <w:tc>
          <w:tcPr>
            <w:tcW w:w="9810" w:type="dxa"/>
            <w:gridSpan w:val="6"/>
          </w:tcPr>
          <w:p w:rsidR="00DA682F" w:rsidRPr="00DA682F" w:rsidRDefault="00DA682F" w:rsidP="00DA68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A682F">
              <w:rPr>
                <w:rFonts w:ascii="Arial" w:hAnsi="Arial" w:cs="Arial"/>
                <w:i/>
                <w:iCs/>
                <w:sz w:val="18"/>
                <w:szCs w:val="18"/>
              </w:rPr>
              <w:t>Each cell displays the number of Sepsis-3 events/total patients (event rate %).</w:t>
            </w:r>
          </w:p>
        </w:tc>
      </w:tr>
    </w:tbl>
    <w:p w:rsidR="0024255A" w:rsidRDefault="00000000">
      <w:pPr>
        <w:keepNext/>
        <w:rPr>
          <w:rFonts w:ascii="Arial" w:hAnsi="Arial" w:cs="Arial"/>
          <w:b/>
          <w:bCs/>
          <w:sz w:val="22"/>
          <w:szCs w:val="22"/>
        </w:rPr>
      </w:pPr>
      <w:r w:rsidRPr="00DA682F">
        <w:rPr>
          <w:rFonts w:ascii="Arial" w:hAnsi="Arial" w:cs="Arial"/>
          <w:b/>
          <w:bCs/>
          <w:sz w:val="22"/>
          <w:szCs w:val="22"/>
        </w:rPr>
        <w:lastRenderedPageBreak/>
        <w:t>Table S6. Cochran–Mantel–Haenszel (CMH) Tests of Sepsis ImmunoScore Risk Stratification within Provider Assessment Strata</w:t>
      </w:r>
    </w:p>
    <w:p w:rsidR="00DA682F" w:rsidRPr="00DA682F" w:rsidRDefault="00DA682F">
      <w:pPr>
        <w:keepNext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a4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530"/>
        <w:gridCol w:w="2520"/>
        <w:gridCol w:w="900"/>
        <w:gridCol w:w="1800"/>
        <w:gridCol w:w="900"/>
      </w:tblGrid>
      <w:tr w:rsidR="0024255A" w:rsidRPr="00DA682F" w:rsidTr="00114427">
        <w:trPr>
          <w:trHeight w:val="480"/>
        </w:trPr>
        <w:tc>
          <w:tcPr>
            <w:tcW w:w="171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153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Stratified by</w:t>
            </w:r>
          </w:p>
        </w:tc>
        <w:tc>
          <w:tcPr>
            <w:tcW w:w="252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90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χ² (</w:t>
            </w:r>
            <w:proofErr w:type="spellStart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df</w:t>
            </w:r>
            <w:proofErr w:type="spellEnd"/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Common OR (95% CI)</w:t>
            </w:r>
          </w:p>
        </w:tc>
        <w:tc>
          <w:tcPr>
            <w:tcW w:w="900" w:type="dxa"/>
            <w:shd w:val="clear" w:color="auto" w:fill="8DB3E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24255A" w:rsidRPr="00DA682F" w:rsidTr="00114427">
        <w:trPr>
          <w:trHeight w:val="480"/>
        </w:trPr>
        <w:tc>
          <w:tcPr>
            <w:tcW w:w="17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Sepsis-3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Sepsis Risk</w:t>
            </w:r>
          </w:p>
        </w:tc>
        <w:tc>
          <w:tcPr>
            <w:tcW w:w="25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General association (generalized CMH)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52.4 (2)</w:t>
            </w:r>
          </w:p>
        </w:tc>
        <w:tc>
          <w:tcPr>
            <w:tcW w:w="18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4255A" w:rsidRPr="00DA682F" w:rsidTr="00114427">
        <w:trPr>
          <w:trHeight w:val="480"/>
        </w:trPr>
        <w:tc>
          <w:tcPr>
            <w:tcW w:w="171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Sepsis-3</w:t>
            </w:r>
          </w:p>
        </w:tc>
        <w:tc>
          <w:tcPr>
            <w:tcW w:w="153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Sepsis Risk</w:t>
            </w:r>
          </w:p>
        </w:tc>
        <w:tc>
          <w:tcPr>
            <w:tcW w:w="252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Ordinal trend (Mantel correlation)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49.2 (1)</w:t>
            </w:r>
          </w:p>
        </w:tc>
        <w:tc>
          <w:tcPr>
            <w:tcW w:w="18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4255A" w:rsidRPr="00DA682F" w:rsidTr="00114427">
        <w:trPr>
          <w:trHeight w:val="480"/>
        </w:trPr>
        <w:tc>
          <w:tcPr>
            <w:tcW w:w="17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Sepsis-3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Sepsis Risk</w:t>
            </w:r>
          </w:p>
        </w:tc>
        <w:tc>
          <w:tcPr>
            <w:tcW w:w="25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50.9 (1)</w:t>
            </w:r>
          </w:p>
        </w:tc>
        <w:tc>
          <w:tcPr>
            <w:tcW w:w="18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6.45 (3.74–11.12)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4255A" w:rsidRPr="00DA682F" w:rsidTr="00114427">
        <w:trPr>
          <w:trHeight w:val="720"/>
        </w:trPr>
        <w:tc>
          <w:tcPr>
            <w:tcW w:w="171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Assisted Vent. or Vasopressor (24h)</w:t>
            </w:r>
          </w:p>
        </w:tc>
        <w:tc>
          <w:tcPr>
            <w:tcW w:w="153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Organ Support</w:t>
            </w:r>
          </w:p>
        </w:tc>
        <w:tc>
          <w:tcPr>
            <w:tcW w:w="252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11.9 (1)</w:t>
            </w:r>
          </w:p>
        </w:tc>
        <w:tc>
          <w:tcPr>
            <w:tcW w:w="18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2.77 (1.54–5.01)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4255A" w:rsidRPr="00DA682F" w:rsidTr="00114427">
        <w:trPr>
          <w:trHeight w:val="720"/>
        </w:trPr>
        <w:tc>
          <w:tcPr>
            <w:tcW w:w="17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ICU Transfer (24h)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Organ Support</w:t>
            </w:r>
          </w:p>
        </w:tc>
        <w:tc>
          <w:tcPr>
            <w:tcW w:w="25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11.7 (1)</w:t>
            </w:r>
          </w:p>
        </w:tc>
        <w:tc>
          <w:tcPr>
            <w:tcW w:w="18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2.67 (1.50–4.74)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24255A" w:rsidRPr="00DA682F" w:rsidTr="00114427">
        <w:trPr>
          <w:trHeight w:val="720"/>
        </w:trPr>
        <w:tc>
          <w:tcPr>
            <w:tcW w:w="171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28-Day Mortality</w:t>
            </w:r>
          </w:p>
        </w:tc>
        <w:tc>
          <w:tcPr>
            <w:tcW w:w="153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Organ Support</w:t>
            </w:r>
          </w:p>
        </w:tc>
        <w:tc>
          <w:tcPr>
            <w:tcW w:w="252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7.9 (1)</w:t>
            </w:r>
          </w:p>
        </w:tc>
        <w:tc>
          <w:tcPr>
            <w:tcW w:w="18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7.28 (1.53–34.59)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0.005</w:t>
            </w:r>
          </w:p>
        </w:tc>
      </w:tr>
      <w:tr w:rsidR="0024255A" w:rsidRPr="00DA682F" w:rsidTr="00114427">
        <w:trPr>
          <w:trHeight w:val="720"/>
        </w:trPr>
        <w:tc>
          <w:tcPr>
            <w:tcW w:w="171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Vasopressor (24h)</w:t>
            </w:r>
          </w:p>
        </w:tc>
        <w:tc>
          <w:tcPr>
            <w:tcW w:w="153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Organ Support</w:t>
            </w:r>
          </w:p>
        </w:tc>
        <w:tc>
          <w:tcPr>
            <w:tcW w:w="25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7.4 (1)</w:t>
            </w:r>
          </w:p>
        </w:tc>
        <w:tc>
          <w:tcPr>
            <w:tcW w:w="18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2.75 (1.29–5.86)</w:t>
            </w:r>
          </w:p>
        </w:tc>
        <w:tc>
          <w:tcPr>
            <w:tcW w:w="90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24255A" w:rsidRPr="00DA682F" w:rsidTr="00114427">
        <w:trPr>
          <w:trHeight w:val="720"/>
        </w:trPr>
        <w:tc>
          <w:tcPr>
            <w:tcW w:w="171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Assisted Ventilation (24h)</w:t>
            </w:r>
          </w:p>
        </w:tc>
        <w:tc>
          <w:tcPr>
            <w:tcW w:w="153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Provider Organ Support</w:t>
            </w:r>
          </w:p>
        </w:tc>
        <w:tc>
          <w:tcPr>
            <w:tcW w:w="252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2×2×K (Mantel–Haenszel)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6.8 (1)</w:t>
            </w:r>
          </w:p>
        </w:tc>
        <w:tc>
          <w:tcPr>
            <w:tcW w:w="18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2.49 (1.25–4.96)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4255A" w:rsidRPr="00DA682F" w:rsidRDefault="00000000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82F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</w:tr>
    </w:tbl>
    <w:p w:rsidR="006A21E1" w:rsidRDefault="00000000">
      <w:pPr>
        <w:keepNext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>The 2×2×K Mantel–Haenszel test compares a Sepsis ImmunoScore rating of High/Very High vs Low/Medium, stratified by the three-level provider assessment category. For Sepsis-3, the generalized CMH (general association)</w:t>
      </w:r>
      <w:r w:rsidR="006A21E1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4255A" w:rsidRPr="00DA682F" w:rsidRDefault="00000000">
      <w:pPr>
        <w:keepNext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>and ordinal-trend (Mantel correlation) statistics use all four Sepsis ImmunoScore categories; odds ratios are not defined for these multi-level tests.</w:t>
      </w:r>
    </w:p>
    <w:p w:rsidR="0024255A" w:rsidRDefault="00E660F6">
      <w:pPr>
        <w:keepNext/>
        <w:rPr>
          <w:rFonts w:ascii="Arial" w:hAnsi="Arial" w:cs="Arial"/>
          <w:i/>
          <w:iCs/>
          <w:sz w:val="18"/>
          <w:szCs w:val="18"/>
        </w:rPr>
      </w:pPr>
      <w:r w:rsidRPr="006A21E1">
        <w:rPr>
          <w:rFonts w:ascii="Arial" w:hAnsi="Arial" w:cs="Arial"/>
          <w:i/>
          <w:iCs/>
          <w:sz w:val="18"/>
          <w:szCs w:val="18"/>
        </w:rPr>
        <w:t xml:space="preserve">CMH, Cochran–Mantel–Haenszel; OR, odds ratio; </w:t>
      </w:r>
      <w:proofErr w:type="spellStart"/>
      <w:r w:rsidRPr="006A21E1">
        <w:rPr>
          <w:rFonts w:ascii="Arial" w:hAnsi="Arial" w:cs="Arial"/>
          <w:i/>
          <w:iCs/>
          <w:sz w:val="18"/>
          <w:szCs w:val="18"/>
        </w:rPr>
        <w:t>df</w:t>
      </w:r>
      <w:proofErr w:type="spellEnd"/>
      <w:r w:rsidRPr="006A21E1">
        <w:rPr>
          <w:rFonts w:ascii="Arial" w:hAnsi="Arial" w:cs="Arial"/>
          <w:i/>
          <w:iCs/>
          <w:sz w:val="18"/>
          <w:szCs w:val="18"/>
        </w:rPr>
        <w:t>, degrees of freedom.</w:t>
      </w: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Pr="006A21E1" w:rsidRDefault="006A21E1" w:rsidP="006A21E1">
      <w:pPr>
        <w:rPr>
          <w:rFonts w:ascii="Arial" w:hAnsi="Arial" w:cs="Arial"/>
          <w:sz w:val="18"/>
          <w:szCs w:val="18"/>
        </w:rPr>
      </w:pPr>
    </w:p>
    <w:p w:rsidR="006A21E1" w:rsidRDefault="006A21E1" w:rsidP="006A21E1">
      <w:pPr>
        <w:rPr>
          <w:rFonts w:ascii="Arial" w:hAnsi="Arial" w:cs="Arial"/>
          <w:i/>
          <w:iCs/>
          <w:sz w:val="18"/>
          <w:szCs w:val="18"/>
        </w:rPr>
      </w:pPr>
    </w:p>
    <w:p w:rsidR="006A21E1" w:rsidRDefault="006A21E1" w:rsidP="006A21E1">
      <w:pPr>
        <w:rPr>
          <w:rFonts w:ascii="Arial" w:hAnsi="Arial" w:cs="Arial"/>
          <w:i/>
          <w:iCs/>
          <w:sz w:val="18"/>
          <w:szCs w:val="18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p w:rsidR="006A21E1" w:rsidRDefault="006A21E1" w:rsidP="006A21E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5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800"/>
        <w:gridCol w:w="1710"/>
        <w:gridCol w:w="1710"/>
        <w:gridCol w:w="990"/>
        <w:gridCol w:w="255"/>
      </w:tblGrid>
      <w:tr w:rsidR="006A21E1" w:rsidRPr="00DA682F" w:rsidTr="005F4D20">
        <w:trPr>
          <w:trHeight w:val="100"/>
          <w:tblHeader/>
        </w:trPr>
        <w:tc>
          <w:tcPr>
            <w:tcW w:w="9345" w:type="dxa"/>
            <w:gridSpan w:val="6"/>
            <w:tcBorders>
              <w:bottom w:val="single" w:sz="12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A21E1" w:rsidRPr="006A21E1" w:rsidRDefault="006A21E1" w:rsidP="006A21E1">
            <w:pPr>
              <w:keepNext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 w:rsidRPr="006A21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Table S7. Representativeness of the Surveyed Cohort: Emergency Department Patients with a Valid Sepsis ImmunoScore Result with Survey Completed vs Not Completed</w:t>
            </w:r>
            <w:r w:rsidRPr="006A21E1">
              <w:rPr>
                <w:rFonts w:ascii="Arial" w:hAnsi="Arial" w:cs="Arial"/>
                <w:b/>
                <w:bCs/>
                <w:sz w:val="22"/>
                <w:szCs w:val="22"/>
              </w:rPr>
              <w:br w:type="page"/>
            </w:r>
          </w:p>
        </w:tc>
      </w:tr>
      <w:tr w:rsidR="006A21E1" w:rsidRPr="006A21E1" w:rsidTr="006A21E1">
        <w:trPr>
          <w:trHeight w:val="100"/>
          <w:tblHeader/>
        </w:trPr>
        <w:tc>
          <w:tcPr>
            <w:tcW w:w="288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766C53">
            <w:pPr>
              <w:keepNext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Characteristic </w:t>
            </w:r>
          </w:p>
        </w:tc>
        <w:tc>
          <w:tcPr>
            <w:tcW w:w="180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766C53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Overall </w:t>
            </w:r>
          </w:p>
        </w:tc>
        <w:tc>
          <w:tcPr>
            <w:tcW w:w="171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766C53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Survey</w:t>
            </w:r>
            <w:r w:rsidR="003F74DA"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Complet</w:t>
            </w: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ed </w:t>
            </w:r>
          </w:p>
        </w:tc>
        <w:tc>
          <w:tcPr>
            <w:tcW w:w="171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3F74DA" w:rsidP="00766C53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Survey </w:t>
            </w:r>
            <w:r w:rsidR="00000000"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Not </w:t>
            </w: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Complet</w:t>
            </w:r>
            <w:r w:rsidR="00000000"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ed </w:t>
            </w:r>
          </w:p>
        </w:tc>
        <w:tc>
          <w:tcPr>
            <w:tcW w:w="99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766C53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P-value </w:t>
            </w:r>
          </w:p>
        </w:tc>
        <w:tc>
          <w:tcPr>
            <w:tcW w:w="255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24255A" w:rsidP="00766C53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6"/>
          <w:tblHeader/>
        </w:trPr>
        <w:tc>
          <w:tcPr>
            <w:tcW w:w="288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180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1538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99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323"/>
          <w:tblHeader/>
        </w:trPr>
        <w:tc>
          <w:tcPr>
            <w:tcW w:w="288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Age, median (IQR)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67.0 (52.0–77.0)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68.0 (53.0–79.0)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66.0 (52.0–77.0)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0.096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3F74DA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Site</w:t>
            </w: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24255A" w:rsidRPr="00DA682F" w:rsidTr="00BE3EDA">
        <w:trPr>
          <w:trHeight w:val="280"/>
          <w:tblHeader/>
        </w:trPr>
        <w:tc>
          <w:tcPr>
            <w:tcW w:w="288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Site A 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547 (35.6%)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140 (34.9%)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407 (35.8%) 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0.888 </w:t>
            </w:r>
          </w:p>
        </w:tc>
        <w:tc>
          <w:tcPr>
            <w:tcW w:w="2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350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Site B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246 (16.0%)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67 (16.7%)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179 (15.7%)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33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Site C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745 (48.4%)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194 (48.4%)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551 (48.5%)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Sex</w:t>
            </w:r>
          </w:p>
        </w:tc>
      </w:tr>
      <w:tr w:rsidR="0024255A" w:rsidRPr="00DA682F" w:rsidTr="00BE3EDA">
        <w:trPr>
          <w:trHeight w:val="370"/>
          <w:tblHeader/>
        </w:trPr>
        <w:tc>
          <w:tcPr>
            <w:tcW w:w="288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778 (50.6%)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209 (52.1%)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569 (50.0%) 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0.511 </w:t>
            </w:r>
          </w:p>
        </w:tc>
        <w:tc>
          <w:tcPr>
            <w:tcW w:w="2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98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760 (49.4%)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192 (47.9%)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568 (50.0%)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Race</w:t>
            </w:r>
          </w:p>
        </w:tc>
      </w:tr>
      <w:tr w:rsidR="0024255A" w:rsidRPr="00DA682F" w:rsidTr="00BE3EDA">
        <w:trPr>
          <w:trHeight w:val="235"/>
          <w:tblHeader/>
        </w:trPr>
        <w:tc>
          <w:tcPr>
            <w:tcW w:w="2880" w:type="dxa"/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White </w:t>
            </w:r>
          </w:p>
        </w:tc>
        <w:tc>
          <w:tcPr>
            <w:tcW w:w="180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1167 (75.9%)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308 (76.8%)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859 (75.5%) </w:t>
            </w:r>
          </w:p>
        </w:tc>
        <w:tc>
          <w:tcPr>
            <w:tcW w:w="99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0.034 </w:t>
            </w:r>
          </w:p>
        </w:tc>
        <w:tc>
          <w:tcPr>
            <w:tcW w:w="255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134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Black or African American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259 (16.8%)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73 (18.2%)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186 (16.4%)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06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Other Race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71 (4.6%)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14 (3.5%)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57 (5.0%)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125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Asian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31 (2.0%)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 (0.5%)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29 (2.6%)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35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American Indian or Alaska Native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 (0.5%)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 (0.7%)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 (0.4%)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 (0.2%)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 (0.2%)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 (0.2%)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Ethnicity</w:t>
            </w: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Hispanic or Latino 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42 (2.7%)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 (2.0%)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34 (3.0%) 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0.386 </w:t>
            </w:r>
          </w:p>
        </w:tc>
        <w:tc>
          <w:tcPr>
            <w:tcW w:w="2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Not Hispanic or Latino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1476 (96.0%)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387 (96.5%)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1089 (95.8%)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Missing/Unknown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20 (1.3%)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 (1.5%)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14 (1.2%)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Comorbidities</w:t>
            </w:r>
            <w:r w:rsidR="00347277"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(CCI)</w:t>
            </w: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Immunocompromised 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216 (14.0%)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59 (14.7%)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157 (13.8%) 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0.676 </w:t>
            </w:r>
          </w:p>
        </w:tc>
        <w:tc>
          <w:tcPr>
            <w:tcW w:w="2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Acute MI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23 (1.5%)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 (0.2%)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22 (1.9%)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0.015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History of MI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 (0.6%)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 (0.0%)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 (0.8%)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0.123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CHF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217 (14.1%)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58 (14.5%)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159 (14.0%)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0.803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Peripheral Vascular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95 (6.2%)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24 (6.0%)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71 (6.2%)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0.905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Cerebrovascular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89 (5.8%)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26 (6.5%)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63 (5.5%)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0.534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COPD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187 (12.2%)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52 (13.0%)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135 (11.9%)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0.594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Dementia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51 (3.3%)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 (2.2%)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42 (3.7%)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0.195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Paralysis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28 (1.8%)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10 (2.5%)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 (1.6%)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0.276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Diabetes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228 (14.8%)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45 (11.2%)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183 (16.1%)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0.018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>Diabetes w</w:t>
            </w:r>
            <w:r w:rsidR="00BE3EDA" w:rsidRPr="00DA682F">
              <w:rPr>
                <w:rFonts w:ascii="Arial" w:eastAsia="Arial" w:hAnsi="Arial" w:cs="Arial"/>
                <w:sz w:val="20"/>
                <w:szCs w:val="20"/>
              </w:rPr>
              <w:t>ith</w:t>
            </w: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 Complications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117 (7.6%)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22 (5.5%)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95 (8.4%)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0.063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Renal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164 (10.7%)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42 (10.5%)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122 (10.7%)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0.925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Mild Liver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62 (4.0%)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 (4.5%)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44 (3.9%)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0.558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Moderate/Severe Liver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11 (0.7%)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 (0.7%)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 (0.7%)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1.000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Peptic Ulcer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15 (1.0%)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 (1.0%)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11 (1.0%)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1.000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Rheumatologic Disease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26 (1.7%)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 (2.0%)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 (1.6%)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0.652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AIDS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 (0.3%)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 (0.0%)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 (0.4%)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0.578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Outcomes</w:t>
            </w:r>
          </w:p>
        </w:tc>
      </w:tr>
      <w:tr w:rsidR="0024255A" w:rsidRPr="00DA682F" w:rsidTr="00BE3EDA">
        <w:trPr>
          <w:trHeight w:val="145"/>
          <w:tblHeader/>
        </w:trPr>
        <w:tc>
          <w:tcPr>
            <w:tcW w:w="288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Qualifying Antimicrobial Days, median (IQR) </w:t>
            </w:r>
          </w:p>
        </w:tc>
        <w:tc>
          <w:tcPr>
            <w:tcW w:w="18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(1.0–6.0)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(1.0–6.0) </w:t>
            </w:r>
          </w:p>
        </w:tc>
        <w:tc>
          <w:tcPr>
            <w:tcW w:w="1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(1.0–6.0) </w:t>
            </w:r>
          </w:p>
        </w:tc>
        <w:tc>
          <w:tcPr>
            <w:tcW w:w="99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0.997 </w:t>
            </w:r>
          </w:p>
        </w:tc>
        <w:tc>
          <w:tcPr>
            <w:tcW w:w="25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44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Inpatient, n (%)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1224 (79.6%)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321 (80.0%)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903 (79.4%)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0.829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06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ICU Transfer (24h)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211 (13.7%)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81 (20.2%)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130 (11.4%)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&lt;0.001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28-Day In-Hospital Mortality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72 (4.7%)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23 (5.7%)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49 (4.3%)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0.271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6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Organ Dysfunction (%)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710 (46.2%)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187 (46.6%)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523 (46.0%)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0.861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30-Day Readmission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307 (20.0%)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64 (16.0%)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243 (21.4%)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0.020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Assisted Ventilation (24h)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137 (8.9%)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54 (13.5%)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83 (7.3%)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&lt;0.001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170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Vasopressor Administration (24h)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135 (8.8%)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46 (11.5%)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89 (7.8%)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0.031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Critical Care (24h): Assisted Ventilation or Vasopressor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225 (14.6%)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77 (19.2%)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148 (13.0%)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0.003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170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Length of Stay, days, geometric mean (95% CI)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2.9 (2.7–3.1)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2.8 (2.4–3.2)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(2.8–3.2)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0.318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Sepsis-3 Within 24 Hours (%)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386 (25.1%)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103 (25.7%)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283 (24.9%)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0.789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Readmission or Mortality Within 1 Year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855 (55.6%)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192 (47.9%)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663 (58.3%)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&lt;0.001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15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3-Hour Broad-Spectrum Abx Administration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1000 (65.0%)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274 (68.3%)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726 (63.9%)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0.113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766C53">
        <w:trPr>
          <w:trHeight w:val="22"/>
          <w:tblHeader/>
        </w:trPr>
        <w:tc>
          <w:tcPr>
            <w:tcW w:w="9345" w:type="dxa"/>
            <w:gridSpan w:val="6"/>
            <w:tcBorders>
              <w:top w:val="single" w:sz="8" w:space="0" w:color="DDDDDD"/>
              <w:bottom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3F74DA" w:rsidP="00766C53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Sepsis ImmunoScore</w:t>
            </w: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Risk Score, median (IQR) </w:t>
            </w:r>
          </w:p>
        </w:tc>
        <w:tc>
          <w:tcPr>
            <w:tcW w:w="180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20 (10–50)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20 (10–60) </w:t>
            </w:r>
          </w:p>
        </w:tc>
        <w:tc>
          <w:tcPr>
            <w:tcW w:w="171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20 (10–50) </w:t>
            </w:r>
          </w:p>
        </w:tc>
        <w:tc>
          <w:tcPr>
            <w:tcW w:w="990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0.007 </w:t>
            </w:r>
          </w:p>
        </w:tc>
        <w:tc>
          <w:tcPr>
            <w:tcW w:w="255" w:type="dxa"/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Low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581 (37.8%)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134 (33.4%)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447 (39.3%)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0.136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Medium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310 (20.2%)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82 (20.4%)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228 (20.1%)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High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583 (37.9%)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164 (40.9%)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419 (36.9%)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22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Very High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64 (4.2%)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21 (5.2%)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43 (3.8%)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255A" w:rsidRPr="00DA682F" w:rsidTr="00BE3EDA">
        <w:trPr>
          <w:trHeight w:val="305"/>
          <w:tblHeader/>
        </w:trPr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NEWS Score at Evaluation, median (IQR) </w:t>
            </w:r>
          </w:p>
        </w:tc>
        <w:tc>
          <w:tcPr>
            <w:tcW w:w="180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(1.0–4.0)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3.0 (1.0–5.0) </w:t>
            </w:r>
          </w:p>
        </w:tc>
        <w:tc>
          <w:tcPr>
            <w:tcW w:w="171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2.0 (1.0–4.0) </w:t>
            </w:r>
          </w:p>
        </w:tc>
        <w:tc>
          <w:tcPr>
            <w:tcW w:w="99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000000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682F">
              <w:rPr>
                <w:rFonts w:ascii="Arial" w:eastAsia="Arial" w:hAnsi="Arial" w:cs="Arial"/>
                <w:sz w:val="20"/>
                <w:szCs w:val="20"/>
              </w:rPr>
              <w:t xml:space="preserve">&lt;0.001 </w:t>
            </w:r>
          </w:p>
        </w:tc>
        <w:tc>
          <w:tcPr>
            <w:tcW w:w="255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DA682F" w:rsidRDefault="0024255A" w:rsidP="00766C53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E3EDA" w:rsidRPr="00DA682F" w:rsidRDefault="00BE3EDA">
      <w:pPr>
        <w:keepNext/>
        <w:rPr>
          <w:rFonts w:ascii="Arial" w:eastAsia="Times New Roman" w:hAnsi="Arial" w:cs="Arial"/>
          <w:i/>
          <w:iCs/>
          <w:vertAlign w:val="superscript"/>
        </w:rPr>
      </w:pPr>
    </w:p>
    <w:p w:rsidR="0024255A" w:rsidRPr="006A21E1" w:rsidRDefault="003F74DA">
      <w:pPr>
        <w:keepNext/>
        <w:rPr>
          <w:rFonts w:ascii="Arial" w:eastAsia="Times New Roman" w:hAnsi="Arial" w:cs="Arial"/>
          <w:sz w:val="18"/>
          <w:szCs w:val="18"/>
        </w:rPr>
      </w:pPr>
      <w:r w:rsidRPr="006A21E1">
        <w:rPr>
          <w:rFonts w:ascii="Arial" w:eastAsia="Times New Roman" w:hAnsi="Arial" w:cs="Arial"/>
          <w:i/>
          <w:iCs/>
          <w:sz w:val="18"/>
          <w:szCs w:val="18"/>
          <w:vertAlign w:val="superscript"/>
        </w:rPr>
        <w:t>a</w:t>
      </w:r>
      <w:r w:rsidRPr="006A21E1">
        <w:rPr>
          <w:rFonts w:ascii="Arial" w:eastAsia="Times New Roman" w:hAnsi="Arial" w:cs="Arial"/>
          <w:sz w:val="18"/>
          <w:szCs w:val="18"/>
          <w:vertAlign w:val="superscript"/>
        </w:rPr>
        <w:t xml:space="preserve"> </w:t>
      </w:r>
      <w:r w:rsidRPr="006A21E1">
        <w:rPr>
          <w:rFonts w:ascii="Arial" w:hAnsi="Arial" w:cs="Arial"/>
          <w:i/>
          <w:iCs/>
          <w:sz w:val="18"/>
          <w:szCs w:val="18"/>
        </w:rPr>
        <w:t>Site names anonymized.</w:t>
      </w:r>
    </w:p>
    <w:p w:rsidR="006A21E1" w:rsidRDefault="00000000">
      <w:pPr>
        <w:keepNext/>
        <w:spacing w:after="120"/>
        <w:rPr>
          <w:rFonts w:ascii="Arial" w:hAnsi="Arial" w:cs="Arial"/>
          <w:i/>
          <w:iCs/>
          <w:sz w:val="18"/>
          <w:szCs w:val="18"/>
        </w:rPr>
      </w:pPr>
      <w:r w:rsidRPr="006A21E1">
        <w:rPr>
          <w:rFonts w:ascii="Arial" w:hAnsi="Arial" w:cs="Arial"/>
          <w:i/>
          <w:iCs/>
          <w:sz w:val="18"/>
          <w:szCs w:val="18"/>
        </w:rPr>
        <w:t>Comparison of the 401 surveyed patients with 1,137 concurrently enrolled emergency department patients who had a valid Sepsis ImmunoScore result but no completed provider survey. P-values from Wilcoxon rank-sum (continuous</w:t>
      </w:r>
      <w:r w:rsidR="006A21E1">
        <w:rPr>
          <w:rFonts w:ascii="Arial" w:hAnsi="Arial" w:cs="Arial"/>
          <w:i/>
          <w:iCs/>
          <w:sz w:val="18"/>
          <w:szCs w:val="18"/>
        </w:rPr>
        <w:t>)</w:t>
      </w:r>
      <w:r w:rsidR="006A21E1" w:rsidRPr="006A21E1">
        <w:rPr>
          <w:rFonts w:ascii="Arial" w:hAnsi="Arial" w:cs="Arial"/>
          <w:i/>
          <w:iCs/>
          <w:sz w:val="18"/>
          <w:szCs w:val="18"/>
        </w:rPr>
        <w:t xml:space="preserve"> </w:t>
      </w:r>
      <w:r w:rsidR="006A21E1" w:rsidRPr="00DA682F">
        <w:rPr>
          <w:rFonts w:ascii="Arial" w:hAnsi="Arial" w:cs="Arial"/>
          <w:i/>
          <w:iCs/>
          <w:sz w:val="18"/>
          <w:szCs w:val="18"/>
        </w:rPr>
        <w:t>or chi-squared/Fisher exact (categorical) tests. Provider survey assessments are not shown because they were obtained only in surveyed patients.</w:t>
      </w:r>
      <w:r w:rsidR="006A21E1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4255A" w:rsidRPr="00DA682F" w:rsidRDefault="003F74DA">
      <w:pPr>
        <w:keepNext/>
        <w:spacing w:after="12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 xml:space="preserve">Abx, antibiotics; </w:t>
      </w:r>
      <w:r w:rsidR="00000000" w:rsidRPr="00DA682F">
        <w:rPr>
          <w:rFonts w:ascii="Arial" w:hAnsi="Arial" w:cs="Arial"/>
          <w:i/>
          <w:iCs/>
          <w:sz w:val="18"/>
          <w:szCs w:val="18"/>
        </w:rPr>
        <w:t>CHF, congestive heart failure; COPD, chronic obstructive pulmonary disease; IQR, interquartile range; LOS, length of stay; MI, myocardial infarction; n, number; NEWS, National Early Warning Score.</w:t>
      </w:r>
    </w:p>
    <w:p w:rsidR="006A21E1" w:rsidRDefault="006A21E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347277" w:rsidRPr="00DA682F" w:rsidRDefault="00347277">
      <w:pPr>
        <w:keepNext/>
        <w:spacing w:before="240" w:after="60"/>
        <w:rPr>
          <w:rFonts w:ascii="Arial" w:hAnsi="Arial" w:cs="Arial"/>
          <w:b/>
          <w:bCs/>
          <w:sz w:val="20"/>
          <w:szCs w:val="20"/>
        </w:rPr>
      </w:pPr>
    </w:p>
    <w:p w:rsidR="0024255A" w:rsidRPr="006A21E1" w:rsidRDefault="00000000">
      <w:pPr>
        <w:keepNext/>
        <w:spacing w:before="240" w:after="60"/>
        <w:rPr>
          <w:rFonts w:ascii="Arial" w:hAnsi="Arial" w:cs="Arial"/>
          <w:b/>
          <w:bCs/>
          <w:sz w:val="22"/>
          <w:szCs w:val="22"/>
        </w:rPr>
      </w:pPr>
      <w:r w:rsidRPr="006A21E1">
        <w:rPr>
          <w:rFonts w:ascii="Arial" w:hAnsi="Arial" w:cs="Arial"/>
          <w:b/>
          <w:bCs/>
          <w:sz w:val="22"/>
          <w:szCs w:val="22"/>
        </w:rPr>
        <w:t>Table S8. Sepsis ImmunoScore Discrimination (AUROC) by Survey Status</w:t>
      </w:r>
    </w:p>
    <w:tbl>
      <w:tblPr>
        <w:tblStyle w:val="a6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1260"/>
        <w:gridCol w:w="1440"/>
        <w:gridCol w:w="2880"/>
      </w:tblGrid>
      <w:tr w:rsidR="0024255A" w:rsidRPr="006A21E1" w:rsidTr="003F74DA">
        <w:trPr>
          <w:trHeight w:val="150"/>
        </w:trPr>
        <w:tc>
          <w:tcPr>
            <w:tcW w:w="9450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24255A" w:rsidP="003F74DA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1E1" w:rsidRPr="006A21E1" w:rsidTr="006A21E1">
        <w:trPr>
          <w:trHeight w:val="199"/>
        </w:trPr>
        <w:tc>
          <w:tcPr>
            <w:tcW w:w="387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Group </w:t>
            </w:r>
          </w:p>
        </w:tc>
        <w:tc>
          <w:tcPr>
            <w:tcW w:w="126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 </w:t>
            </w:r>
          </w:p>
        </w:tc>
        <w:tc>
          <w:tcPr>
            <w:tcW w:w="144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Events </w:t>
            </w:r>
          </w:p>
        </w:tc>
        <w:tc>
          <w:tcPr>
            <w:tcW w:w="2880" w:type="dxa"/>
            <w:tcBorders>
              <w:bottom w:val="single" w:sz="12" w:space="0" w:color="DDDDDD"/>
            </w:tcBorders>
            <w:shd w:val="clear" w:color="auto" w:fill="8DB3E2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Sepsis ImmunoScore AUROC (95% CI) </w:t>
            </w:r>
          </w:p>
        </w:tc>
      </w:tr>
      <w:tr w:rsidR="0024255A" w:rsidRPr="006A21E1" w:rsidTr="003F74DA">
        <w:trPr>
          <w:trHeight w:val="22"/>
        </w:trPr>
        <w:tc>
          <w:tcPr>
            <w:tcW w:w="9450" w:type="dxa"/>
            <w:gridSpan w:val="4"/>
            <w:tcBorders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Sepsis-3</w:t>
            </w:r>
          </w:p>
        </w:tc>
      </w:tr>
      <w:tr w:rsidR="0024255A" w:rsidRPr="006A21E1" w:rsidTr="003F74DA">
        <w:trPr>
          <w:trHeight w:val="262"/>
        </w:trPr>
        <w:tc>
          <w:tcPr>
            <w:tcW w:w="387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Non-survey ED </w:t>
            </w:r>
          </w:p>
        </w:tc>
        <w:tc>
          <w:tcPr>
            <w:tcW w:w="12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14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283 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0.80 (0.77–0.83) </w:t>
            </w:r>
          </w:p>
        </w:tc>
      </w:tr>
      <w:tr w:rsidR="0024255A" w:rsidRPr="006A21E1" w:rsidTr="003F74DA">
        <w:trPr>
          <w:trHeight w:val="152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Surveyed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103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0.81 (0.76–0.86) </w:t>
            </w:r>
          </w:p>
        </w:tc>
      </w:tr>
      <w:tr w:rsidR="0024255A" w:rsidRPr="006A21E1" w:rsidTr="003F74DA">
        <w:trPr>
          <w:trHeight w:val="660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Overall (Sepsis ImmunoScore-resulted)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1538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386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0.80 (0.78–0.83) </w:t>
            </w:r>
          </w:p>
        </w:tc>
      </w:tr>
      <w:tr w:rsidR="0024255A" w:rsidRPr="006A21E1" w:rsidTr="003F74DA">
        <w:trPr>
          <w:trHeight w:val="62"/>
        </w:trPr>
        <w:tc>
          <w:tcPr>
            <w:tcW w:w="9450" w:type="dxa"/>
            <w:gridSpan w:val="4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28-day mortality</w:t>
            </w:r>
          </w:p>
        </w:tc>
      </w:tr>
      <w:tr w:rsidR="0024255A" w:rsidRPr="006A21E1" w:rsidTr="003F74DA">
        <w:trPr>
          <w:trHeight w:val="235"/>
        </w:trPr>
        <w:tc>
          <w:tcPr>
            <w:tcW w:w="387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Non-survey ED </w:t>
            </w:r>
          </w:p>
        </w:tc>
        <w:tc>
          <w:tcPr>
            <w:tcW w:w="12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14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49 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0.82 (0.77–0.88) </w:t>
            </w:r>
          </w:p>
        </w:tc>
      </w:tr>
      <w:tr w:rsidR="0024255A" w:rsidRPr="006A21E1" w:rsidTr="003F74DA">
        <w:trPr>
          <w:trHeight w:val="26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Surveyed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0.85 (0.77–0.92) </w:t>
            </w:r>
          </w:p>
        </w:tc>
      </w:tr>
      <w:tr w:rsidR="0024255A" w:rsidRPr="006A21E1" w:rsidTr="003F74DA">
        <w:trPr>
          <w:trHeight w:val="660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Overall (Sepsis ImmunoScore-resulted)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1538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72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0.83 (0.79–0.87) </w:t>
            </w:r>
          </w:p>
        </w:tc>
      </w:tr>
      <w:tr w:rsidR="0024255A" w:rsidRPr="006A21E1" w:rsidTr="003F74DA">
        <w:trPr>
          <w:trHeight w:val="125"/>
        </w:trPr>
        <w:tc>
          <w:tcPr>
            <w:tcW w:w="9450" w:type="dxa"/>
            <w:gridSpan w:val="4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ICU transfer (24h)</w:t>
            </w:r>
          </w:p>
        </w:tc>
      </w:tr>
      <w:tr w:rsidR="0024255A" w:rsidRPr="006A21E1" w:rsidTr="003F74DA">
        <w:trPr>
          <w:trHeight w:val="22"/>
        </w:trPr>
        <w:tc>
          <w:tcPr>
            <w:tcW w:w="387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Non-survey ED </w:t>
            </w:r>
          </w:p>
        </w:tc>
        <w:tc>
          <w:tcPr>
            <w:tcW w:w="12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14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130 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0.71 (0.66–0.76) </w:t>
            </w:r>
          </w:p>
        </w:tc>
      </w:tr>
      <w:tr w:rsidR="0024255A" w:rsidRPr="006A21E1" w:rsidTr="003F74DA">
        <w:trPr>
          <w:trHeight w:val="80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Surveyed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81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0.71 (0.65–0.78) </w:t>
            </w:r>
          </w:p>
        </w:tc>
      </w:tr>
      <w:tr w:rsidR="0024255A" w:rsidRPr="006A21E1" w:rsidTr="003F74DA">
        <w:trPr>
          <w:trHeight w:val="660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Overall (Sepsis ImmunoScore-resulted)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1538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211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0.71 (0.68–0.75) </w:t>
            </w:r>
          </w:p>
        </w:tc>
      </w:tr>
      <w:tr w:rsidR="0024255A" w:rsidRPr="006A21E1" w:rsidTr="003F74DA">
        <w:trPr>
          <w:trHeight w:val="80"/>
        </w:trPr>
        <w:tc>
          <w:tcPr>
            <w:tcW w:w="9450" w:type="dxa"/>
            <w:gridSpan w:val="4"/>
            <w:tcBorders>
              <w:top w:val="single" w:sz="8" w:space="0" w:color="DDDDDD"/>
              <w:bottom w:val="single" w:sz="8" w:space="0" w:color="000000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Critical care (24h)</w:t>
            </w:r>
          </w:p>
        </w:tc>
      </w:tr>
      <w:tr w:rsidR="0024255A" w:rsidRPr="006A21E1" w:rsidTr="003F74DA">
        <w:trPr>
          <w:trHeight w:val="22"/>
        </w:trPr>
        <w:tc>
          <w:tcPr>
            <w:tcW w:w="3870" w:type="dxa"/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Non-survey ED </w:t>
            </w:r>
          </w:p>
        </w:tc>
        <w:tc>
          <w:tcPr>
            <w:tcW w:w="126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144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148 </w:t>
            </w:r>
          </w:p>
        </w:tc>
        <w:tc>
          <w:tcPr>
            <w:tcW w:w="288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0.70 (0.65–0.74) </w:t>
            </w:r>
          </w:p>
        </w:tc>
      </w:tr>
      <w:tr w:rsidR="0024255A" w:rsidRPr="006A21E1" w:rsidTr="003F74DA">
        <w:trPr>
          <w:trHeight w:val="161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Surveyed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77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F9F9F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0.70 (0.63–0.78) </w:t>
            </w:r>
          </w:p>
        </w:tc>
      </w:tr>
      <w:tr w:rsidR="0024255A" w:rsidRPr="006A21E1" w:rsidTr="003F74DA">
        <w:trPr>
          <w:trHeight w:val="125"/>
        </w:trPr>
        <w:tc>
          <w:tcPr>
            <w:tcW w:w="387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4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Overall (Sepsis ImmunoScore-resulted) </w:t>
            </w:r>
          </w:p>
        </w:tc>
        <w:tc>
          <w:tcPr>
            <w:tcW w:w="126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1538 </w:t>
            </w:r>
          </w:p>
        </w:tc>
        <w:tc>
          <w:tcPr>
            <w:tcW w:w="144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225 </w:t>
            </w:r>
          </w:p>
        </w:tc>
        <w:tc>
          <w:tcPr>
            <w:tcW w:w="2880" w:type="dxa"/>
            <w:tcBorders>
              <w:top w:val="single" w:sz="8" w:space="0" w:color="DDDDDD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255A" w:rsidRPr="006A21E1" w:rsidRDefault="00000000" w:rsidP="003F74DA">
            <w:pPr>
              <w:keepNext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21E1">
              <w:rPr>
                <w:rFonts w:ascii="Arial" w:eastAsia="Arial" w:hAnsi="Arial" w:cs="Arial"/>
                <w:sz w:val="20"/>
                <w:szCs w:val="20"/>
              </w:rPr>
              <w:t xml:space="preserve">0.70 (0.66–0.74) </w:t>
            </w:r>
          </w:p>
        </w:tc>
      </w:tr>
    </w:tbl>
    <w:p w:rsidR="0024255A" w:rsidRPr="00DA682F" w:rsidRDefault="00000000">
      <w:pPr>
        <w:keepNext/>
        <w:spacing w:before="240" w:after="60"/>
        <w:rPr>
          <w:rFonts w:ascii="Arial" w:hAnsi="Arial" w:cs="Arial"/>
          <w:b/>
          <w:bCs/>
          <w:sz w:val="20"/>
          <w:szCs w:val="20"/>
        </w:rPr>
      </w:pPr>
      <w:r w:rsidRPr="00DA682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47277" w:rsidRPr="00DA682F" w:rsidRDefault="00000000">
      <w:pPr>
        <w:keepNext/>
        <w:spacing w:after="12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 xml:space="preserve">Area under the receiver operating characteristic curve (AUROC) for the Sepsis ImmunoScore within each group. Non-survey ED denotes enrolled emergency department patients with a valid Sepsis ImmunoScore result but no completed provider survey; Overall denotes all Sepsis ImmunoScore-resulted emergency department patients (surveyed plus non-surveyed). Discrimination was consistent across surveyed and non-surveyed patients for every endpoint. </w:t>
      </w:r>
    </w:p>
    <w:p w:rsidR="0024255A" w:rsidRPr="00DA682F" w:rsidRDefault="00347277">
      <w:pPr>
        <w:keepNext/>
        <w:spacing w:after="120"/>
        <w:rPr>
          <w:rFonts w:ascii="Arial" w:hAnsi="Arial" w:cs="Arial"/>
          <w:i/>
          <w:iCs/>
          <w:sz w:val="18"/>
          <w:szCs w:val="18"/>
        </w:rPr>
      </w:pPr>
      <w:r w:rsidRPr="00DA682F">
        <w:rPr>
          <w:rFonts w:ascii="Arial" w:hAnsi="Arial" w:cs="Arial"/>
          <w:i/>
          <w:iCs/>
          <w:sz w:val="18"/>
          <w:szCs w:val="18"/>
        </w:rPr>
        <w:t xml:space="preserve">AUROC, area under the receiver operating characteristic curve; </w:t>
      </w:r>
      <w:r w:rsidR="00000000" w:rsidRPr="00DA682F">
        <w:rPr>
          <w:rFonts w:ascii="Arial" w:hAnsi="Arial" w:cs="Arial"/>
          <w:i/>
          <w:iCs/>
          <w:sz w:val="18"/>
          <w:szCs w:val="18"/>
        </w:rPr>
        <w:t>CI, confidence interval; ED, emergency department.</w:t>
      </w:r>
    </w:p>
    <w:p w:rsidR="0024255A" w:rsidRPr="00DA682F" w:rsidRDefault="0024255A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hAnsi="Arial" w:cs="Arial"/>
          <w:sz w:val="22"/>
          <w:szCs w:val="22"/>
        </w:rPr>
      </w:pPr>
    </w:p>
    <w:sectPr w:rsidR="0024255A" w:rsidRPr="00DA682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54D7" w:rsidRDefault="000954D7" w:rsidP="003F74DA">
      <w:r>
        <w:separator/>
      </w:r>
    </w:p>
  </w:endnote>
  <w:endnote w:type="continuationSeparator" w:id="0">
    <w:p w:rsidR="000954D7" w:rsidRDefault="000954D7" w:rsidP="003F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6150F110-D15C-7F42-BF12-7336BE2DB25B}"/>
    <w:embedBold r:id="rId2" w:fontKey="{9022D911-37B3-0D40-B10A-3D8E9302573D}"/>
    <w:embedItalic r:id="rId3" w:fontKey="{0D64D040-6576-1447-B4D5-8CB0BA0E0D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438F9D1-363C-354F-B4CE-397DD30EB2BF}"/>
    <w:embedItalic r:id="rId5" w:fontKey="{9A785962-1534-CB43-AFC2-B75CF264571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147DC3A-AEAB-5241-9840-4E94400F988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FAFB6AF9-A228-8C4C-A3F0-7151B471D7EC}"/>
    <w:embedBold r:id="rId8" w:fontKey="{6168C7F4-05ED-374A-A54D-F561FC92BD63}"/>
    <w:embedItalic r:id="rId9" w:fontKey="{F653E6CE-1A9D-6440-88BC-2BB4C3F05B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B4EB781-FBF1-CA49-9755-FAE5370183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54D7" w:rsidRDefault="000954D7" w:rsidP="003F74DA">
      <w:r>
        <w:separator/>
      </w:r>
    </w:p>
  </w:footnote>
  <w:footnote w:type="continuationSeparator" w:id="0">
    <w:p w:rsidR="000954D7" w:rsidRDefault="000954D7" w:rsidP="003F7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55A"/>
    <w:rsid w:val="000954D7"/>
    <w:rsid w:val="00114427"/>
    <w:rsid w:val="0024255A"/>
    <w:rsid w:val="002E2A74"/>
    <w:rsid w:val="00347277"/>
    <w:rsid w:val="003D4506"/>
    <w:rsid w:val="003F74DA"/>
    <w:rsid w:val="006A21E1"/>
    <w:rsid w:val="006C2062"/>
    <w:rsid w:val="00766C53"/>
    <w:rsid w:val="007D3753"/>
    <w:rsid w:val="00BE3EDA"/>
    <w:rsid w:val="00DA682F"/>
    <w:rsid w:val="00E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7E4796"/>
  <w15:docId w15:val="{3CFCD149-E666-8F48-A983-3A518D92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  <w:tcPr>
      <w:shd w:val="clear" w:color="auto" w:fill="FCFCFC"/>
    </w:tcPr>
  </w:style>
  <w:style w:type="table" w:customStyle="1" w:styleId="a6">
    <w:basedOn w:val="TableNormal0"/>
    <w:tblPr>
      <w:tblStyleRowBandSize w:val="1"/>
      <w:tblStyleColBandSize w:val="1"/>
    </w:tblPr>
    <w:tcPr>
      <w:shd w:val="clear" w:color="auto" w:fill="FCFCFC"/>
    </w:tcPr>
  </w:style>
  <w:style w:type="paragraph" w:styleId="Header">
    <w:name w:val="header"/>
    <w:basedOn w:val="Normal"/>
    <w:link w:val="HeaderChar"/>
    <w:uiPriority w:val="99"/>
    <w:unhideWhenUsed/>
    <w:rsid w:val="003F7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4DA"/>
  </w:style>
  <w:style w:type="paragraph" w:styleId="Footer">
    <w:name w:val="footer"/>
    <w:basedOn w:val="Normal"/>
    <w:link w:val="FooterChar"/>
    <w:uiPriority w:val="99"/>
    <w:unhideWhenUsed/>
    <w:rsid w:val="003F7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1TeFPCGceWtO0zhI6fSt/sibw==">CgMxLjA4AHIhMUlKaml4TTJpRmpjT2JpSkg1QTI3dVJ6aUhDdWxia3JK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Katie Brind'Amour</cp:lastModifiedBy>
  <cp:revision>2</cp:revision>
  <dcterms:created xsi:type="dcterms:W3CDTF">2026-06-23T20:12:00Z</dcterms:created>
  <dcterms:modified xsi:type="dcterms:W3CDTF">2026-06-23T20:12:00Z</dcterms:modified>
</cp:coreProperties>
</file>