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ind w:right="0"/>
        <w:jc w:val="center"/>
        <w:rPr>
          <w:rFonts w:ascii="Arial" w:cs="Arial" w:eastAsia="Arial" w:hAnsi="Arial"/>
        </w:rPr>
      </w:pPr>
      <w:r w:rsidDel="00000000" w:rsidR="00000000" w:rsidRPr="00000000">
        <w:rPr>
          <w:rFonts w:ascii="Arial" w:cs="Arial" w:eastAsia="Arial" w:hAnsi="Arial"/>
          <w:b w:val="1"/>
          <w:bCs w:val="1"/>
          <w:shd w:fill="auto" w:val="clear"/>
          <w:rtl w:val="0"/>
        </w:rPr>
        <w:t xml:space="preserve">Supplementary Methods</w:t>
      </w:r>
      <w:r w:rsidDel="00000000" w:rsidR="00000000" w:rsidRPr="00000000">
        <w:rPr>
          <w:rtl w:val="0"/>
        </w:rPr>
      </w:r>
    </w:p>
    <w:p w:rsidR="00000000" w:rsidDel="00000000" w:rsidP="00000000" w:rsidRDefault="00000000" w:rsidRPr="00000000" w14:paraId="00000002">
      <w:pPr>
        <w:pStyle w:val="Heading2"/>
        <w:rPr/>
      </w:pPr>
      <w:bookmarkStart w:colFirst="0" w:colLast="0" w:name="_b2hx5ics8dcy" w:id="0"/>
      <w:bookmarkEnd w:id="0"/>
      <w:r w:rsidDel="00000000" w:rsidR="00000000" w:rsidRPr="00000000">
        <w:rPr>
          <w:rtl w:val="0"/>
        </w:rPr>
      </w:r>
    </w:p>
    <w:p w:rsidR="00000000" w:rsidDel="00000000" w:rsidP="00000000" w:rsidRDefault="00000000" w:rsidRPr="00000000" w14:paraId="00000003">
      <w:pPr>
        <w:pStyle w:val="Heading2"/>
        <w:rPr/>
      </w:pPr>
      <w:bookmarkStart w:colFirst="0" w:colLast="0" w:name="_aprcvlt5y3wq" w:id="1"/>
      <w:bookmarkEnd w:id="1"/>
      <w:r w:rsidDel="00000000" w:rsidR="00000000" w:rsidRPr="00000000">
        <w:rPr>
          <w:rtl w:val="0"/>
        </w:rPr>
        <w:t xml:space="preserve">1. MDS-UPDRS subscore calculations</w:t>
      </w:r>
    </w:p>
    <w:tbl>
      <w:tblPr>
        <w:tblStyle w:val="Table1"/>
        <w:tblW w:w="97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80"/>
        <w:gridCol w:w="6105"/>
        <w:gridCol w:w="1320"/>
        <w:tblGridChange w:id="0">
          <w:tblGrid>
            <w:gridCol w:w="2280"/>
            <w:gridCol w:w="6105"/>
            <w:gridCol w:w="132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hd w:fill="auto" w:val="clear"/>
              </w:rPr>
            </w:pPr>
            <w:r w:rsidDel="00000000" w:rsidR="00000000" w:rsidRPr="00000000">
              <w:rPr>
                <w:rFonts w:ascii="Arial" w:cs="Arial" w:eastAsia="Arial" w:hAnsi="Arial"/>
                <w:b w:val="1"/>
                <w:bCs w:val="1"/>
                <w:shd w:fill="auto" w:val="clear"/>
                <w:rtl w:val="0"/>
              </w:rPr>
              <w:t xml:space="preserve">Subscore</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shd w:fill="auto" w:val="clear"/>
              </w:rPr>
            </w:pPr>
            <w:r w:rsidDel="00000000" w:rsidR="00000000" w:rsidRPr="00000000">
              <w:rPr>
                <w:rFonts w:ascii="Arial" w:cs="Arial" w:eastAsia="Arial" w:hAnsi="Arial"/>
                <w:b w:val="1"/>
                <w:bCs w:val="1"/>
                <w:shd w:fill="auto" w:val="clear"/>
                <w:rtl w:val="0"/>
              </w:rPr>
              <w:t xml:space="preserve">MDS-UPDRS II and III item number</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shd w:fill="auto" w:val="clear"/>
              </w:rPr>
            </w:pPr>
            <w:r w:rsidDel="00000000" w:rsidR="00000000" w:rsidRPr="00000000">
              <w:rPr>
                <w:rFonts w:ascii="Arial" w:cs="Arial" w:eastAsia="Arial" w:hAnsi="Arial"/>
                <w:b w:val="1"/>
                <w:bCs w:val="1"/>
                <w:shd w:fill="auto" w:val="clear"/>
                <w:rtl w:val="0"/>
              </w:rPr>
              <w:t xml:space="preserve">Maximum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Speech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2.1 + 3.1</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Tremor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ind w:right="0"/>
              <w:jc w:val="center"/>
              <w:rPr>
                <w:rFonts w:ascii="Arial" w:cs="Arial" w:eastAsia="Arial" w:hAnsi="Arial"/>
              </w:rPr>
            </w:pPr>
            <w:r w:rsidDel="00000000" w:rsidR="00000000" w:rsidRPr="00000000">
              <w:rPr>
                <w:rFonts w:ascii="Arial" w:cs="Arial" w:eastAsia="Arial" w:hAnsi="Arial"/>
                <w:rtl w:val="0"/>
              </w:rPr>
              <w:t xml:space="preserve">3.15 (2 items) + 3.16 (2 items) + 3.17 (4 items) + 3.18 (1 item)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ind w:right="0"/>
              <w:jc w:val="center"/>
              <w:rPr>
                <w:rFonts w:ascii="Arial" w:cs="Arial" w:eastAsia="Arial" w:hAnsi="Arial"/>
              </w:rPr>
            </w:pPr>
            <w:r w:rsidDel="00000000" w:rsidR="00000000" w:rsidRPr="00000000">
              <w:rPr>
                <w:rFonts w:ascii="Arial" w:cs="Arial" w:eastAsia="Arial" w:hAnsi="Arial"/>
                <w:rtl w:val="0"/>
              </w:rPr>
              <w:t xml:space="preserve">44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Gait and Postural Stability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2.12 + 2.13 + 3.9 + 3.10 + 3.11 + 3.12 + 3.13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28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Bradykinesia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3.4 (2 items) + 3.5 (2 items) + 3.6 (2 items) + 3.7 (2 items) + 3.8 (2 items) + 3.14 (1 item)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44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Rigidity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3.3 (5 items)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Tremor score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(TD classification)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Mean score: 2.10 + 3.15 (2 items) + 3.16 (2 items) + 3.17 (5 items, including lip/jaw) + 3.18 (1 item)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Postural instability gait dysfunction (PIGD classification)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ind w:right="0"/>
              <w:jc w:val="center"/>
              <w:rPr>
                <w:rFonts w:ascii="Arial" w:cs="Arial" w:eastAsia="Arial" w:hAnsi="Arial"/>
              </w:rPr>
            </w:pPr>
            <w:r w:rsidDel="00000000" w:rsidR="00000000" w:rsidRPr="00000000">
              <w:rPr>
                <w:rFonts w:ascii="Arial" w:cs="Arial" w:eastAsia="Arial" w:hAnsi="Arial"/>
                <w:rtl w:val="0"/>
              </w:rPr>
              <w:t xml:space="preserve">Mean score: 2.12 + 2.13 + 3.10 + 3.11 + 3.12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4</w:t>
            </w:r>
          </w:p>
        </w:tc>
      </w:tr>
    </w:tbl>
    <w:p w:rsidR="00000000" w:rsidDel="00000000" w:rsidP="00000000" w:rsidRDefault="00000000" w:rsidRPr="00000000" w14:paraId="0000001D">
      <w:pPr>
        <w:rPr>
          <w:rFonts w:ascii="Arial" w:cs="Arial" w:eastAsia="Arial" w:hAnsi="Arial"/>
          <w:shd w:fill="auto" w:val="clear"/>
        </w:rPr>
      </w:pPr>
      <w:r w:rsidDel="00000000" w:rsidR="00000000" w:rsidRPr="00000000">
        <w:rPr>
          <w:rFonts w:ascii="Arial" w:cs="Arial" w:eastAsia="Arial" w:hAnsi="Arial"/>
          <w:b w:val="1"/>
          <w:bCs w:val="1"/>
          <w:shd w:fill="auto" w:val="clear"/>
          <w:rtl w:val="0"/>
        </w:rPr>
        <w:t xml:space="preserve">Classification based on TD/PIGD ratio: </w:t>
      </w:r>
      <w:r w:rsidDel="00000000" w:rsidR="00000000" w:rsidRPr="00000000">
        <w:rPr>
          <w:rFonts w:ascii="Arial" w:cs="Arial" w:eastAsia="Arial" w:hAnsi="Arial"/>
          <w:shd w:fill="auto" w:val="clear"/>
          <w:rtl w:val="0"/>
        </w:rPr>
        <w:t xml:space="preserve">TD = &gt; 1.15 | PIGD &lt; 0.90 | Indeterminate: Between 0.90 and 1.15 | </w:t>
      </w:r>
      <w:r w:rsidDel="00000000" w:rsidR="00000000" w:rsidRPr="00000000">
        <w:rPr>
          <w:rFonts w:ascii="Arial" w:cs="Arial" w:eastAsia="Arial" w:hAnsi="Arial"/>
          <w:b w:val="1"/>
          <w:bCs w:val="1"/>
          <w:shd w:fill="auto" w:val="clear"/>
          <w:rtl w:val="0"/>
        </w:rPr>
        <w:t xml:space="preserve">Special rule 1:</w:t>
      </w:r>
      <w:r w:rsidDel="00000000" w:rsidR="00000000" w:rsidRPr="00000000">
        <w:rPr>
          <w:rFonts w:ascii="Arial" w:cs="Arial" w:eastAsia="Arial" w:hAnsi="Arial"/>
          <w:shd w:fill="auto" w:val="clear"/>
          <w:rtl w:val="0"/>
        </w:rPr>
        <w:t xml:space="preserve"> Tremor mean &gt; 0 and PIGD mean = 0 ---&gt; classify as TD | </w:t>
      </w:r>
      <w:r w:rsidDel="00000000" w:rsidR="00000000" w:rsidRPr="00000000">
        <w:rPr>
          <w:rFonts w:ascii="Arial" w:cs="Arial" w:eastAsia="Arial" w:hAnsi="Arial"/>
          <w:b w:val="1"/>
          <w:bCs w:val="1"/>
          <w:shd w:fill="auto" w:val="clear"/>
          <w:rtl w:val="0"/>
        </w:rPr>
        <w:t xml:space="preserve">Special rule 2:</w:t>
      </w:r>
      <w:r w:rsidDel="00000000" w:rsidR="00000000" w:rsidRPr="00000000">
        <w:rPr>
          <w:rFonts w:ascii="Arial" w:cs="Arial" w:eastAsia="Arial" w:hAnsi="Arial"/>
          <w:shd w:fill="auto" w:val="clear"/>
          <w:rtl w:val="0"/>
        </w:rPr>
        <w:t xml:space="preserve"> Tremor mean = 0 and PIGD mean &gt; 0 ---&gt; Classify as PIGD | </w:t>
      </w:r>
      <w:r w:rsidDel="00000000" w:rsidR="00000000" w:rsidRPr="00000000">
        <w:rPr>
          <w:rFonts w:ascii="Arial" w:cs="Arial" w:eastAsia="Arial" w:hAnsi="Arial"/>
          <w:b w:val="1"/>
          <w:bCs w:val="1"/>
          <w:shd w:fill="auto" w:val="clear"/>
          <w:rtl w:val="0"/>
        </w:rPr>
        <w:t xml:space="preserve">Special rule 3:</w:t>
      </w:r>
      <w:r w:rsidDel="00000000" w:rsidR="00000000" w:rsidRPr="00000000">
        <w:rPr>
          <w:rFonts w:ascii="Arial" w:cs="Arial" w:eastAsia="Arial" w:hAnsi="Arial"/>
          <w:shd w:fill="auto" w:val="clear"/>
          <w:rtl w:val="0"/>
        </w:rPr>
        <w:t xml:space="preserve"> Tremor mean = 0 and PIGD mean = 0 ---&gt; Classify as Indeterminate</w:t>
      </w:r>
    </w:p>
    <w:p w:rsidR="00000000" w:rsidDel="00000000" w:rsidP="00000000" w:rsidRDefault="00000000" w:rsidRPr="00000000" w14:paraId="0000001E">
      <w:pPr>
        <w:spacing w:after="240" w:before="240" w:lineRule="auto"/>
        <w:ind w:right="0"/>
        <w:rPr>
          <w:rFonts w:ascii="Arial" w:cs="Arial" w:eastAsia="Arial" w:hAnsi="Arial"/>
          <w:shd w:fill="auto" w:val="clear"/>
        </w:rPr>
      </w:pPr>
      <w:r w:rsidDel="00000000" w:rsidR="00000000" w:rsidRPr="00000000">
        <w:br w:type="page"/>
      </w:r>
      <w:r w:rsidDel="00000000" w:rsidR="00000000" w:rsidRPr="00000000">
        <w:rPr>
          <w:rtl w:val="0"/>
        </w:rPr>
      </w:r>
    </w:p>
    <w:p w:rsidR="00000000" w:rsidDel="00000000" w:rsidP="00000000" w:rsidRDefault="00000000" w:rsidRPr="00000000" w14:paraId="0000001F">
      <w:pPr>
        <w:spacing w:after="240" w:before="240" w:lineRule="auto"/>
        <w:ind w:right="0"/>
        <w:rPr>
          <w:rFonts w:ascii="Arial" w:cs="Arial" w:eastAsia="Arial" w:hAnsi="Arial"/>
          <w:b w:val="1"/>
          <w:bCs w:val="1"/>
          <w:shd w:fill="auto" w:val="clear"/>
        </w:rPr>
      </w:pPr>
      <w:r w:rsidDel="00000000" w:rsidR="00000000" w:rsidRPr="00000000">
        <w:rPr>
          <w:rFonts w:ascii="Arial" w:cs="Arial" w:eastAsia="Arial" w:hAnsi="Arial"/>
          <w:b w:val="1"/>
          <w:bCs w:val="1"/>
          <w:shd w:fill="auto" w:val="clear"/>
          <w:rtl w:val="0"/>
        </w:rPr>
        <w:t xml:space="preserve">2. Autoencoder training and triplet loss</w:t>
      </w:r>
    </w:p>
    <w:p w:rsidR="00000000" w:rsidDel="00000000" w:rsidP="00000000" w:rsidRDefault="00000000" w:rsidRPr="00000000" w14:paraId="00000020">
      <w:pPr>
        <w:spacing w:after="240" w:before="240" w:lineRule="auto"/>
        <w:ind w:right="0"/>
        <w:rPr>
          <w:rFonts w:ascii="Arial" w:cs="Arial" w:eastAsia="Arial" w:hAnsi="Arial"/>
          <w:shd w:fill="auto" w:val="clear"/>
        </w:rPr>
      </w:pPr>
      <w:r w:rsidDel="00000000" w:rsidR="00000000" w:rsidRPr="00000000">
        <w:rPr>
          <w:rFonts w:ascii="Arial" w:cs="Arial" w:eastAsia="Arial" w:hAnsi="Arial"/>
          <w:b w:val="1"/>
          <w:bCs w:val="1"/>
          <w:shd w:fill="auto" w:val="clear"/>
          <w:rtl w:val="0"/>
        </w:rPr>
        <w:t xml:space="preserve">Architecture.</w:t>
      </w:r>
      <w:r w:rsidDel="00000000" w:rsidR="00000000" w:rsidRPr="00000000">
        <w:rPr>
          <w:rFonts w:ascii="Arial" w:cs="Arial" w:eastAsia="Arial" w:hAnsi="Arial"/>
          <w:shd w:fill="auto" w:val="clear"/>
          <w:rtl w:val="0"/>
        </w:rPr>
        <w:t xml:space="preserve"> The autoencoder consisted of a fully connected encoder and a mirrored decoder. Starting from the 98-SNP input, hidden layer widths were generated by successive division by 5 with ceiling rounding, stopping before the next layer would fall below the target latent dimensionality of 5. This produced a single intermediate layer of 20 units, giving an encoder with layer widths of 98, 20, and 5. The decoder mirrored this structure in reverse. No dropout was applied.</w:t>
      </w:r>
    </w:p>
    <w:p w:rsidR="00000000" w:rsidDel="00000000" w:rsidP="00000000" w:rsidRDefault="00000000" w:rsidRPr="00000000" w14:paraId="00000021">
      <w:pPr>
        <w:spacing w:after="240" w:before="240" w:lineRule="auto"/>
        <w:ind w:right="0"/>
        <w:rPr>
          <w:rFonts w:ascii="Arial" w:cs="Arial" w:eastAsia="Arial" w:hAnsi="Arial"/>
          <w:shd w:fill="auto" w:val="clear"/>
        </w:rPr>
      </w:pPr>
      <w:r w:rsidDel="00000000" w:rsidR="00000000" w:rsidRPr="00000000">
        <w:rPr>
          <w:rFonts w:ascii="Arial" w:cs="Arial" w:eastAsia="Arial" w:hAnsi="Arial"/>
          <w:b w:val="1"/>
          <w:bCs w:val="1"/>
          <w:shd w:fill="auto" w:val="clear"/>
          <w:rtl w:val="0"/>
        </w:rPr>
        <w:t xml:space="preserve">Reconstruction loss.</w:t>
      </w:r>
      <w:r w:rsidDel="00000000" w:rsidR="00000000" w:rsidRPr="00000000">
        <w:rPr>
          <w:rFonts w:ascii="Arial" w:cs="Arial" w:eastAsia="Arial" w:hAnsi="Arial"/>
          <w:shd w:fill="auto" w:val="clear"/>
          <w:rtl w:val="0"/>
        </w:rPr>
        <w:t xml:space="preserve"> The reconstruction objective was a Beta-binomial loss. Under this formulation, each genotype value (0, 1, or 2) is modeled as the allele count from two draws, with the underlying success probability treated as random rather than fixed. The decoder predicts, for each participant and each SNP, an expected allelic proportion and a feature-specific concentration parameter. These two quantities parameterize a Beta distribution over the success probability, which is then integrated out to yield a Beta-binomial likelihood for the observed count. Compared with a standard Binomial loss, this formulation allows the effective variance of the reconstruction targets to exceed the Binomial variance, which is appropriate when allele counts across individuals show more variability than a fixed-probability model would predict. The reconstruction objective is the average negative log-likelihood of the observed genotype counts under this model.</w:t>
      </w:r>
    </w:p>
    <w:p w:rsidR="00000000" w:rsidDel="00000000" w:rsidP="00000000" w:rsidRDefault="00000000" w:rsidRPr="00000000" w14:paraId="00000022">
      <w:pPr>
        <w:spacing w:after="240" w:before="240" w:lineRule="auto"/>
        <w:ind w:right="0"/>
        <w:rPr>
          <w:rFonts w:ascii="Arial" w:cs="Arial" w:eastAsia="Arial" w:hAnsi="Arial"/>
          <w:shd w:fill="auto" w:val="clear"/>
        </w:rPr>
      </w:pPr>
      <w:r w:rsidDel="00000000" w:rsidR="00000000" w:rsidRPr="00000000">
        <w:rPr>
          <w:rFonts w:ascii="Arial" w:cs="Arial" w:eastAsia="Arial" w:hAnsi="Arial"/>
          <w:b w:val="1"/>
          <w:bCs w:val="1"/>
          <w:shd w:fill="auto" w:val="clear"/>
          <w:rtl w:val="0"/>
        </w:rPr>
        <w:t xml:space="preserve">Triplet loss and clinical supervision.</w:t>
      </w:r>
      <w:r w:rsidDel="00000000" w:rsidR="00000000" w:rsidRPr="00000000">
        <w:rPr>
          <w:rFonts w:ascii="Arial" w:cs="Arial" w:eastAsia="Arial" w:hAnsi="Arial"/>
          <w:shd w:fill="auto" w:val="clear"/>
          <w:rtl w:val="0"/>
        </w:rPr>
        <w:t xml:space="preserve"> The total training loss combined the reconstruction objective with an auxiliary triplet term. The triplet weight was fixed at 0.01, and the margin separating positive and negative pairs in the latent space was set to 1. The triplet term encourages the latent space to reflect clinical proximity: for a given anchor participant, a positive example is a participant with a similar MDS-UPDRS Part III total score, and a negative example is one with a dissimilar score.</w:t>
      </w:r>
    </w:p>
    <w:p w:rsidR="00000000" w:rsidDel="00000000" w:rsidP="00000000" w:rsidRDefault="00000000" w:rsidRPr="00000000" w14:paraId="00000023">
      <w:pPr>
        <w:spacing w:after="240" w:before="240" w:lineRule="auto"/>
        <w:ind w:right="0"/>
        <w:rPr>
          <w:rFonts w:ascii="Arial" w:cs="Arial" w:eastAsia="Arial" w:hAnsi="Arial"/>
          <w:shd w:fill="auto" w:val="clear"/>
        </w:rPr>
      </w:pPr>
      <w:r w:rsidDel="00000000" w:rsidR="00000000" w:rsidRPr="00000000">
        <w:rPr>
          <w:rFonts w:ascii="Arial" w:cs="Arial" w:eastAsia="Arial" w:hAnsi="Arial"/>
          <w:b w:val="1"/>
          <w:bCs w:val="1"/>
          <w:shd w:fill="auto" w:val="clear"/>
          <w:rtl w:val="0"/>
        </w:rPr>
        <w:t xml:space="preserve">Triplet eligibility and separation from analytic cohorts.</w:t>
      </w:r>
      <w:r w:rsidDel="00000000" w:rsidR="00000000" w:rsidRPr="00000000">
        <w:rPr>
          <w:rFonts w:ascii="Arial" w:cs="Arial" w:eastAsia="Arial" w:hAnsi="Arial"/>
          <w:shd w:fill="auto" w:val="clear"/>
          <w:rtl w:val="0"/>
        </w:rPr>
        <w:t xml:space="preserve"> Triplets were constructed exclusively from participants in the autoencoder training set — those who had WGS data but did not meet the full analytic inclusion criteria and were therefore absent from both the discovery and validation cohorts. Within this training set, the 71 participants eligible for triplet construction were those with baseline UPDRS-III data and 3 to 5 years of disease duration at assessment. This window was chosen to match the clinical horizon of the downstream analysis: the discovery and validation cohorts were enrolled within 2 years of diagnosis, and the primary outcome was assessed at year 3. The triplet-eligible subset, therefore, spans a disease stage slightly beyond the analytic cohorts' enrollment window, making their clinical scores informative about the progression period of interest without creating any overlap with the patients used for subtype discovery or validation.</w:t>
      </w:r>
    </w:p>
    <w:p w:rsidR="00000000" w:rsidDel="00000000" w:rsidP="00000000" w:rsidRDefault="00000000" w:rsidRPr="00000000" w14:paraId="00000024">
      <w:pPr>
        <w:spacing w:after="240" w:before="240" w:lineRule="auto"/>
        <w:ind w:right="0"/>
        <w:rPr>
          <w:rFonts w:ascii="Arial" w:cs="Arial" w:eastAsia="Arial" w:hAnsi="Arial"/>
          <w:shd w:fill="auto" w:val="clear"/>
        </w:rPr>
      </w:pPr>
      <w:r w:rsidDel="00000000" w:rsidR="00000000" w:rsidRPr="00000000">
        <w:rPr>
          <w:rFonts w:ascii="Arial" w:cs="Arial" w:eastAsia="Arial" w:hAnsi="Arial"/>
          <w:shd w:fill="auto" w:val="clear"/>
          <w:rtl w:val="0"/>
        </w:rPr>
        <w:t xml:space="preserve">Because the 71 triplet-eligible participants share no subjects with the discovery or validation cohorts, using their UPDRS-III scores to guide latent space organization does not constitute information leakage. The autoencoder learns a genomic representation from training-set data alone, and the validation cohort is held out from all model fitting. Importantly, once training is complete, only SNP data are required to obtain the compressed representation — no clinical data are needed at inference time.</w:t>
      </w:r>
    </w:p>
    <w:p w:rsidR="00000000" w:rsidDel="00000000" w:rsidP="00000000" w:rsidRDefault="00000000" w:rsidRPr="00000000" w14:paraId="00000025">
      <w:pPr>
        <w:spacing w:after="240" w:before="240" w:lineRule="auto"/>
        <w:ind w:right="0"/>
        <w:rPr>
          <w:rFonts w:ascii="Arial" w:cs="Arial" w:eastAsia="Arial" w:hAnsi="Arial"/>
          <w:shd w:fill="auto" w:val="clear"/>
        </w:rPr>
      </w:pPr>
      <w:r w:rsidDel="00000000" w:rsidR="00000000" w:rsidRPr="00000000">
        <w:rPr>
          <w:rFonts w:ascii="Arial" w:cs="Arial" w:eastAsia="Arial" w:hAnsi="Arial"/>
          <w:b w:val="1"/>
          <w:bCs w:val="1"/>
          <w:shd w:fill="auto" w:val="clear"/>
          <w:rtl w:val="0"/>
        </w:rPr>
        <w:t xml:space="preserve">Training protocol.</w:t>
      </w:r>
      <w:r w:rsidDel="00000000" w:rsidR="00000000" w:rsidRPr="00000000">
        <w:rPr>
          <w:rFonts w:ascii="Arial" w:cs="Arial" w:eastAsia="Arial" w:hAnsi="Arial"/>
          <w:shd w:fill="auto" w:val="clear"/>
          <w:rtl w:val="0"/>
        </w:rPr>
        <w:t xml:space="preserve"> The autoencoder was optimized with the Adam optimizer (learning rate 0.001, weight decay 0.00001) for up to 10,000 epochs with a batch size of 100. A learning rate scheduler halved the learning rate when validation loss failed to improve for 10 consecutive epochs. Early stopping was applied with a patience of 45 epochs and monitored on the validation loss. The triplet weight was linearly warmed up over the first 3 epochs and then held constant at 0.01 for the remainder of training, to prevent the triplet term from destabilizing the early reconstruction objective. The validation set used for scheduling and early stopping was drawn from the discovery cohort; because it was used only to monitor convergence and not to update weights or select subtype solutions, this does not affect cohort separation.</w:t>
      </w:r>
    </w:p>
    <w:p w:rsidR="00000000" w:rsidDel="00000000" w:rsidP="00000000" w:rsidRDefault="00000000" w:rsidRPr="00000000" w14:paraId="00000026">
      <w:pPr>
        <w:spacing w:after="240" w:before="240" w:lineRule="auto"/>
        <w:ind w:right="0"/>
        <w:rPr>
          <w:rFonts w:ascii="Arial" w:cs="Arial" w:eastAsia="Arial" w:hAnsi="Arial"/>
          <w:shd w:fill="auto" w:val="clear"/>
        </w:rPr>
      </w:pPr>
      <w:r w:rsidDel="00000000" w:rsidR="00000000" w:rsidRPr="00000000">
        <w:rPr>
          <w:rFonts w:ascii="Arial" w:cs="Arial" w:eastAsia="Arial" w:hAnsi="Arial"/>
          <w:b w:val="1"/>
          <w:bCs w:val="1"/>
          <w:shd w:fill="auto" w:val="clear"/>
          <w:rtl w:val="0"/>
        </w:rPr>
        <w:t xml:space="preserve">Cluster assignment.</w:t>
      </w:r>
      <w:r w:rsidDel="00000000" w:rsidR="00000000" w:rsidRPr="00000000">
        <w:rPr>
          <w:rFonts w:ascii="Arial" w:cs="Arial" w:eastAsia="Arial" w:hAnsi="Arial"/>
          <w:shd w:fill="auto" w:val="clear"/>
          <w:rtl w:val="0"/>
        </w:rPr>
        <w:t xml:space="preserve"> After training, the encoder was applied to the discovery cohort to obtain latent representations, which were clustered using a Gaussian Mixture Model with full covariance and a convergence tolerance of 0.001. The fitted encoder and GMM were frozen and applied without modification to the validation cohort for out-of-sample subtype assignment.</w:t>
      </w:r>
    </w:p>
    <w:p w:rsidR="00000000" w:rsidDel="00000000" w:rsidP="00000000" w:rsidRDefault="00000000" w:rsidRPr="00000000" w14:paraId="00000027">
      <w:pPr>
        <w:spacing w:after="240" w:before="240" w:lineRule="auto"/>
        <w:ind w:right="0"/>
        <w:rPr>
          <w:rFonts w:ascii="Arial" w:cs="Arial" w:eastAsia="Arial" w:hAnsi="Arial"/>
          <w:b w:val="1"/>
          <w:bCs w:val="1"/>
          <w:shd w:fill="auto" w:val="clear"/>
        </w:rPr>
      </w:pPr>
      <w:r w:rsidDel="00000000" w:rsidR="00000000" w:rsidRPr="00000000">
        <w:rPr>
          <w:rtl w:val="0"/>
        </w:rPr>
      </w:r>
    </w:p>
    <w:p w:rsidR="00000000" w:rsidDel="00000000" w:rsidP="00000000" w:rsidRDefault="00000000" w:rsidRPr="00000000" w14:paraId="00000028">
      <w:pPr>
        <w:spacing w:after="240" w:before="240" w:lineRule="auto"/>
        <w:ind w:right="0"/>
        <w:rPr>
          <w:rFonts w:ascii="Arial" w:cs="Arial" w:eastAsia="Arial" w:hAnsi="Arial"/>
          <w:b w:val="1"/>
          <w:bCs w:val="1"/>
          <w:shd w:fill="auto" w:val="clear"/>
        </w:rPr>
      </w:pPr>
      <w:r w:rsidDel="00000000" w:rsidR="00000000" w:rsidRPr="00000000">
        <w:rPr>
          <w:rtl w:val="0"/>
        </w:rPr>
      </w:r>
    </w:p>
    <w:p w:rsidR="00000000" w:rsidDel="00000000" w:rsidP="00000000" w:rsidRDefault="00000000" w:rsidRPr="00000000" w14:paraId="00000029">
      <w:pPr>
        <w:rPr>
          <w:rFonts w:ascii="Arial" w:cs="Arial" w:eastAsia="Arial" w:hAnsi="Arial"/>
          <w:shd w:fill="auto" w:val="clea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highlight w:val="white"/>
        <w:lang w:val="en"/>
      </w:rPr>
    </w:rPrDefault>
    <w:pPrDefault>
      <w:pPr>
        <w:spacing w:line="276" w:lineRule="auto"/>
        <w:ind w:right="60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line="360" w:lineRule="auto"/>
      <w:ind w:right="0"/>
    </w:pPr>
    <w:rPr>
      <w:rFonts w:ascii="Arial" w:cs="Arial" w:eastAsia="Arial" w:hAnsi="Arial"/>
      <w:b w:val="1"/>
      <w:bCs w:val="1"/>
      <w:sz w:val="28"/>
      <w:szCs w:val="28"/>
      <w:shd w:fill="auto" w:val="clear"/>
    </w:rPr>
  </w:style>
  <w:style w:type="paragraph" w:styleId="Heading2">
    <w:name w:val="heading 2"/>
    <w:basedOn w:val="Normal"/>
    <w:next w:val="Normal"/>
    <w:pPr>
      <w:keepNext w:val="1"/>
      <w:keepLines w:val="1"/>
      <w:spacing w:line="360" w:lineRule="auto"/>
      <w:ind w:right="0"/>
    </w:pPr>
    <w:rPr>
      <w:rFonts w:ascii="Arial" w:cs="Arial" w:eastAsia="Arial" w:hAnsi="Arial"/>
      <w:b w:val="1"/>
      <w:bCs w:val="1"/>
      <w:shd w:fill="auto" w:val="clear"/>
    </w:rPr>
  </w:style>
  <w:style w:type="paragraph" w:styleId="Heading3">
    <w:name w:val="heading 3"/>
    <w:basedOn w:val="Normal"/>
    <w:next w:val="Normal"/>
    <w:pPr>
      <w:keepNext w:val="1"/>
      <w:keepLines w:val="1"/>
      <w:pageBreakBefore w:val="0"/>
    </w:pPr>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spacing w:after="0" w:lineRule="auto"/>
      <w:ind w:firstLine="0"/>
    </w:pPr>
    <w:rPr>
      <w:b w:val="1"/>
      <w:bCs w:val="1"/>
      <w:sz w:val="32"/>
      <w:szCs w:val="3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