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480BD0" w14:textId="77C19114" w:rsidR="005D5490" w:rsidRDefault="005D5490" w:rsidP="005D5490">
      <w:pPr>
        <w:pStyle w:val="Listenabsatz"/>
        <w:ind w:left="0"/>
        <w:jc w:val="center"/>
        <w:rPr>
          <w:b/>
          <w:sz w:val="28"/>
          <w:szCs w:val="28"/>
          <w:lang w:eastAsia="ja-JP"/>
        </w:rPr>
      </w:pPr>
      <w:r>
        <w:rPr>
          <w:b/>
          <w:sz w:val="28"/>
          <w:szCs w:val="28"/>
          <w:lang w:eastAsia="ja-JP"/>
        </w:rPr>
        <w:t>Suppleme</w:t>
      </w:r>
      <w:r w:rsidR="004D636A">
        <w:rPr>
          <w:b/>
          <w:sz w:val="28"/>
          <w:szCs w:val="28"/>
          <w:lang w:eastAsia="ja-JP"/>
        </w:rPr>
        <w:t>n</w:t>
      </w:r>
      <w:r>
        <w:rPr>
          <w:b/>
          <w:sz w:val="28"/>
          <w:szCs w:val="28"/>
          <w:lang w:eastAsia="ja-JP"/>
        </w:rPr>
        <w:t>tary Information</w:t>
      </w:r>
    </w:p>
    <w:p w14:paraId="57E7AABE" w14:textId="77777777" w:rsidR="004D636A" w:rsidRDefault="004D636A" w:rsidP="005D5490">
      <w:pPr>
        <w:pStyle w:val="Listenabsatz"/>
        <w:ind w:left="0"/>
        <w:jc w:val="center"/>
        <w:rPr>
          <w:b/>
          <w:sz w:val="28"/>
          <w:szCs w:val="28"/>
          <w:lang w:eastAsia="ja-JP"/>
        </w:rPr>
      </w:pPr>
    </w:p>
    <w:p w14:paraId="6CB3B8DA" w14:textId="77777777" w:rsidR="003F11CD" w:rsidRDefault="003F11CD" w:rsidP="003F11CD">
      <w:pPr>
        <w:pStyle w:val="Listenabsatz"/>
        <w:ind w:left="0"/>
        <w:rPr>
          <w:b/>
          <w:sz w:val="28"/>
          <w:szCs w:val="28"/>
          <w:lang w:eastAsia="ja-JP"/>
        </w:rPr>
      </w:pPr>
      <w:r>
        <w:rPr>
          <w:b/>
          <w:sz w:val="28"/>
          <w:szCs w:val="28"/>
          <w:lang w:eastAsia="ja-JP"/>
        </w:rPr>
        <w:t xml:space="preserve">Microplastics as carrier </w:t>
      </w:r>
      <w:r w:rsidRPr="00F33B13">
        <w:rPr>
          <w:b/>
          <w:sz w:val="28"/>
          <w:szCs w:val="28"/>
          <w:lang w:eastAsia="ja-JP"/>
        </w:rPr>
        <w:t>for p</w:t>
      </w:r>
      <w:r>
        <w:rPr>
          <w:b/>
          <w:sz w:val="28"/>
          <w:szCs w:val="28"/>
          <w:lang w:eastAsia="ja-JP"/>
        </w:rPr>
        <w:t>olycyclic aromatic hydrocarbons?</w:t>
      </w:r>
      <w:r w:rsidRPr="00F33B13">
        <w:rPr>
          <w:b/>
          <w:sz w:val="28"/>
          <w:szCs w:val="28"/>
          <w:lang w:eastAsia="ja-JP"/>
        </w:rPr>
        <w:t xml:space="preserve"> </w:t>
      </w:r>
      <w:r>
        <w:rPr>
          <w:b/>
          <w:sz w:val="28"/>
          <w:szCs w:val="28"/>
          <w:lang w:eastAsia="ja-JP"/>
        </w:rPr>
        <w:t>A case study investigating the relevance of the carrier effect for human health.</w:t>
      </w:r>
    </w:p>
    <w:p w14:paraId="49F63423" w14:textId="77777777" w:rsidR="00F70570" w:rsidRPr="00717C8F" w:rsidRDefault="00F70570" w:rsidP="00F70570">
      <w:pPr>
        <w:pStyle w:val="Listenabsatz"/>
        <w:ind w:left="0"/>
        <w:rPr>
          <w:b/>
          <w:sz w:val="28"/>
          <w:szCs w:val="28"/>
          <w:lang w:eastAsia="ja-JP"/>
        </w:rPr>
      </w:pPr>
    </w:p>
    <w:p w14:paraId="6D97F8CD" w14:textId="77777777" w:rsidR="00CF06D5" w:rsidRPr="002E3CAD" w:rsidRDefault="00CF06D5" w:rsidP="00CF06D5">
      <w:pPr>
        <w:rPr>
          <w:lang w:eastAsia="ja-JP"/>
        </w:rPr>
      </w:pPr>
      <w:bookmarkStart w:id="0" w:name="_Hlk210461903"/>
      <w:r w:rsidRPr="002E3CAD">
        <w:rPr>
          <w:lang w:eastAsia="ja-JP"/>
        </w:rPr>
        <w:t>Amelie Vogel</w:t>
      </w:r>
      <w:r w:rsidRPr="002E3CAD">
        <w:rPr>
          <w:vertAlign w:val="superscript"/>
          <w:lang w:eastAsia="ja-JP"/>
        </w:rPr>
        <w:t>a,b</w:t>
      </w:r>
      <w:r w:rsidRPr="002E3CAD">
        <w:rPr>
          <w:lang w:eastAsia="ja-JP"/>
        </w:rPr>
        <w:t>, Lauren Green</w:t>
      </w:r>
      <w:r w:rsidRPr="002E3CAD">
        <w:rPr>
          <w:vertAlign w:val="superscript"/>
          <w:lang w:eastAsia="ja-JP"/>
        </w:rPr>
        <w:t>a</w:t>
      </w:r>
      <w:r w:rsidRPr="002E3CAD">
        <w:rPr>
          <w:lang w:eastAsia="ja-JP"/>
        </w:rPr>
        <w:t>, Martin Wiemann</w:t>
      </w:r>
      <w:r w:rsidRPr="002E3CAD">
        <w:rPr>
          <w:vertAlign w:val="superscript"/>
          <w:lang w:eastAsia="ja-JP"/>
        </w:rPr>
        <w:t>c</w:t>
      </w:r>
      <w:r w:rsidRPr="002E3CAD">
        <w:rPr>
          <w:lang w:eastAsia="ja-JP"/>
        </w:rPr>
        <w:t>, Alexander Roloff</w:t>
      </w:r>
      <w:r w:rsidRPr="002E3CAD">
        <w:rPr>
          <w:vertAlign w:val="superscript"/>
          <w:lang w:eastAsia="ja-JP"/>
        </w:rPr>
        <w:t>a</w:t>
      </w:r>
      <w:bookmarkStart w:id="1" w:name="_Hlk210461870"/>
      <w:r w:rsidRPr="002E3CAD">
        <w:rPr>
          <w:lang w:eastAsia="ja-JP"/>
        </w:rPr>
        <w:t>, Mario Pink</w:t>
      </w:r>
      <w:r w:rsidRPr="002E3CAD">
        <w:rPr>
          <w:vertAlign w:val="superscript"/>
          <w:lang w:eastAsia="ja-JP"/>
        </w:rPr>
        <w:t>a</w:t>
      </w:r>
      <w:bookmarkEnd w:id="1"/>
      <w:r w:rsidRPr="002E3CAD">
        <w:rPr>
          <w:lang w:eastAsia="ja-JP"/>
        </w:rPr>
        <w:t>, Holger Sieg</w:t>
      </w:r>
      <w:r w:rsidRPr="002E3CAD">
        <w:rPr>
          <w:vertAlign w:val="superscript"/>
          <w:lang w:eastAsia="ja-JP"/>
        </w:rPr>
        <w:t>d</w:t>
      </w:r>
      <w:r w:rsidRPr="002E3CAD">
        <w:rPr>
          <w:vertAlign w:val="subscript"/>
          <w:lang w:eastAsia="ja-JP"/>
        </w:rPr>
        <w:t>,</w:t>
      </w:r>
      <w:r w:rsidRPr="002E3CAD">
        <w:rPr>
          <w:lang w:eastAsia="ja-JP"/>
        </w:rPr>
        <w:t xml:space="preserve"> Wendel Wohlleben</w:t>
      </w:r>
      <w:r w:rsidRPr="002E3CAD">
        <w:rPr>
          <w:vertAlign w:val="superscript"/>
          <w:lang w:eastAsia="ja-JP"/>
        </w:rPr>
        <w:t>e,f</w:t>
      </w:r>
      <w:r w:rsidRPr="002E3CAD">
        <w:rPr>
          <w:lang w:eastAsia="ja-JP"/>
        </w:rPr>
        <w:t>, Andrea Haase</w:t>
      </w:r>
      <w:r w:rsidRPr="002E3CAD">
        <w:rPr>
          <w:vertAlign w:val="superscript"/>
          <w:lang w:eastAsia="ja-JP"/>
        </w:rPr>
        <w:t>a,g,h</w:t>
      </w:r>
      <w:r w:rsidRPr="002E3CAD">
        <w:rPr>
          <w:lang w:eastAsia="ja-JP"/>
        </w:rPr>
        <w:t xml:space="preserve"> </w:t>
      </w:r>
    </w:p>
    <w:p w14:paraId="7A30BEEA" w14:textId="77777777" w:rsidR="00CF06D5" w:rsidRPr="002E3CAD" w:rsidRDefault="00CF06D5" w:rsidP="00CF06D5">
      <w:pPr>
        <w:rPr>
          <w:sz w:val="20"/>
          <w:szCs w:val="20"/>
          <w:lang w:eastAsia="ja-JP"/>
        </w:rPr>
      </w:pPr>
    </w:p>
    <w:p w14:paraId="3B190D2C" w14:textId="77777777" w:rsidR="00CF06D5" w:rsidRDefault="00CF06D5" w:rsidP="00CF06D5">
      <w:pPr>
        <w:rPr>
          <w:sz w:val="20"/>
          <w:szCs w:val="20"/>
        </w:rPr>
      </w:pPr>
      <w:r>
        <w:rPr>
          <w:sz w:val="20"/>
          <w:szCs w:val="20"/>
          <w:vertAlign w:val="superscript"/>
        </w:rPr>
        <w:t>a</w:t>
      </w:r>
      <w:r>
        <w:rPr>
          <w:sz w:val="20"/>
          <w:szCs w:val="20"/>
        </w:rPr>
        <w:t>German Federal Institute for Risk Assessment, Department of Chemical and Product Safety, Berlin, Germany</w:t>
      </w:r>
    </w:p>
    <w:p w14:paraId="4B1B15B1" w14:textId="77777777" w:rsidR="00CF06D5" w:rsidRDefault="00CF06D5" w:rsidP="00CF06D5">
      <w:pPr>
        <w:rPr>
          <w:sz w:val="20"/>
          <w:szCs w:val="20"/>
        </w:rPr>
      </w:pPr>
      <w:r>
        <w:rPr>
          <w:sz w:val="20"/>
          <w:szCs w:val="20"/>
          <w:vertAlign w:val="superscript"/>
        </w:rPr>
        <w:t>b</w:t>
      </w:r>
      <w:r>
        <w:rPr>
          <w:sz w:val="20"/>
          <w:szCs w:val="20"/>
        </w:rPr>
        <w:t>Technische Universität Berlin, Food Chemistry and Toxicology, Berlin, Germany</w:t>
      </w:r>
    </w:p>
    <w:p w14:paraId="691C16CB" w14:textId="77777777" w:rsidR="00CF06D5" w:rsidRDefault="00CF06D5" w:rsidP="00CF06D5">
      <w:pPr>
        <w:rPr>
          <w:sz w:val="20"/>
          <w:szCs w:val="20"/>
          <w:lang w:val="en-GB"/>
        </w:rPr>
      </w:pPr>
      <w:r>
        <w:rPr>
          <w:sz w:val="20"/>
          <w:szCs w:val="20"/>
          <w:vertAlign w:val="superscript"/>
        </w:rPr>
        <w:t>c</w:t>
      </w:r>
      <w:r>
        <w:rPr>
          <w:sz w:val="20"/>
          <w:szCs w:val="20"/>
          <w:lang w:val="en-GB"/>
        </w:rPr>
        <w:t>IBR R&amp;D Institute for Lung Health gGmbH, Muenster, Germany</w:t>
      </w:r>
    </w:p>
    <w:p w14:paraId="75A34E5F" w14:textId="77777777" w:rsidR="00CF06D5" w:rsidRDefault="00CF06D5" w:rsidP="00CF06D5">
      <w:pPr>
        <w:rPr>
          <w:sz w:val="20"/>
          <w:szCs w:val="20"/>
        </w:rPr>
      </w:pPr>
      <w:r>
        <w:rPr>
          <w:sz w:val="20"/>
          <w:szCs w:val="20"/>
          <w:vertAlign w:val="superscript"/>
        </w:rPr>
        <w:t>d</w:t>
      </w:r>
      <w:r>
        <w:rPr>
          <w:sz w:val="20"/>
          <w:szCs w:val="20"/>
        </w:rPr>
        <w:t>German Federal Institute for Risk Assessment, Department of Food and Feed Safety in the Food Chain</w:t>
      </w:r>
    </w:p>
    <w:p w14:paraId="1502908B" w14:textId="77777777" w:rsidR="00CF06D5" w:rsidRPr="000C5664" w:rsidRDefault="00CF06D5" w:rsidP="00CF06D5">
      <w:pPr>
        <w:rPr>
          <w:sz w:val="20"/>
          <w:lang w:val="en-GB"/>
        </w:rPr>
      </w:pPr>
      <w:r w:rsidRPr="000C5664">
        <w:rPr>
          <w:sz w:val="20"/>
          <w:vertAlign w:val="superscript"/>
          <w:lang w:val="en-GB"/>
        </w:rPr>
        <w:t>e</w:t>
      </w:r>
      <w:r w:rsidRPr="000C5664">
        <w:rPr>
          <w:sz w:val="20"/>
          <w:lang w:val="en-GB"/>
        </w:rPr>
        <w:t xml:space="preserve">BASF SE, </w:t>
      </w:r>
      <w:r w:rsidRPr="00817B4F">
        <w:rPr>
          <w:rFonts w:eastAsia="Times New Roman"/>
          <w:sz w:val="20"/>
          <w:szCs w:val="20"/>
        </w:rPr>
        <w:t xml:space="preserve">Dept. Chemical, Material and Regulatory Sciences, </w:t>
      </w:r>
      <w:r w:rsidRPr="000C5664">
        <w:rPr>
          <w:sz w:val="20"/>
          <w:lang w:val="en-GB"/>
        </w:rPr>
        <w:t>Ludwigshafen, Germany</w:t>
      </w:r>
    </w:p>
    <w:p w14:paraId="1E6FEBE8" w14:textId="77777777" w:rsidR="00CF06D5" w:rsidRPr="00363F9D" w:rsidRDefault="00CF06D5" w:rsidP="00CF06D5">
      <w:pPr>
        <w:rPr>
          <w:sz w:val="20"/>
          <w:szCs w:val="20"/>
        </w:rPr>
      </w:pPr>
      <w:r w:rsidRPr="00DC784F">
        <w:rPr>
          <w:sz w:val="20"/>
          <w:szCs w:val="20"/>
          <w:vertAlign w:val="superscript"/>
        </w:rPr>
        <w:t>f</w:t>
      </w:r>
      <w:r w:rsidRPr="00817B4F">
        <w:rPr>
          <w:sz w:val="20"/>
          <w:szCs w:val="20"/>
        </w:rPr>
        <w:t>current address: German Federal I</w:t>
      </w:r>
      <w:r>
        <w:rPr>
          <w:sz w:val="20"/>
          <w:szCs w:val="20"/>
        </w:rPr>
        <w:t>nstitute for Occupational Safety and Health (BAuA), Berlin, Germany</w:t>
      </w:r>
    </w:p>
    <w:p w14:paraId="46B9DABA" w14:textId="77777777" w:rsidR="00CF06D5" w:rsidRPr="000C5664" w:rsidRDefault="00CF06D5" w:rsidP="00CF06D5">
      <w:pPr>
        <w:rPr>
          <w:sz w:val="20"/>
          <w:lang w:val="en-GB"/>
        </w:rPr>
      </w:pPr>
      <w:r>
        <w:rPr>
          <w:sz w:val="20"/>
          <w:szCs w:val="20"/>
          <w:vertAlign w:val="superscript"/>
        </w:rPr>
        <w:t>g</w:t>
      </w:r>
      <w:r w:rsidRPr="00D06258">
        <w:rPr>
          <w:sz w:val="20"/>
          <w:szCs w:val="20"/>
        </w:rPr>
        <w:t>Freie</w:t>
      </w:r>
      <w:r w:rsidRPr="000C5664">
        <w:rPr>
          <w:sz w:val="20"/>
          <w:lang w:val="en-GB"/>
        </w:rPr>
        <w:t xml:space="preserve"> Universität Berlin, Institute of Pharmacy, Berlin, Germany</w:t>
      </w:r>
    </w:p>
    <w:p w14:paraId="6308FB4B" w14:textId="77777777" w:rsidR="00CF06D5" w:rsidRPr="00D06258" w:rsidRDefault="00CF06D5" w:rsidP="00CF06D5">
      <w:pPr>
        <w:rPr>
          <w:sz w:val="20"/>
          <w:szCs w:val="20"/>
        </w:rPr>
      </w:pPr>
      <w:r>
        <w:rPr>
          <w:sz w:val="20"/>
          <w:szCs w:val="20"/>
          <w:vertAlign w:val="superscript"/>
        </w:rPr>
        <w:t>h</w:t>
      </w:r>
      <w:r w:rsidRPr="002D5ADD">
        <w:rPr>
          <w:sz w:val="20"/>
          <w:szCs w:val="20"/>
        </w:rPr>
        <w:t xml:space="preserve">University of the Western Cape (UWC), Department of Chemical Sciences, Bellville, </w:t>
      </w:r>
      <w:r>
        <w:rPr>
          <w:sz w:val="20"/>
          <w:szCs w:val="20"/>
        </w:rPr>
        <w:t xml:space="preserve">Cape Town, </w:t>
      </w:r>
      <w:r w:rsidRPr="002D5ADD">
        <w:rPr>
          <w:sz w:val="20"/>
          <w:szCs w:val="20"/>
        </w:rPr>
        <w:t>South Africa</w:t>
      </w:r>
    </w:p>
    <w:bookmarkEnd w:id="0"/>
    <w:p w14:paraId="754953D9" w14:textId="77777777" w:rsidR="00F70570" w:rsidRPr="00631C04" w:rsidRDefault="00F70570" w:rsidP="00F70570">
      <w:pPr>
        <w:rPr>
          <w:rFonts w:eastAsia="Times New Roman"/>
          <w:sz w:val="20"/>
          <w:szCs w:val="20"/>
        </w:rPr>
      </w:pPr>
      <w:r w:rsidRPr="00631C04">
        <w:rPr>
          <w:sz w:val="20"/>
          <w:szCs w:val="20"/>
        </w:rPr>
        <w:tab/>
      </w:r>
      <w:r w:rsidRPr="00631C04">
        <w:rPr>
          <w:sz w:val="20"/>
          <w:szCs w:val="20"/>
        </w:rPr>
        <w:br/>
      </w:r>
    </w:p>
    <w:p w14:paraId="1922B03C" w14:textId="77777777" w:rsidR="00F70570" w:rsidRPr="00631C04" w:rsidRDefault="00F70570" w:rsidP="00F70570">
      <w:pPr>
        <w:rPr>
          <w:rFonts w:eastAsia="Times New Roman"/>
          <w:sz w:val="20"/>
          <w:szCs w:val="20"/>
        </w:rPr>
      </w:pPr>
    </w:p>
    <w:p w14:paraId="62CF9FC6" w14:textId="77777777" w:rsidR="00F70570" w:rsidRDefault="00F70570" w:rsidP="00F70570">
      <w:pPr>
        <w:rPr>
          <w:sz w:val="20"/>
          <w:szCs w:val="20"/>
          <w:lang w:val="en-GB"/>
        </w:rPr>
      </w:pPr>
      <w:r>
        <w:rPr>
          <w:sz w:val="20"/>
          <w:szCs w:val="20"/>
          <w:lang w:val="en-GB"/>
        </w:rPr>
        <w:t>Corresponding author:</w:t>
      </w:r>
    </w:p>
    <w:p w14:paraId="52314EB0" w14:textId="77777777" w:rsidR="00F70570" w:rsidRDefault="00F70570" w:rsidP="00F70570">
      <w:pPr>
        <w:rPr>
          <w:rStyle w:val="Hyperlink"/>
          <w:sz w:val="20"/>
          <w:szCs w:val="20"/>
          <w:lang w:val="en-GB"/>
        </w:rPr>
      </w:pPr>
      <w:r>
        <w:rPr>
          <w:sz w:val="20"/>
          <w:szCs w:val="20"/>
          <w:lang w:val="en-GB"/>
        </w:rPr>
        <w:t xml:space="preserve">Andrea Haase, </w:t>
      </w:r>
      <w:hyperlink r:id="rId9" w:tooltip="mailto:andrea.haase@bfr.bund.de" w:history="1">
        <w:r>
          <w:rPr>
            <w:rStyle w:val="Hyperlink"/>
            <w:sz w:val="20"/>
            <w:szCs w:val="20"/>
            <w:lang w:val="en-GB"/>
          </w:rPr>
          <w:t>andrea.haase@bfr.bund.de</w:t>
        </w:r>
      </w:hyperlink>
    </w:p>
    <w:p w14:paraId="17F51D80" w14:textId="778C23AD" w:rsidR="004D636A" w:rsidRDefault="004D636A">
      <w:pPr>
        <w:rPr>
          <w:rStyle w:val="Hyperlink"/>
          <w:sz w:val="20"/>
          <w:szCs w:val="20"/>
          <w:lang w:val="en-GB"/>
        </w:rPr>
      </w:pPr>
    </w:p>
    <w:p w14:paraId="56418FAB" w14:textId="533FCE6F" w:rsidR="004D636A" w:rsidRPr="004D636A" w:rsidRDefault="004D636A" w:rsidP="004D636A">
      <w:pPr>
        <w:rPr>
          <w:rStyle w:val="Hyperlink"/>
          <w:color w:val="auto"/>
          <w:sz w:val="20"/>
          <w:szCs w:val="20"/>
          <w:u w:val="none"/>
          <w:lang w:val="en-GB"/>
        </w:rPr>
      </w:pPr>
      <w:r w:rsidRPr="004D636A">
        <w:rPr>
          <w:rStyle w:val="Hyperlink"/>
          <w:color w:val="auto"/>
          <w:sz w:val="20"/>
          <w:szCs w:val="20"/>
          <w:u w:val="none"/>
          <w:lang w:val="en-GB"/>
        </w:rPr>
        <w:t>Number of pages</w:t>
      </w:r>
      <w:r>
        <w:rPr>
          <w:rStyle w:val="Hyperlink"/>
          <w:color w:val="auto"/>
          <w:sz w:val="20"/>
          <w:szCs w:val="20"/>
          <w:u w:val="none"/>
          <w:lang w:val="en-GB"/>
        </w:rPr>
        <w:t>:</w:t>
      </w:r>
      <w:r w:rsidR="00187DF3">
        <w:rPr>
          <w:rStyle w:val="Hyperlink"/>
          <w:color w:val="auto"/>
          <w:sz w:val="20"/>
          <w:szCs w:val="20"/>
          <w:u w:val="none"/>
          <w:lang w:val="en-GB"/>
        </w:rPr>
        <w:t xml:space="preserve"> </w:t>
      </w:r>
      <w:r w:rsidR="00CF06D5">
        <w:rPr>
          <w:rStyle w:val="Hyperlink"/>
          <w:color w:val="auto"/>
          <w:sz w:val="20"/>
          <w:szCs w:val="20"/>
          <w:u w:val="none"/>
          <w:lang w:val="en-GB"/>
        </w:rPr>
        <w:t>9</w:t>
      </w:r>
      <w:r>
        <w:rPr>
          <w:rStyle w:val="Hyperlink"/>
          <w:color w:val="auto"/>
          <w:sz w:val="20"/>
          <w:szCs w:val="20"/>
          <w:u w:val="none"/>
          <w:lang w:val="en-GB"/>
        </w:rPr>
        <w:tab/>
      </w:r>
    </w:p>
    <w:p w14:paraId="61C5641A" w14:textId="491BBA28" w:rsidR="004D636A" w:rsidRPr="004D636A" w:rsidRDefault="004D636A" w:rsidP="004D636A">
      <w:pPr>
        <w:rPr>
          <w:rStyle w:val="Hyperlink"/>
          <w:color w:val="auto"/>
          <w:sz w:val="20"/>
          <w:szCs w:val="20"/>
          <w:u w:val="none"/>
          <w:lang w:val="en-GB"/>
        </w:rPr>
      </w:pPr>
      <w:r w:rsidRPr="004D636A">
        <w:rPr>
          <w:rStyle w:val="Hyperlink"/>
          <w:color w:val="auto"/>
          <w:sz w:val="20"/>
          <w:szCs w:val="20"/>
          <w:u w:val="none"/>
          <w:lang w:val="en-GB"/>
        </w:rPr>
        <w:t>N</w:t>
      </w:r>
      <w:r>
        <w:rPr>
          <w:rStyle w:val="Hyperlink"/>
          <w:color w:val="auto"/>
          <w:sz w:val="20"/>
          <w:szCs w:val="20"/>
          <w:u w:val="none"/>
          <w:lang w:val="en-GB"/>
        </w:rPr>
        <w:t>umber of figures:</w:t>
      </w:r>
      <w:r w:rsidR="00187DF3">
        <w:rPr>
          <w:rStyle w:val="Hyperlink"/>
          <w:color w:val="auto"/>
          <w:sz w:val="20"/>
          <w:szCs w:val="20"/>
          <w:u w:val="none"/>
          <w:lang w:val="en-GB"/>
        </w:rPr>
        <w:t xml:space="preserve"> </w:t>
      </w:r>
      <w:r w:rsidR="00CF06D5">
        <w:rPr>
          <w:rStyle w:val="Hyperlink"/>
          <w:color w:val="auto"/>
          <w:sz w:val="20"/>
          <w:szCs w:val="20"/>
          <w:u w:val="none"/>
          <w:lang w:val="en-GB"/>
        </w:rPr>
        <w:t>10</w:t>
      </w:r>
    </w:p>
    <w:p w14:paraId="2C3C1D65" w14:textId="31385ACF" w:rsidR="00B7043B" w:rsidRPr="00A26436" w:rsidRDefault="004D636A" w:rsidP="004D636A">
      <w:pPr>
        <w:rPr>
          <w:sz w:val="20"/>
          <w:szCs w:val="20"/>
        </w:rPr>
      </w:pPr>
      <w:r w:rsidRPr="00A26436">
        <w:rPr>
          <w:rStyle w:val="Hyperlink"/>
          <w:color w:val="auto"/>
          <w:sz w:val="20"/>
          <w:szCs w:val="20"/>
          <w:u w:val="none"/>
        </w:rPr>
        <w:t>Number of tables:</w:t>
      </w:r>
      <w:r w:rsidR="00187DF3">
        <w:rPr>
          <w:rStyle w:val="Hyperlink"/>
          <w:color w:val="auto"/>
          <w:sz w:val="20"/>
          <w:szCs w:val="20"/>
          <w:u w:val="none"/>
        </w:rPr>
        <w:t xml:space="preserve"> </w:t>
      </w:r>
      <w:r w:rsidR="00CF06D5">
        <w:rPr>
          <w:rStyle w:val="Hyperlink"/>
          <w:color w:val="auto"/>
          <w:sz w:val="20"/>
          <w:szCs w:val="20"/>
          <w:u w:val="none"/>
        </w:rPr>
        <w:t>4</w:t>
      </w:r>
      <w:r w:rsidRPr="00A26436">
        <w:rPr>
          <w:sz w:val="20"/>
          <w:szCs w:val="20"/>
        </w:rPr>
        <w:br w:type="page"/>
      </w:r>
    </w:p>
    <w:p w14:paraId="19B2D465" w14:textId="2AFC897E" w:rsidR="003F11CD" w:rsidRDefault="00745EEE" w:rsidP="007250EA">
      <w:pPr>
        <w:pStyle w:val="berschrift1"/>
      </w:pPr>
      <w:bookmarkStart w:id="2" w:name="_Toc126311007"/>
      <w:r>
        <w:lastRenderedPageBreak/>
        <w:t xml:space="preserve">1. </w:t>
      </w:r>
      <w:r w:rsidR="007250EA">
        <w:t>Verifying the</w:t>
      </w:r>
      <w:r w:rsidR="003F11CD">
        <w:t xml:space="preserve"> fluorescence</w:t>
      </w:r>
      <w:r w:rsidR="007250EA">
        <w:t xml:space="preserve"> labelling stability of PA-6 particles with Alexa Fluor™ 633</w:t>
      </w:r>
      <w:bookmarkEnd w:id="2"/>
    </w:p>
    <w:p w14:paraId="16FA66A9" w14:textId="578E22F9" w:rsidR="003F11CD" w:rsidRDefault="003F11CD" w:rsidP="003F11CD">
      <w:pPr>
        <w:rPr>
          <w:lang w:val="en-GB"/>
        </w:rPr>
      </w:pPr>
      <w:r>
        <w:rPr>
          <w:lang w:val="en-GB"/>
        </w:rPr>
        <w:t xml:space="preserve">To verify the labelling stability of fluorescently </w:t>
      </w:r>
      <w:r w:rsidRPr="009B0F9E">
        <w:rPr>
          <w:lang w:val="en-GB"/>
        </w:rPr>
        <w:t>Alexa Fluor™ 633-</w:t>
      </w:r>
      <w:r>
        <w:rPr>
          <w:lang w:val="en-GB"/>
        </w:rPr>
        <w:t>dyed</w:t>
      </w:r>
      <w:r w:rsidRPr="009B0F9E">
        <w:rPr>
          <w:lang w:val="en-GB"/>
        </w:rPr>
        <w:t xml:space="preserve"> </w:t>
      </w:r>
      <w:r>
        <w:t>PA</w:t>
      </w:r>
      <w:r>
        <w:noBreakHyphen/>
      </w:r>
      <w:r w:rsidRPr="00F5797A">
        <w:t>6</w:t>
      </w:r>
      <w:r w:rsidRPr="00F5797A">
        <w:rPr>
          <w:vertAlign w:val="subscript"/>
        </w:rPr>
        <w:t>7</w:t>
      </w:r>
      <w:r w:rsidRPr="00F5797A">
        <w:rPr>
          <w:rFonts w:cstheme="minorHAnsi"/>
          <w:vertAlign w:val="subscript"/>
        </w:rPr>
        <w:t>µ</w:t>
      </w:r>
      <w:r w:rsidRPr="00F5797A">
        <w:rPr>
          <w:vertAlign w:val="subscript"/>
        </w:rPr>
        <w:t>m</w:t>
      </w:r>
      <w:r>
        <w:rPr>
          <w:lang w:val="en-GB"/>
        </w:rPr>
        <w:t>,</w:t>
      </w:r>
      <w:r w:rsidRPr="009B0F9E">
        <w:rPr>
          <w:lang w:val="en-GB"/>
        </w:rPr>
        <w:t xml:space="preserve"> particles were incubated for 24 h in complete cell culture medium (CCM) at a concentration of 100 µg/mL. Subsequently, the particles were pelleted by centrifugation (30 min, 14,000 × g), and the resulting supernatant was transferred to CaCo-2 cells</w:t>
      </w:r>
      <w:r>
        <w:rPr>
          <w:lang w:val="en-GB"/>
        </w:rPr>
        <w:t>, without particles</w:t>
      </w:r>
      <w:r w:rsidRPr="009B0F9E">
        <w:rPr>
          <w:lang w:val="en-GB"/>
        </w:rPr>
        <w:t>. Cells were exposed to the supernatant for 24 h. In the event of dye leaching, free Alexa Fluor™ 633 present in the CCM supernatant would have been internalized by the cells and accumulated in liposomes. To assess this, single-cell fluorescence was analysed by flow cytometry using the same instrument settings (e.g., voltages and gates) as applied for the cell culture experiments.</w:t>
      </w:r>
      <w:r>
        <w:rPr>
          <w:lang w:val="en-GB"/>
        </w:rPr>
        <w:t xml:space="preserve"> Percentage of positive cells was 0.24%, confirming that no </w:t>
      </w:r>
      <w:r w:rsidR="0029719D">
        <w:rPr>
          <w:lang w:val="en-GB"/>
        </w:rPr>
        <w:t xml:space="preserve">significant amounts of </w:t>
      </w:r>
      <w:r>
        <w:rPr>
          <w:lang w:val="en-GB"/>
        </w:rPr>
        <w:t xml:space="preserve">Alexa dye leached from </w:t>
      </w:r>
      <w:r>
        <w:t>PA</w:t>
      </w:r>
      <w:r>
        <w:noBreakHyphen/>
      </w:r>
      <w:r w:rsidRPr="00F5797A">
        <w:t>6</w:t>
      </w:r>
      <w:r w:rsidRPr="00F5797A">
        <w:rPr>
          <w:vertAlign w:val="subscript"/>
        </w:rPr>
        <w:t>7</w:t>
      </w:r>
      <w:r w:rsidRPr="00F5797A">
        <w:rPr>
          <w:rFonts w:cstheme="minorHAnsi"/>
          <w:vertAlign w:val="subscript"/>
        </w:rPr>
        <w:t>µ</w:t>
      </w:r>
      <w:r w:rsidRPr="00F5797A">
        <w:rPr>
          <w:vertAlign w:val="subscript"/>
        </w:rPr>
        <w:t>m</w:t>
      </w:r>
      <w:r>
        <w:rPr>
          <w:lang w:val="en-GB"/>
        </w:rPr>
        <w:t xml:space="preserve"> particles during incubation (</w:t>
      </w:r>
      <w:r w:rsidRPr="003F11CD">
        <w:rPr>
          <w:b/>
          <w:bCs/>
          <w:lang w:val="en-GB"/>
        </w:rPr>
        <w:t>s. Fig. S1</w:t>
      </w:r>
      <w:r>
        <w:rPr>
          <w:lang w:val="en-GB"/>
        </w:rPr>
        <w:t>).</w:t>
      </w:r>
    </w:p>
    <w:p w14:paraId="69D1C44F" w14:textId="340407FA" w:rsidR="007250EA" w:rsidRDefault="007250EA" w:rsidP="007250EA">
      <w:pPr>
        <w:pStyle w:val="berschrift1"/>
      </w:pPr>
      <w:r>
        <w:tab/>
      </w:r>
    </w:p>
    <w:p w14:paraId="2F650CC7" w14:textId="77777777" w:rsidR="007250EA" w:rsidRDefault="007250EA" w:rsidP="007250EA">
      <w:pPr>
        <w:keepNext/>
        <w:jc w:val="left"/>
      </w:pPr>
      <w:r w:rsidRPr="00C62D85">
        <w:rPr>
          <w:noProof/>
          <w:lang w:val="de-DE" w:eastAsia="de-DE"/>
        </w:rPr>
        <w:drawing>
          <wp:inline distT="0" distB="0" distL="0" distR="0" wp14:anchorId="0F6FFE84" wp14:editId="5683BF2E">
            <wp:extent cx="2282050" cy="2088107"/>
            <wp:effectExtent l="0" t="0" r="4445"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87035" cy="2092668"/>
                    </a:xfrm>
                    <a:prstGeom prst="rect">
                      <a:avLst/>
                    </a:prstGeom>
                  </pic:spPr>
                </pic:pic>
              </a:graphicData>
            </a:graphic>
          </wp:inline>
        </w:drawing>
      </w:r>
    </w:p>
    <w:p w14:paraId="1D50C09E" w14:textId="1D096235" w:rsidR="00745EEE" w:rsidRPr="00995819" w:rsidRDefault="007250EA" w:rsidP="00CF06D5">
      <w:pPr>
        <w:spacing w:line="276" w:lineRule="auto"/>
        <w:rPr>
          <w:b/>
          <w:bCs/>
          <w:lang w:val="en-GB"/>
        </w:rPr>
      </w:pPr>
      <w:r w:rsidRPr="00187DF3">
        <w:rPr>
          <w:b/>
          <w:bCs/>
        </w:rPr>
        <w:t>Figure S</w:t>
      </w:r>
      <w:r w:rsidR="009B0F9E" w:rsidRPr="00187DF3">
        <w:rPr>
          <w:b/>
          <w:bCs/>
        </w:rPr>
        <w:t>1</w:t>
      </w:r>
      <w:r w:rsidRPr="00187DF3">
        <w:rPr>
          <w:b/>
          <w:bCs/>
        </w:rPr>
        <w:t xml:space="preserve">: </w:t>
      </w:r>
      <w:bookmarkStart w:id="3" w:name="_Toc126311009"/>
      <w:r w:rsidR="009B0F9E" w:rsidRPr="00187DF3">
        <w:rPr>
          <w:b/>
          <w:bCs/>
          <w:lang w:val="en-GB"/>
        </w:rPr>
        <w:t xml:space="preserve">Verification of the labelling stability of PA-6 particles with Alexa Fluor™ 633 using flow cytometry. </w:t>
      </w:r>
    </w:p>
    <w:p w14:paraId="1660C421" w14:textId="5FD21A20" w:rsidR="00745EEE" w:rsidRDefault="00CE6680" w:rsidP="00745EEE">
      <w:pPr>
        <w:pStyle w:val="berschrift1"/>
      </w:pPr>
      <w:r>
        <w:t xml:space="preserve">2. </w:t>
      </w:r>
      <w:r w:rsidR="00745EEE">
        <w:t>Investigations on cytochrome P450 1A1 (CYP1A1) induction</w:t>
      </w:r>
    </w:p>
    <w:p w14:paraId="7FC5A233" w14:textId="4AC7E257" w:rsidR="00745EEE" w:rsidRDefault="00745EEE" w:rsidP="00745EEE">
      <w:r w:rsidRPr="005C6EF7">
        <w:rPr>
          <w:b/>
          <w:bCs/>
        </w:rPr>
        <w:t>Table S</w:t>
      </w:r>
      <w:r w:rsidR="00CE6680" w:rsidRPr="005C6EF7">
        <w:rPr>
          <w:b/>
          <w:bCs/>
        </w:rPr>
        <w:t>1</w:t>
      </w:r>
      <w:r w:rsidRPr="00745EEE">
        <w:t>:</w:t>
      </w:r>
      <w:r>
        <w:t xml:space="preserve"> Primers used for quantitative Real-Time-PCR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34"/>
      </w:tblGrid>
      <w:tr w:rsidR="00745EEE" w14:paraId="0FE6C4C1" w14:textId="77777777" w:rsidTr="00BE7A17">
        <w:tc>
          <w:tcPr>
            <w:tcW w:w="3828" w:type="dxa"/>
            <w:tcBorders>
              <w:top w:val="single" w:sz="6" w:space="0" w:color="auto"/>
              <w:bottom w:val="single" w:sz="12" w:space="0" w:color="auto"/>
            </w:tcBorders>
          </w:tcPr>
          <w:p w14:paraId="5BEC73A4" w14:textId="77777777" w:rsidR="00745EEE" w:rsidRDefault="00745EEE" w:rsidP="00BE7A17">
            <w:pPr>
              <w:rPr>
                <w:b/>
              </w:rPr>
            </w:pPr>
            <w:r>
              <w:rPr>
                <w:b/>
              </w:rPr>
              <w:t>Primer</w:t>
            </w:r>
          </w:p>
        </w:tc>
        <w:tc>
          <w:tcPr>
            <w:tcW w:w="5234" w:type="dxa"/>
            <w:tcBorders>
              <w:top w:val="single" w:sz="6" w:space="0" w:color="auto"/>
              <w:bottom w:val="single" w:sz="12" w:space="0" w:color="auto"/>
            </w:tcBorders>
          </w:tcPr>
          <w:p w14:paraId="191D30D3" w14:textId="77777777" w:rsidR="00745EEE" w:rsidRDefault="00745EEE" w:rsidP="00BE7A17">
            <w:pPr>
              <w:rPr>
                <w:b/>
              </w:rPr>
            </w:pPr>
            <w:r>
              <w:rPr>
                <w:b/>
              </w:rPr>
              <w:t>Sequence</w:t>
            </w:r>
          </w:p>
        </w:tc>
      </w:tr>
      <w:tr w:rsidR="00745EEE" w14:paraId="6DFAC557" w14:textId="77777777" w:rsidTr="00BE7A17">
        <w:tc>
          <w:tcPr>
            <w:tcW w:w="3828" w:type="dxa"/>
            <w:tcBorders>
              <w:top w:val="single" w:sz="12" w:space="0" w:color="auto"/>
            </w:tcBorders>
          </w:tcPr>
          <w:p w14:paraId="2316D923" w14:textId="77777777" w:rsidR="00745EEE" w:rsidRDefault="00745EEE" w:rsidP="00BE7A17">
            <w:r>
              <w:t>CYP1A1 forward</w:t>
            </w:r>
          </w:p>
        </w:tc>
        <w:tc>
          <w:tcPr>
            <w:tcW w:w="5234" w:type="dxa"/>
            <w:tcBorders>
              <w:top w:val="single" w:sz="12" w:space="0" w:color="auto"/>
            </w:tcBorders>
          </w:tcPr>
          <w:p w14:paraId="3E94CFF5" w14:textId="77777777" w:rsidR="00745EEE" w:rsidRDefault="00745EEE" w:rsidP="00BE7A17">
            <w:r>
              <w:t>5’-CCA AGA GTC CAC CCT TCC CAG CT -3</w:t>
            </w:r>
            <w:r>
              <w:rPr>
                <w:rFonts w:ascii="fvwpmttimesnewromanpsmt" w:eastAsia="fvwpmttimesnewromanpsmt" w:cs="fvwpmttimesnewromanpsmt"/>
              </w:rPr>
              <w:t>’</w:t>
            </w:r>
          </w:p>
        </w:tc>
      </w:tr>
      <w:tr w:rsidR="00745EEE" w14:paraId="3217D29E" w14:textId="77777777" w:rsidTr="00BE7A17">
        <w:tc>
          <w:tcPr>
            <w:tcW w:w="3828" w:type="dxa"/>
          </w:tcPr>
          <w:p w14:paraId="4871848E" w14:textId="77777777" w:rsidR="00745EEE" w:rsidRDefault="00745EEE" w:rsidP="00BE7A17">
            <w:r>
              <w:t>CYP1A1 reverse</w:t>
            </w:r>
          </w:p>
        </w:tc>
        <w:tc>
          <w:tcPr>
            <w:tcW w:w="5234" w:type="dxa"/>
          </w:tcPr>
          <w:p w14:paraId="45F70F6E" w14:textId="77777777" w:rsidR="00745EEE" w:rsidRDefault="00745EEE" w:rsidP="00BE7A17">
            <w:r>
              <w:t>5</w:t>
            </w:r>
            <w:r>
              <w:rPr>
                <w:rFonts w:ascii="fvwpmttimesnewromanpsmt" w:eastAsia="fvwpmttimesnewromanpsmt" w:cs="fvwpmttimesnewromanpsmt"/>
              </w:rPr>
              <w:t>’</w:t>
            </w:r>
            <w:r>
              <w:t>-GAG GCC AGA AGA AAC TCC GTG GC -3</w:t>
            </w:r>
            <w:r>
              <w:rPr>
                <w:rFonts w:ascii="fvwpmttimesnewromanpsmt" w:eastAsia="fvwpmttimesnewromanpsmt" w:cs="fvwpmttimesnewromanpsmt"/>
              </w:rPr>
              <w:t>’</w:t>
            </w:r>
          </w:p>
        </w:tc>
      </w:tr>
      <w:tr w:rsidR="00745EEE" w14:paraId="32885A2B" w14:textId="77777777" w:rsidTr="00BE7A17">
        <w:tc>
          <w:tcPr>
            <w:tcW w:w="3828" w:type="dxa"/>
          </w:tcPr>
          <w:p w14:paraId="56F7C134" w14:textId="77777777" w:rsidR="00745EEE" w:rsidRDefault="00745EEE" w:rsidP="00BE7A17">
            <w:r>
              <w:t>HPRT forward</w:t>
            </w:r>
          </w:p>
        </w:tc>
        <w:tc>
          <w:tcPr>
            <w:tcW w:w="5234" w:type="dxa"/>
          </w:tcPr>
          <w:p w14:paraId="79BBBE81" w14:textId="77777777" w:rsidR="00745EEE" w:rsidRDefault="00745EEE" w:rsidP="00BE7A17">
            <w:r>
              <w:t>5</w:t>
            </w:r>
            <w:r>
              <w:rPr>
                <w:rFonts w:ascii="fvwpmttimesnewromanpsmt" w:eastAsia="fvwpmttimesnewromanpsmt" w:cs="fvwpmttimesnewromanpsmt"/>
              </w:rPr>
              <w:t>’</w:t>
            </w:r>
            <w:r>
              <w:t>-GTT CTG TGG CCA TCT GCT TAG -3</w:t>
            </w:r>
            <w:r>
              <w:rPr>
                <w:rFonts w:ascii="fvwpmttimesnewromanpsmt" w:eastAsia="fvwpmttimesnewromanpsmt" w:cs="fvwpmttimesnewromanpsmt"/>
              </w:rPr>
              <w:t>’</w:t>
            </w:r>
          </w:p>
        </w:tc>
      </w:tr>
      <w:tr w:rsidR="00745EEE" w14:paraId="7BB1F263" w14:textId="77777777" w:rsidTr="00BE7A17">
        <w:tc>
          <w:tcPr>
            <w:tcW w:w="3828" w:type="dxa"/>
            <w:tcBorders>
              <w:bottom w:val="single" w:sz="6" w:space="0" w:color="auto"/>
            </w:tcBorders>
          </w:tcPr>
          <w:p w14:paraId="33F7EE7A" w14:textId="77777777" w:rsidR="00745EEE" w:rsidRDefault="00745EEE" w:rsidP="00BE7A17">
            <w:r>
              <w:t>HPRT reverse</w:t>
            </w:r>
          </w:p>
        </w:tc>
        <w:tc>
          <w:tcPr>
            <w:tcW w:w="5234" w:type="dxa"/>
            <w:tcBorders>
              <w:bottom w:val="single" w:sz="6" w:space="0" w:color="auto"/>
            </w:tcBorders>
          </w:tcPr>
          <w:p w14:paraId="49848367" w14:textId="77777777" w:rsidR="00745EEE" w:rsidRDefault="00745EEE" w:rsidP="00BE7A17">
            <w:r>
              <w:t>5</w:t>
            </w:r>
            <w:r>
              <w:rPr>
                <w:rFonts w:ascii="fvwpmttimesnewromanpsmt" w:eastAsia="fvwpmttimesnewromanpsmt" w:cs="fvwpmttimesnewromanpsmt"/>
              </w:rPr>
              <w:t>’</w:t>
            </w:r>
            <w:r>
              <w:t>-GCC CAA AGG GAA CTG ATA GTC-3</w:t>
            </w:r>
            <w:r>
              <w:rPr>
                <w:rFonts w:ascii="fvwpmttimesnewromanpsmt" w:eastAsia="fvwpmttimesnewromanpsmt" w:cs="fvwpmttimesnewromanpsmt"/>
              </w:rPr>
              <w:t>’</w:t>
            </w:r>
          </w:p>
        </w:tc>
      </w:tr>
    </w:tbl>
    <w:p w14:paraId="4BECAE43" w14:textId="77777777" w:rsidR="00745EEE" w:rsidRPr="00745EEE" w:rsidRDefault="00745EEE" w:rsidP="009B0F9E">
      <w:pPr>
        <w:pStyle w:val="KeinLeerraum"/>
        <w:rPr>
          <w:lang w:val="en-US"/>
        </w:rPr>
      </w:pPr>
    </w:p>
    <w:p w14:paraId="1F19B25C" w14:textId="62BC746A" w:rsidR="009B0F9E" w:rsidRDefault="00CE6680" w:rsidP="00745EEE">
      <w:pPr>
        <w:pStyle w:val="berschrift1"/>
        <w:rPr>
          <w:lang w:val="en-GB"/>
        </w:rPr>
      </w:pPr>
      <w:r>
        <w:rPr>
          <w:lang w:val="en-GB"/>
        </w:rPr>
        <w:lastRenderedPageBreak/>
        <w:t xml:space="preserve">3. </w:t>
      </w:r>
      <w:r w:rsidR="00745EEE">
        <w:rPr>
          <w:lang w:val="en-GB"/>
        </w:rPr>
        <w:t>Quantification o</w:t>
      </w:r>
      <w:r w:rsidR="00E74568">
        <w:rPr>
          <w:lang w:val="en-GB"/>
        </w:rPr>
        <w:t>f</w:t>
      </w:r>
      <w:r w:rsidR="00745EEE">
        <w:rPr>
          <w:lang w:val="en-GB"/>
        </w:rPr>
        <w:t xml:space="preserve"> benzo(a)pyrene (B(</w:t>
      </w:r>
      <w:r w:rsidR="00745EEE" w:rsidRPr="00745EEE">
        <w:rPr>
          <w:i/>
          <w:iCs/>
          <w:lang w:val="en-GB"/>
        </w:rPr>
        <w:t>a</w:t>
      </w:r>
      <w:r w:rsidR="00745EEE">
        <w:rPr>
          <w:lang w:val="en-GB"/>
        </w:rPr>
        <w:t>)P) by GC-MS</w:t>
      </w:r>
    </w:p>
    <w:p w14:paraId="7D69F29B" w14:textId="6117021D" w:rsidR="005C6EF7" w:rsidRPr="001B26A7" w:rsidRDefault="005C6EF7" w:rsidP="001B26A7">
      <w:pPr>
        <w:pStyle w:val="Beschriftung"/>
        <w:keepNext/>
        <w:spacing w:line="276" w:lineRule="auto"/>
        <w:rPr>
          <w:i w:val="0"/>
          <w:iCs w:val="0"/>
          <w:sz w:val="22"/>
          <w:szCs w:val="21"/>
        </w:rPr>
      </w:pPr>
      <w:r w:rsidRPr="001B26A7">
        <w:rPr>
          <w:b/>
          <w:bCs/>
          <w:i w:val="0"/>
          <w:iCs w:val="0"/>
          <w:sz w:val="22"/>
          <w:szCs w:val="21"/>
        </w:rPr>
        <w:t>Table S2</w:t>
      </w:r>
      <w:r w:rsidRPr="001B26A7">
        <w:rPr>
          <w:i w:val="0"/>
          <w:iCs w:val="0"/>
          <w:sz w:val="22"/>
          <w:szCs w:val="21"/>
        </w:rPr>
        <w:t>: Conversion of GC-MS calibration concentrations (ng/mL) into absolute B(</w:t>
      </w:r>
      <w:r w:rsidRPr="001B26A7">
        <w:rPr>
          <w:sz w:val="22"/>
          <w:szCs w:val="21"/>
        </w:rPr>
        <w:t>a</w:t>
      </w:r>
      <w:r w:rsidRPr="001B26A7">
        <w:rPr>
          <w:i w:val="0"/>
          <w:iCs w:val="0"/>
          <w:sz w:val="22"/>
          <w:szCs w:val="21"/>
        </w:rPr>
        <w:t>)P amounts in CCM and cell pellets</w:t>
      </w:r>
    </w:p>
    <w:p w14:paraId="62F51727" w14:textId="5B063A51" w:rsidR="005C6EF7" w:rsidRPr="005C6EF7" w:rsidRDefault="00E74568" w:rsidP="005C6EF7">
      <w:pPr>
        <w:rPr>
          <w:lang w:val="en-GB"/>
        </w:rPr>
      </w:pPr>
      <w:r>
        <w:rPr>
          <w:noProof/>
          <w:lang w:val="en-GB"/>
        </w:rPr>
        <w:drawing>
          <wp:inline distT="0" distB="0" distL="0" distR="0" wp14:anchorId="18F819D5" wp14:editId="38714546">
            <wp:extent cx="5760720" cy="2382520"/>
            <wp:effectExtent l="0" t="0" r="0" b="0"/>
            <wp:docPr id="1563033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33159" name="Picture 156303315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2382520"/>
                    </a:xfrm>
                    <a:prstGeom prst="rect">
                      <a:avLst/>
                    </a:prstGeom>
                  </pic:spPr>
                </pic:pic>
              </a:graphicData>
            </a:graphic>
          </wp:inline>
        </w:drawing>
      </w:r>
    </w:p>
    <w:p w14:paraId="5820B268" w14:textId="35AB1B3E" w:rsidR="00CE6680" w:rsidRPr="00C40BED" w:rsidRDefault="00CE6680" w:rsidP="001B26A7">
      <w:pPr>
        <w:spacing w:line="276" w:lineRule="auto"/>
      </w:pPr>
      <w:r w:rsidRPr="005C6EF7">
        <w:rPr>
          <w:b/>
          <w:bCs/>
        </w:rPr>
        <w:t>Table S</w:t>
      </w:r>
      <w:r w:rsidR="005C6EF7" w:rsidRPr="005C6EF7">
        <w:rPr>
          <w:b/>
          <w:bCs/>
        </w:rPr>
        <w:t>3</w:t>
      </w:r>
      <w:r w:rsidRPr="005C6EF7">
        <w:rPr>
          <w:b/>
          <w:bCs/>
        </w:rPr>
        <w:t>:</w:t>
      </w:r>
      <w:r w:rsidRPr="00C40BED">
        <w:t xml:space="preserve"> Quantifier and qualifier mass-to-charge</w:t>
      </w:r>
      <w:r>
        <w:t xml:space="preserve"> </w:t>
      </w:r>
      <w:r w:rsidRPr="00C40BED">
        <w:t>ratio (m/z) of the analytes and their corresponding internal standards</w:t>
      </w:r>
    </w:p>
    <w:tbl>
      <w:tblPr>
        <w:tblStyle w:val="Tabellenraster"/>
        <w:tblW w:w="0" w:type="auto"/>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ook w:val="04A0" w:firstRow="1" w:lastRow="0" w:firstColumn="1" w:lastColumn="0" w:noHBand="0" w:noVBand="1"/>
      </w:tblPr>
      <w:tblGrid>
        <w:gridCol w:w="2266"/>
        <w:gridCol w:w="2267"/>
        <w:gridCol w:w="1701"/>
        <w:gridCol w:w="2832"/>
      </w:tblGrid>
      <w:tr w:rsidR="00CE6680" w:rsidRPr="00353FFC" w14:paraId="7E3A3275" w14:textId="77777777" w:rsidTr="00BE7A17">
        <w:tc>
          <w:tcPr>
            <w:tcW w:w="2266" w:type="dxa"/>
            <w:tcBorders>
              <w:top w:val="single" w:sz="2" w:space="0" w:color="auto"/>
              <w:left w:val="nil"/>
              <w:bottom w:val="single" w:sz="12" w:space="0" w:color="auto"/>
            </w:tcBorders>
          </w:tcPr>
          <w:p w14:paraId="79691426" w14:textId="77777777" w:rsidR="00CE6680" w:rsidRPr="00A26436" w:rsidRDefault="00CE6680" w:rsidP="00BE7A17">
            <w:pPr>
              <w:pStyle w:val="KeinLeerraum"/>
              <w:rPr>
                <w:lang w:val="en-US"/>
              </w:rPr>
            </w:pPr>
          </w:p>
        </w:tc>
        <w:tc>
          <w:tcPr>
            <w:tcW w:w="2267" w:type="dxa"/>
            <w:tcBorders>
              <w:top w:val="single" w:sz="2" w:space="0" w:color="auto"/>
              <w:bottom w:val="single" w:sz="12" w:space="0" w:color="auto"/>
            </w:tcBorders>
          </w:tcPr>
          <w:p w14:paraId="4F36E3E0" w14:textId="77777777" w:rsidR="00CE6680" w:rsidRPr="00353FFC" w:rsidRDefault="00CE6680" w:rsidP="00BE7A17">
            <w:pPr>
              <w:pStyle w:val="KeinLeerraum"/>
              <w:rPr>
                <w:b/>
              </w:rPr>
            </w:pPr>
            <w:r>
              <w:rPr>
                <w:b/>
              </w:rPr>
              <w:t>Quantifier [m/z]</w:t>
            </w:r>
          </w:p>
        </w:tc>
        <w:tc>
          <w:tcPr>
            <w:tcW w:w="1701" w:type="dxa"/>
            <w:tcBorders>
              <w:top w:val="single" w:sz="2" w:space="0" w:color="auto"/>
              <w:bottom w:val="single" w:sz="12" w:space="0" w:color="auto"/>
            </w:tcBorders>
          </w:tcPr>
          <w:p w14:paraId="07D0DBC6" w14:textId="77777777" w:rsidR="00CE6680" w:rsidRPr="00353FFC" w:rsidRDefault="00CE6680" w:rsidP="00BE7A17">
            <w:pPr>
              <w:pStyle w:val="KeinLeerraum"/>
              <w:rPr>
                <w:b/>
              </w:rPr>
            </w:pPr>
            <w:r>
              <w:rPr>
                <w:b/>
              </w:rPr>
              <w:t>Qualifier [m/z</w:t>
            </w:r>
            <w:r w:rsidRPr="00353FFC">
              <w:rPr>
                <w:b/>
              </w:rPr>
              <w:t>]</w:t>
            </w:r>
          </w:p>
        </w:tc>
        <w:tc>
          <w:tcPr>
            <w:tcW w:w="2832" w:type="dxa"/>
            <w:tcBorders>
              <w:top w:val="single" w:sz="2" w:space="0" w:color="auto"/>
              <w:bottom w:val="single" w:sz="12" w:space="0" w:color="auto"/>
              <w:right w:val="nil"/>
            </w:tcBorders>
          </w:tcPr>
          <w:p w14:paraId="728BF4C6" w14:textId="77777777" w:rsidR="00CE6680" w:rsidRDefault="00CE6680" w:rsidP="00BE7A17">
            <w:pPr>
              <w:pStyle w:val="KeinLeerraum"/>
              <w:rPr>
                <w:b/>
              </w:rPr>
            </w:pPr>
            <w:r>
              <w:rPr>
                <w:b/>
              </w:rPr>
              <w:t>Qualifier Ratio</w:t>
            </w:r>
          </w:p>
        </w:tc>
      </w:tr>
      <w:tr w:rsidR="00CE6680" w14:paraId="310AC51B" w14:textId="77777777" w:rsidTr="009A07C8">
        <w:tc>
          <w:tcPr>
            <w:tcW w:w="2266" w:type="dxa"/>
            <w:tcBorders>
              <w:top w:val="single" w:sz="12" w:space="0" w:color="auto"/>
              <w:left w:val="nil"/>
              <w:bottom w:val="nil"/>
            </w:tcBorders>
          </w:tcPr>
          <w:p w14:paraId="19AEAD50" w14:textId="7584001E" w:rsidR="00CE6680" w:rsidRPr="00EB06BF" w:rsidRDefault="00CE6680" w:rsidP="00BE7A17">
            <w:pPr>
              <w:pStyle w:val="KeinLeerraum"/>
            </w:pPr>
            <w:r w:rsidRPr="00EB06BF">
              <w:t>Benzo</w:t>
            </w:r>
            <w:r w:rsidR="00187DF3">
              <w:t>(</w:t>
            </w:r>
            <w:r w:rsidRPr="00EB06BF">
              <w:rPr>
                <w:i/>
              </w:rPr>
              <w:t>a</w:t>
            </w:r>
            <w:r w:rsidR="00187DF3" w:rsidRPr="00187DF3">
              <w:rPr>
                <w:iCs/>
              </w:rPr>
              <w:t>)</w:t>
            </w:r>
            <w:r w:rsidRPr="00EB06BF">
              <w:t>pyrene</w:t>
            </w:r>
          </w:p>
        </w:tc>
        <w:tc>
          <w:tcPr>
            <w:tcW w:w="2267" w:type="dxa"/>
            <w:tcBorders>
              <w:top w:val="single" w:sz="12" w:space="0" w:color="auto"/>
              <w:bottom w:val="nil"/>
            </w:tcBorders>
          </w:tcPr>
          <w:p w14:paraId="5D3BA4D0" w14:textId="77777777" w:rsidR="00CE6680" w:rsidRDefault="00CE6680" w:rsidP="00BE7A17">
            <w:pPr>
              <w:pStyle w:val="KeinLeerraum"/>
            </w:pPr>
            <w:r>
              <w:t>252</w:t>
            </w:r>
          </w:p>
        </w:tc>
        <w:tc>
          <w:tcPr>
            <w:tcW w:w="1701" w:type="dxa"/>
            <w:tcBorders>
              <w:top w:val="single" w:sz="12" w:space="0" w:color="auto"/>
              <w:bottom w:val="nil"/>
            </w:tcBorders>
          </w:tcPr>
          <w:p w14:paraId="542E95BB" w14:textId="77777777" w:rsidR="00CE6680" w:rsidRDefault="00CE6680" w:rsidP="00BE7A17">
            <w:pPr>
              <w:pStyle w:val="KeinLeerraum"/>
            </w:pPr>
            <w:r>
              <w:t>250</w:t>
            </w:r>
          </w:p>
        </w:tc>
        <w:tc>
          <w:tcPr>
            <w:tcW w:w="2832" w:type="dxa"/>
            <w:tcBorders>
              <w:top w:val="single" w:sz="12" w:space="0" w:color="auto"/>
              <w:bottom w:val="nil"/>
              <w:right w:val="nil"/>
            </w:tcBorders>
          </w:tcPr>
          <w:p w14:paraId="1A32FC6E" w14:textId="77777777" w:rsidR="00CE6680" w:rsidRPr="00E56539" w:rsidRDefault="00CE6680" w:rsidP="00BE7A17">
            <w:pPr>
              <w:pStyle w:val="KeinLeerraum"/>
            </w:pPr>
            <w:r>
              <w:t>22.1</w:t>
            </w:r>
          </w:p>
        </w:tc>
      </w:tr>
      <w:tr w:rsidR="00CE6680" w14:paraId="7799729F" w14:textId="77777777" w:rsidTr="009A07C8">
        <w:trPr>
          <w:trHeight w:val="70"/>
        </w:trPr>
        <w:tc>
          <w:tcPr>
            <w:tcW w:w="2266" w:type="dxa"/>
            <w:tcBorders>
              <w:top w:val="nil"/>
              <w:left w:val="nil"/>
              <w:bottom w:val="single" w:sz="4" w:space="0" w:color="auto"/>
            </w:tcBorders>
          </w:tcPr>
          <w:p w14:paraId="053858AE" w14:textId="5BB0DDC4" w:rsidR="00CE6680" w:rsidRDefault="00CE6680" w:rsidP="00BE7A17">
            <w:pPr>
              <w:pStyle w:val="KeinLeerraum"/>
            </w:pPr>
            <w:r w:rsidRPr="00EB06BF">
              <w:t>Benzo</w:t>
            </w:r>
            <w:r w:rsidR="00187DF3">
              <w:t>(</w:t>
            </w:r>
            <w:r w:rsidRPr="00EB06BF">
              <w:rPr>
                <w:i/>
              </w:rPr>
              <w:t>a</w:t>
            </w:r>
            <w:r w:rsidR="00187DF3" w:rsidRPr="00187DF3">
              <w:rPr>
                <w:iCs/>
              </w:rPr>
              <w:t>)</w:t>
            </w:r>
            <w:r w:rsidRPr="00EB06BF">
              <w:t>pyrene</w:t>
            </w:r>
            <w:r>
              <w:t>-d12</w:t>
            </w:r>
          </w:p>
        </w:tc>
        <w:tc>
          <w:tcPr>
            <w:tcW w:w="2267" w:type="dxa"/>
            <w:tcBorders>
              <w:top w:val="nil"/>
              <w:bottom w:val="single" w:sz="4" w:space="0" w:color="auto"/>
            </w:tcBorders>
          </w:tcPr>
          <w:p w14:paraId="5DAEC3B5" w14:textId="77777777" w:rsidR="00CE6680" w:rsidRDefault="00CE6680" w:rsidP="00BE7A17">
            <w:pPr>
              <w:pStyle w:val="KeinLeerraum"/>
            </w:pPr>
            <w:r>
              <w:t>264</w:t>
            </w:r>
          </w:p>
        </w:tc>
        <w:tc>
          <w:tcPr>
            <w:tcW w:w="1701" w:type="dxa"/>
            <w:tcBorders>
              <w:top w:val="nil"/>
              <w:bottom w:val="single" w:sz="4" w:space="0" w:color="auto"/>
            </w:tcBorders>
          </w:tcPr>
          <w:p w14:paraId="1496CEF3" w14:textId="77777777" w:rsidR="00CE6680" w:rsidRDefault="00CE6680" w:rsidP="00BE7A17">
            <w:pPr>
              <w:pStyle w:val="KeinLeerraum"/>
            </w:pPr>
            <w:r>
              <w:t>260</w:t>
            </w:r>
          </w:p>
        </w:tc>
        <w:tc>
          <w:tcPr>
            <w:tcW w:w="2832" w:type="dxa"/>
            <w:tcBorders>
              <w:top w:val="nil"/>
              <w:bottom w:val="single" w:sz="4" w:space="0" w:color="auto"/>
              <w:right w:val="nil"/>
            </w:tcBorders>
          </w:tcPr>
          <w:p w14:paraId="788DEBBC" w14:textId="77777777" w:rsidR="00CE6680" w:rsidRPr="00E56539" w:rsidRDefault="00CE6680" w:rsidP="00BE7A17">
            <w:pPr>
              <w:pStyle w:val="KeinLeerraum"/>
            </w:pPr>
            <w:r>
              <w:t>17.5</w:t>
            </w:r>
          </w:p>
        </w:tc>
      </w:tr>
    </w:tbl>
    <w:p w14:paraId="49370547" w14:textId="77777777" w:rsidR="0018218F" w:rsidRDefault="00CE6680" w:rsidP="00CE6680">
      <w:pPr>
        <w:pStyle w:val="KeinLeerraum"/>
        <w:keepNext/>
        <w:rPr>
          <w:lang w:val="en-US"/>
        </w:rPr>
      </w:pPr>
      <w:r>
        <w:rPr>
          <w:sz w:val="18"/>
          <w:szCs w:val="18"/>
          <w:lang w:val="en-US"/>
        </w:rPr>
        <w:t>*range was calculated by</w:t>
      </w:r>
      <w:r w:rsidRPr="00792113">
        <w:rPr>
          <w:sz w:val="18"/>
          <w:szCs w:val="18"/>
          <w:lang w:val="en-US"/>
        </w:rPr>
        <w:t xml:space="preserve"> MassHunter software</w:t>
      </w:r>
      <w:r>
        <w:rPr>
          <w:sz w:val="18"/>
          <w:szCs w:val="18"/>
          <w:lang w:val="en-US"/>
        </w:rPr>
        <w:t xml:space="preserve"> (V.</w:t>
      </w:r>
      <w:r w:rsidRPr="00DD137E">
        <w:rPr>
          <w:lang w:val="en-US"/>
        </w:rPr>
        <w:t xml:space="preserve"> B.06.00</w:t>
      </w:r>
      <w:r>
        <w:rPr>
          <w:lang w:val="en-US"/>
        </w:rPr>
        <w:t>)</w:t>
      </w:r>
      <w:r w:rsidRPr="00792113">
        <w:rPr>
          <w:lang w:val="en-US"/>
        </w:rPr>
        <w:tab/>
      </w:r>
    </w:p>
    <w:p w14:paraId="54CF2A2F" w14:textId="20493C3B" w:rsidR="00CE6680" w:rsidRPr="004C04DA" w:rsidRDefault="00CE6680" w:rsidP="00CE6680">
      <w:pPr>
        <w:pStyle w:val="KeinLeerraum"/>
        <w:keepNext/>
        <w:rPr>
          <w:lang w:val="en-US"/>
        </w:rPr>
      </w:pPr>
      <w:r w:rsidRPr="00792113">
        <w:rPr>
          <w:lang w:val="en-US"/>
        </w:rPr>
        <w:br/>
      </w:r>
      <w:r w:rsidR="0018218F">
        <w:rPr>
          <w:noProof/>
          <w:lang w:val="en-US"/>
        </w:rPr>
        <w:drawing>
          <wp:inline distT="0" distB="0" distL="0" distR="0" wp14:anchorId="1C2BD5AB" wp14:editId="01A10F84">
            <wp:extent cx="5760720" cy="164465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1644650"/>
                    </a:xfrm>
                    <a:prstGeom prst="rect">
                      <a:avLst/>
                    </a:prstGeom>
                  </pic:spPr>
                </pic:pic>
              </a:graphicData>
            </a:graphic>
          </wp:inline>
        </w:drawing>
      </w:r>
    </w:p>
    <w:p w14:paraId="2A92209F" w14:textId="43AEC732" w:rsidR="00CE6680" w:rsidRDefault="00CE6680" w:rsidP="00CF06D5">
      <w:pPr>
        <w:spacing w:line="276" w:lineRule="auto"/>
      </w:pPr>
      <w:r w:rsidRPr="00187DF3">
        <w:rPr>
          <w:b/>
          <w:bCs/>
        </w:rPr>
        <w:t>Figure S2</w:t>
      </w:r>
      <w:r w:rsidR="0018218F" w:rsidRPr="00187DF3">
        <w:rPr>
          <w:b/>
          <w:bCs/>
        </w:rPr>
        <w:t>: Representative</w:t>
      </w:r>
      <w:r w:rsidRPr="00187DF3">
        <w:rPr>
          <w:b/>
          <w:bCs/>
        </w:rPr>
        <w:t xml:space="preserve"> GC-MS calibration curve</w:t>
      </w:r>
      <w:r w:rsidR="0018218F" w:rsidRPr="00187DF3">
        <w:rPr>
          <w:b/>
          <w:bCs/>
        </w:rPr>
        <w:t>s</w:t>
      </w:r>
      <w:r w:rsidRPr="00187DF3">
        <w:rPr>
          <w:b/>
          <w:bCs/>
        </w:rPr>
        <w:t xml:space="preserve"> for benzo</w:t>
      </w:r>
      <w:r w:rsidR="0018218F" w:rsidRPr="00187DF3">
        <w:rPr>
          <w:b/>
          <w:bCs/>
        </w:rPr>
        <w:t>(</w:t>
      </w:r>
      <w:r w:rsidRPr="00187DF3">
        <w:rPr>
          <w:b/>
          <w:bCs/>
          <w:i/>
          <w:iCs/>
        </w:rPr>
        <w:t>a</w:t>
      </w:r>
      <w:r w:rsidR="0018218F" w:rsidRPr="00187DF3">
        <w:rPr>
          <w:b/>
          <w:bCs/>
        </w:rPr>
        <w:t>)</w:t>
      </w:r>
      <w:r w:rsidRPr="00187DF3">
        <w:rPr>
          <w:b/>
          <w:bCs/>
        </w:rPr>
        <w:t>pyrene (</w:t>
      </w:r>
      <w:bookmarkStart w:id="4" w:name="OLE_LINK1"/>
      <w:r w:rsidRPr="00187DF3">
        <w:rPr>
          <w:b/>
          <w:bCs/>
        </w:rPr>
        <w:t>B</w:t>
      </w:r>
      <w:r w:rsidR="0018218F" w:rsidRPr="00187DF3">
        <w:rPr>
          <w:b/>
          <w:bCs/>
        </w:rPr>
        <w:t>(</w:t>
      </w:r>
      <w:r w:rsidRPr="00187DF3">
        <w:rPr>
          <w:b/>
          <w:bCs/>
          <w:i/>
          <w:iCs/>
        </w:rPr>
        <w:t>a</w:t>
      </w:r>
      <w:r w:rsidR="0018218F" w:rsidRPr="00187DF3">
        <w:rPr>
          <w:b/>
          <w:bCs/>
        </w:rPr>
        <w:t>)</w:t>
      </w:r>
      <w:r w:rsidRPr="00187DF3">
        <w:rPr>
          <w:b/>
          <w:bCs/>
        </w:rPr>
        <w:t>P</w:t>
      </w:r>
      <w:bookmarkEnd w:id="4"/>
      <w:r w:rsidRPr="00187DF3">
        <w:rPr>
          <w:b/>
          <w:bCs/>
        </w:rPr>
        <w:t>)</w:t>
      </w:r>
      <w:r>
        <w:t xml:space="preserve"> in </w:t>
      </w:r>
      <w:r w:rsidR="0018218F">
        <w:t xml:space="preserve">(i) </w:t>
      </w:r>
      <w:r>
        <w:t>hexane</w:t>
      </w:r>
      <w:r w:rsidR="0018218F">
        <w:t>, (ii) cell culture medium (CCM)</w:t>
      </w:r>
      <w:r>
        <w:t xml:space="preserve"> and </w:t>
      </w:r>
      <w:r w:rsidR="0018218F">
        <w:t xml:space="preserve">(iii) cellular matrix. </w:t>
      </w:r>
      <w:r w:rsidR="00C07F48">
        <w:t>The peak area ratios of B(</w:t>
      </w:r>
      <w:r w:rsidR="00C07F48" w:rsidRPr="0018218F">
        <w:rPr>
          <w:i/>
          <w:iCs/>
        </w:rPr>
        <w:t>a</w:t>
      </w:r>
      <w:r w:rsidR="00C07F48">
        <w:t>)P and B(</w:t>
      </w:r>
      <w:r w:rsidR="00C07F48" w:rsidRPr="0018218F">
        <w:rPr>
          <w:i/>
          <w:iCs/>
        </w:rPr>
        <w:t>a</w:t>
      </w:r>
      <w:r w:rsidR="00C07F48">
        <w:t>)P</w:t>
      </w:r>
      <w:r w:rsidR="00C07F48" w:rsidRPr="0018218F">
        <w:rPr>
          <w:vertAlign w:val="subscript"/>
        </w:rPr>
        <w:t>d12</w:t>
      </w:r>
      <w:r w:rsidR="00C07F48">
        <w:t xml:space="preserve"> are plotted as a function of the analyte </w:t>
      </w:r>
      <w:r w:rsidR="0018218F">
        <w:t>concentration in ng/mL</w:t>
      </w:r>
      <w:r w:rsidR="00C07F48">
        <w:t>.</w:t>
      </w:r>
      <w:r w:rsidR="0018218F">
        <w:t xml:space="preserve"> Calibration curves were analyzed using MassHunter software (version B.06.00).</w:t>
      </w:r>
    </w:p>
    <w:p w14:paraId="7ADE83FB" w14:textId="27E32D25" w:rsidR="009249B4" w:rsidRDefault="009249B4" w:rsidP="009249B4">
      <w:pPr>
        <w:pStyle w:val="berschrift1"/>
      </w:pPr>
      <w:r>
        <w:lastRenderedPageBreak/>
        <w:t>4. Initial screening of different environmental relevant MNPs</w:t>
      </w:r>
    </w:p>
    <w:p w14:paraId="4D89F00C" w14:textId="71957D0F" w:rsidR="009249B4" w:rsidRDefault="009249B4" w:rsidP="009249B4">
      <w:pPr>
        <w:pStyle w:val="berschrift1"/>
      </w:pPr>
      <w:r>
        <w:rPr>
          <w:noProof/>
        </w:rPr>
        <w:drawing>
          <wp:inline distT="0" distB="0" distL="0" distR="0" wp14:anchorId="0EEBA489" wp14:editId="39A8E7B6">
            <wp:extent cx="5760720" cy="3350895"/>
            <wp:effectExtent l="0" t="0" r="0" b="190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3350895"/>
                    </a:xfrm>
                    <a:prstGeom prst="rect">
                      <a:avLst/>
                    </a:prstGeom>
                  </pic:spPr>
                </pic:pic>
              </a:graphicData>
            </a:graphic>
          </wp:inline>
        </w:drawing>
      </w:r>
    </w:p>
    <w:p w14:paraId="6C452B25" w14:textId="1C68355C" w:rsidR="00CF06D5" w:rsidRDefault="009249B4" w:rsidP="00CF06D5">
      <w:pPr>
        <w:spacing w:line="276" w:lineRule="auto"/>
        <w:rPr>
          <w:b/>
          <w:bCs/>
        </w:rPr>
      </w:pPr>
      <w:r w:rsidRPr="00187DF3">
        <w:rPr>
          <w:b/>
          <w:bCs/>
        </w:rPr>
        <w:t>Figure S</w:t>
      </w:r>
      <w:r w:rsidR="00CF06D5">
        <w:rPr>
          <w:b/>
          <w:bCs/>
        </w:rPr>
        <w:t>3</w:t>
      </w:r>
      <w:r w:rsidRPr="00187DF3">
        <w:rPr>
          <w:b/>
          <w:bCs/>
        </w:rPr>
        <w:t xml:space="preserve">: </w:t>
      </w:r>
      <w:r>
        <w:rPr>
          <w:b/>
          <w:bCs/>
        </w:rPr>
        <w:t>(i) Effects on cell viability of CaCo-2 cells after 24 h exposure to different MNPs as assessed by the CTB assay. (ii) Generation of reactive oxygen species</w:t>
      </w:r>
      <w:r w:rsidR="005C6EF7">
        <w:rPr>
          <w:b/>
          <w:bCs/>
        </w:rPr>
        <w:t xml:space="preserve"> (acellular)</w:t>
      </w:r>
      <w:r w:rsidR="00781BF9">
        <w:rPr>
          <w:b/>
          <w:bCs/>
        </w:rPr>
        <w:t>.</w:t>
      </w:r>
      <w:r>
        <w:rPr>
          <w:b/>
          <w:bCs/>
        </w:rPr>
        <w:t xml:space="preserve"> </w:t>
      </w:r>
    </w:p>
    <w:p w14:paraId="64D3D2CD" w14:textId="77777777" w:rsidR="00CF06D5" w:rsidRDefault="00CF06D5">
      <w:pPr>
        <w:spacing w:after="160" w:line="259" w:lineRule="auto"/>
        <w:jc w:val="left"/>
        <w:rPr>
          <w:b/>
          <w:bCs/>
        </w:rPr>
      </w:pPr>
      <w:r>
        <w:rPr>
          <w:b/>
          <w:bCs/>
        </w:rPr>
        <w:br w:type="page"/>
      </w:r>
    </w:p>
    <w:p w14:paraId="0C085876" w14:textId="02A6AFD0" w:rsidR="00631C04" w:rsidRDefault="00995819" w:rsidP="00631C04">
      <w:pPr>
        <w:pStyle w:val="berschrift1"/>
        <w:rPr>
          <w:lang w:val="en-GB"/>
        </w:rPr>
      </w:pPr>
      <w:r>
        <w:rPr>
          <w:lang w:val="en-GB"/>
        </w:rPr>
        <w:lastRenderedPageBreak/>
        <w:t>5</w:t>
      </w:r>
      <w:r w:rsidR="00631C04">
        <w:rPr>
          <w:lang w:val="en-GB"/>
        </w:rPr>
        <w:t>. Investigating the carrier effect of B(</w:t>
      </w:r>
      <w:r w:rsidR="00631C04" w:rsidRPr="00631C04">
        <w:rPr>
          <w:i/>
          <w:iCs/>
          <w:lang w:val="en-GB"/>
        </w:rPr>
        <w:t>a</w:t>
      </w:r>
      <w:r w:rsidR="00631C04">
        <w:rPr>
          <w:lang w:val="en-GB"/>
        </w:rPr>
        <w:t>)P for PA-6 particles</w:t>
      </w:r>
    </w:p>
    <w:p w14:paraId="2BFE2EF4" w14:textId="612B3316" w:rsidR="00CF06D5" w:rsidRDefault="00CF06D5" w:rsidP="00CF06D5">
      <w:pPr>
        <w:pStyle w:val="berschrift2"/>
        <w:rPr>
          <w:lang w:eastAsia="ja-JP"/>
        </w:rPr>
      </w:pPr>
      <w:r>
        <w:rPr>
          <w:lang w:eastAsia="ja-JP"/>
        </w:rPr>
        <w:t>Internalization of PA-6 and PE MPs by CaCo-2 cells</w:t>
      </w:r>
    </w:p>
    <w:p w14:paraId="515C0F52" w14:textId="77777777" w:rsidR="00CF06D5" w:rsidRDefault="00CF06D5" w:rsidP="00CF06D5">
      <w:pPr>
        <w:jc w:val="center"/>
      </w:pPr>
      <w:r>
        <w:rPr>
          <w:noProof/>
          <w:lang w:eastAsia="de-DE"/>
        </w:rPr>
        <w:drawing>
          <wp:inline distT="0" distB="0" distL="0" distR="0" wp14:anchorId="2C4E4FDE" wp14:editId="49B26596">
            <wp:extent cx="4801432" cy="2719137"/>
            <wp:effectExtent l="0" t="0" r="0" b="0"/>
            <wp:docPr id="91661633" name="Grafik 91661633" descr="Ein Bild, das Karte,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61633" name="Grafik 91661633" descr="Ein Bild, das Karte, Text enthält.&#10;&#10;KI-generierte Inhalte können fehlerhaft sein."/>
                    <pic:cNvPicPr/>
                  </pic:nvPicPr>
                  <pic:blipFill rotWithShape="1">
                    <a:blip r:embed="rId14" cstate="print">
                      <a:extLst>
                        <a:ext uri="{28A0092B-C50C-407E-A947-70E740481C1C}">
                          <a14:useLocalDpi xmlns:a14="http://schemas.microsoft.com/office/drawing/2010/main" val="0"/>
                        </a:ext>
                      </a:extLst>
                    </a:blip>
                    <a:srcRect l="674" r="1"/>
                    <a:stretch/>
                  </pic:blipFill>
                  <pic:spPr bwMode="auto">
                    <a:xfrm>
                      <a:off x="0" y="0"/>
                      <a:ext cx="4828192" cy="2734292"/>
                    </a:xfrm>
                    <a:prstGeom prst="rect">
                      <a:avLst/>
                    </a:prstGeom>
                    <a:ln>
                      <a:noFill/>
                    </a:ln>
                    <a:extLst>
                      <a:ext uri="{53640926-AAD7-44D8-BBD7-CCE9431645EC}">
                        <a14:shadowObscured xmlns:a14="http://schemas.microsoft.com/office/drawing/2010/main"/>
                      </a:ext>
                    </a:extLst>
                  </pic:spPr>
                </pic:pic>
              </a:graphicData>
            </a:graphic>
          </wp:inline>
        </w:drawing>
      </w:r>
    </w:p>
    <w:p w14:paraId="7C773791" w14:textId="36980DAF" w:rsidR="00CF06D5" w:rsidRPr="00CF06D5" w:rsidRDefault="00CF06D5" w:rsidP="00CF06D5">
      <w:pPr>
        <w:pStyle w:val="Beschriftung"/>
        <w:spacing w:line="276" w:lineRule="auto"/>
        <w:rPr>
          <w:rFonts w:eastAsiaTheme="minorEastAsia"/>
          <w:b/>
          <w:bCs/>
          <w:i w:val="0"/>
          <w:iCs w:val="0"/>
          <w:sz w:val="22"/>
          <w:szCs w:val="21"/>
        </w:rPr>
      </w:pPr>
      <w:r w:rsidRPr="00CF06D5">
        <w:rPr>
          <w:rFonts w:eastAsiaTheme="minorEastAsia"/>
          <w:b/>
          <w:bCs/>
          <w:i w:val="0"/>
          <w:iCs w:val="0"/>
          <w:sz w:val="22"/>
          <w:szCs w:val="21"/>
        </w:rPr>
        <w:t>Figure S</w:t>
      </w:r>
      <w:r>
        <w:rPr>
          <w:rFonts w:eastAsiaTheme="minorEastAsia"/>
          <w:b/>
          <w:bCs/>
          <w:i w:val="0"/>
          <w:iCs w:val="0"/>
          <w:sz w:val="22"/>
          <w:szCs w:val="21"/>
        </w:rPr>
        <w:t xml:space="preserve">4: </w:t>
      </w:r>
      <w:r w:rsidRPr="00CF06D5">
        <w:rPr>
          <w:rFonts w:eastAsiaTheme="minorEastAsia"/>
          <w:b/>
          <w:bCs/>
          <w:i w:val="0"/>
          <w:iCs w:val="0"/>
          <w:sz w:val="22"/>
          <w:szCs w:val="21"/>
        </w:rPr>
        <w:t xml:space="preserve">Ultrastructure of CaCo-2 cells. </w:t>
      </w:r>
      <w:r w:rsidRPr="00CF06D5">
        <w:rPr>
          <w:rFonts w:eastAsiaTheme="minorEastAsia"/>
          <w:i w:val="0"/>
          <w:iCs w:val="0"/>
          <w:sz w:val="22"/>
          <w:szCs w:val="21"/>
        </w:rPr>
        <w:t>(A) Undifferentiated CaCo-2 cells (early state of cultivation) characterized by a compact nucleus (nu) and few microvilli structures at the surface (mv). (B) Fully differentiated CaCo-2 cells characterized fully developed fields of microvilli (mv), a lobed nucleus (nu), characteristic electron lucent areas (asterisk in B), and tight junctions among adjacent cells (tj).</w:t>
      </w:r>
    </w:p>
    <w:p w14:paraId="049BA89F" w14:textId="77777777" w:rsidR="00CF06D5" w:rsidRDefault="00CF06D5" w:rsidP="00CF06D5">
      <w:pPr>
        <w:jc w:val="center"/>
      </w:pPr>
      <w:r>
        <w:rPr>
          <w:noProof/>
          <w:lang w:eastAsia="de-DE"/>
        </w:rPr>
        <w:drawing>
          <wp:inline distT="0" distB="0" distL="0" distR="0" wp14:anchorId="5B7FF879" wp14:editId="0B8007A8">
            <wp:extent cx="5053264" cy="2842461"/>
            <wp:effectExtent l="0" t="0" r="1905" b="2540"/>
            <wp:docPr id="1780264619" name="Grafik 1780264619" descr="Ein Bild, das Screenshot, Schwarzweiß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64619" name="Grafik 1780264619" descr="Ein Bild, das Screenshot, Schwarzweiß enthält.&#10;&#10;KI-generierte Inhalte können fehlerhaft sei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72209" cy="2853118"/>
                    </a:xfrm>
                    <a:prstGeom prst="rect">
                      <a:avLst/>
                    </a:prstGeom>
                  </pic:spPr>
                </pic:pic>
              </a:graphicData>
            </a:graphic>
          </wp:inline>
        </w:drawing>
      </w:r>
    </w:p>
    <w:p w14:paraId="62A0814D" w14:textId="60AB518B" w:rsidR="00CF06D5" w:rsidRPr="00CF06D5" w:rsidRDefault="00CF06D5" w:rsidP="00CF06D5">
      <w:pPr>
        <w:pStyle w:val="Beschriftung"/>
        <w:spacing w:line="276" w:lineRule="auto"/>
        <w:rPr>
          <w:rFonts w:eastAsiaTheme="minorEastAsia"/>
          <w:i w:val="0"/>
          <w:iCs w:val="0"/>
          <w:sz w:val="22"/>
          <w:szCs w:val="21"/>
        </w:rPr>
      </w:pPr>
      <w:r w:rsidRPr="00CF06D5">
        <w:rPr>
          <w:rFonts w:eastAsiaTheme="minorEastAsia"/>
          <w:b/>
          <w:bCs/>
          <w:i w:val="0"/>
          <w:iCs w:val="0"/>
          <w:sz w:val="22"/>
          <w:szCs w:val="21"/>
        </w:rPr>
        <w:t>Figure S</w:t>
      </w:r>
      <w:r>
        <w:rPr>
          <w:rFonts w:eastAsiaTheme="minorEastAsia"/>
          <w:b/>
          <w:bCs/>
          <w:i w:val="0"/>
          <w:iCs w:val="0"/>
          <w:sz w:val="22"/>
          <w:szCs w:val="21"/>
        </w:rPr>
        <w:t>5:</w:t>
      </w:r>
      <w:r w:rsidRPr="00CF06D5">
        <w:rPr>
          <w:rFonts w:eastAsiaTheme="minorEastAsia"/>
          <w:b/>
          <w:bCs/>
          <w:i w:val="0"/>
          <w:iCs w:val="0"/>
          <w:sz w:val="22"/>
          <w:szCs w:val="21"/>
        </w:rPr>
        <w:t xml:space="preserve"> Uptake of microplastic particles by CaCo-2 cells into membrane bound vacuoles. </w:t>
      </w:r>
      <w:r w:rsidRPr="00CF06D5">
        <w:rPr>
          <w:rFonts w:eastAsiaTheme="minorEastAsia"/>
          <w:i w:val="0"/>
          <w:iCs w:val="0"/>
          <w:sz w:val="22"/>
          <w:szCs w:val="21"/>
        </w:rPr>
        <w:t>(A-C) are deformed and partially detached from surrounding membrane structures, which is interpreted as an embedding/sectioning artefact. Adjacent osmiophilic structures (arrows) in (B) and (C) are interpreted as enclosing membranes. (B) Shows another sectioning plane of the inclusion marked by the white box in (A).</w:t>
      </w:r>
    </w:p>
    <w:p w14:paraId="428D40E3" w14:textId="77777777" w:rsidR="00CF06D5" w:rsidRDefault="00CF06D5" w:rsidP="00CF06D5">
      <w:pPr>
        <w:rPr>
          <w:rFonts w:eastAsiaTheme="minorEastAsia"/>
          <w:bCs/>
          <w:i/>
          <w:sz w:val="20"/>
          <w:szCs w:val="20"/>
          <w:lang w:val="en-GB" w:eastAsia="de-DE"/>
        </w:rPr>
      </w:pPr>
    </w:p>
    <w:p w14:paraId="3FFF1D1B" w14:textId="77777777" w:rsidR="00CF06D5" w:rsidRDefault="00CF06D5" w:rsidP="00CF06D5">
      <w:pPr>
        <w:jc w:val="center"/>
      </w:pPr>
      <w:r>
        <w:rPr>
          <w:noProof/>
          <w:lang w:eastAsia="de-DE"/>
        </w:rPr>
        <w:lastRenderedPageBreak/>
        <w:drawing>
          <wp:inline distT="0" distB="0" distL="0" distR="0" wp14:anchorId="69965B64" wp14:editId="0BCABD24">
            <wp:extent cx="4048035" cy="3240405"/>
            <wp:effectExtent l="3492" t="0" r="0" b="0"/>
            <wp:docPr id="7" name="Grafik 7" descr="Ein Bild, das Text, Screenshot, Schwarzweiß, monochro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Text, Screenshot, Schwarzweiß, monochrom enthält.&#10;&#10;KI-generierte Inhalte können fehlerhaft sein."/>
                    <pic:cNvPicPr/>
                  </pic:nvPicPr>
                  <pic:blipFill rotWithShape="1">
                    <a:blip r:embed="rId16" cstate="print">
                      <a:extLst>
                        <a:ext uri="{28A0092B-C50C-407E-A947-70E740481C1C}">
                          <a14:useLocalDpi xmlns:a14="http://schemas.microsoft.com/office/drawing/2010/main" val="0"/>
                        </a:ext>
                      </a:extLst>
                    </a:blip>
                    <a:srcRect l="29731"/>
                    <a:stretch/>
                  </pic:blipFill>
                  <pic:spPr bwMode="auto">
                    <a:xfrm rot="16200000">
                      <a:off x="0" y="0"/>
                      <a:ext cx="4048035" cy="3240405"/>
                    </a:xfrm>
                    <a:prstGeom prst="rect">
                      <a:avLst/>
                    </a:prstGeom>
                    <a:ln>
                      <a:noFill/>
                    </a:ln>
                    <a:extLst>
                      <a:ext uri="{53640926-AAD7-44D8-BBD7-CCE9431645EC}">
                        <a14:shadowObscured xmlns:a14="http://schemas.microsoft.com/office/drawing/2010/main"/>
                      </a:ext>
                    </a:extLst>
                  </pic:spPr>
                </pic:pic>
              </a:graphicData>
            </a:graphic>
          </wp:inline>
        </w:drawing>
      </w:r>
    </w:p>
    <w:p w14:paraId="2007DCBA" w14:textId="29646205" w:rsidR="00CF06D5" w:rsidRPr="00CF06D5" w:rsidRDefault="00CF06D5" w:rsidP="00CF06D5">
      <w:pPr>
        <w:pStyle w:val="Beschriftung"/>
        <w:spacing w:line="276" w:lineRule="auto"/>
        <w:rPr>
          <w:rFonts w:eastAsiaTheme="minorEastAsia"/>
          <w:b/>
          <w:bCs/>
          <w:i w:val="0"/>
          <w:iCs w:val="0"/>
          <w:sz w:val="22"/>
          <w:szCs w:val="21"/>
        </w:rPr>
      </w:pPr>
      <w:r w:rsidRPr="00CF06D5">
        <w:rPr>
          <w:rFonts w:eastAsiaTheme="minorEastAsia"/>
          <w:b/>
          <w:bCs/>
          <w:i w:val="0"/>
          <w:iCs w:val="0"/>
          <w:sz w:val="22"/>
          <w:szCs w:val="21"/>
        </w:rPr>
        <w:t>Figure S</w:t>
      </w:r>
      <w:r>
        <w:rPr>
          <w:rFonts w:eastAsiaTheme="minorEastAsia"/>
          <w:b/>
          <w:bCs/>
          <w:i w:val="0"/>
          <w:iCs w:val="0"/>
          <w:sz w:val="22"/>
          <w:szCs w:val="21"/>
        </w:rPr>
        <w:t>6</w:t>
      </w:r>
      <w:r w:rsidRPr="00CF06D5">
        <w:rPr>
          <w:rFonts w:eastAsiaTheme="minorEastAsia"/>
          <w:b/>
          <w:bCs/>
          <w:i w:val="0"/>
          <w:iCs w:val="0"/>
          <w:sz w:val="22"/>
          <w:szCs w:val="21"/>
        </w:rPr>
        <w:t xml:space="preserve">. Treatment with microplastic particles partially alters the outer structure of differentiated CaCo-2 cells. </w:t>
      </w:r>
      <w:r w:rsidRPr="00CF06D5">
        <w:rPr>
          <w:rFonts w:eastAsiaTheme="minorEastAsia"/>
          <w:i w:val="0"/>
          <w:iCs w:val="0"/>
          <w:sz w:val="22"/>
          <w:szCs w:val="21"/>
        </w:rPr>
        <w:t>(A) Treatment with polyamide particles (PA-6</w:t>
      </w:r>
      <w:r w:rsidRPr="00CF06D5">
        <w:rPr>
          <w:rFonts w:eastAsiaTheme="minorEastAsia"/>
          <w:i w:val="0"/>
          <w:iCs w:val="0"/>
          <w:sz w:val="22"/>
          <w:szCs w:val="21"/>
          <w:vertAlign w:val="subscript"/>
        </w:rPr>
        <w:t>7µm</w:t>
      </w:r>
      <w:r w:rsidRPr="00CF06D5">
        <w:rPr>
          <w:rFonts w:eastAsiaTheme="minorEastAsia"/>
          <w:i w:val="0"/>
          <w:iCs w:val="0"/>
          <w:sz w:val="22"/>
          <w:szCs w:val="21"/>
        </w:rPr>
        <w:t>). In the lower right corner, some structures of the filter carrier were sectioned. (B) Treatment with polyethylene (PE) particles. Both treatments caused areas where microvilli appeared irregular or damaged (ir mv); local extracellular debris was also found on top of the cells (A). nu: nucleus, tj: tight junction structures</w:t>
      </w:r>
      <w:r w:rsidRPr="00CF06D5">
        <w:rPr>
          <w:rFonts w:eastAsiaTheme="minorEastAsia"/>
          <w:b/>
          <w:bCs/>
          <w:i w:val="0"/>
          <w:iCs w:val="0"/>
          <w:sz w:val="22"/>
          <w:szCs w:val="21"/>
        </w:rPr>
        <w:t>.</w:t>
      </w:r>
    </w:p>
    <w:p w14:paraId="7B61BF29" w14:textId="6F6B80A1" w:rsidR="00631C04" w:rsidRDefault="00631C04" w:rsidP="00631C04">
      <w:pPr>
        <w:pStyle w:val="berschrift2"/>
        <w:rPr>
          <w:lang w:val="en-GB"/>
        </w:rPr>
      </w:pPr>
      <w:r>
        <w:rPr>
          <w:lang w:val="en-GB"/>
        </w:rPr>
        <w:t>Cell viability testing in undifferentiated CaCo-2 cells</w:t>
      </w:r>
    </w:p>
    <w:p w14:paraId="53DD7C60" w14:textId="69916AC0" w:rsidR="009A07C8" w:rsidRDefault="00631C04" w:rsidP="00CE6680">
      <w:pPr>
        <w:rPr>
          <w:lang w:val="en-GB"/>
        </w:rPr>
      </w:pPr>
      <w:r>
        <w:rPr>
          <w:lang w:val="en-GB"/>
        </w:rPr>
        <w:t xml:space="preserve">For cell viability testing in undifferentiated CaCo-2 cells, cells were seeded in 96-well plates with a density of 5,000 cells/well. Cells were let attached for 24 h and subsequently </w:t>
      </w:r>
      <w:r w:rsidR="00EA0629">
        <w:rPr>
          <w:lang w:val="en-GB"/>
        </w:rPr>
        <w:t xml:space="preserve">treated </w:t>
      </w:r>
      <w:r>
        <w:rPr>
          <w:lang w:val="en-GB"/>
        </w:rPr>
        <w:t>with B(</w:t>
      </w:r>
      <w:r w:rsidRPr="00DD52AA">
        <w:rPr>
          <w:i/>
          <w:iCs/>
          <w:lang w:val="en-GB"/>
        </w:rPr>
        <w:t>a</w:t>
      </w:r>
      <w:r>
        <w:rPr>
          <w:lang w:val="en-GB"/>
        </w:rPr>
        <w:t xml:space="preserve">)P at concentrations ranging between 1.01-22.63 </w:t>
      </w:r>
      <w:r>
        <w:rPr>
          <w:rFonts w:cstheme="minorHAnsi"/>
          <w:lang w:val="en-GB"/>
        </w:rPr>
        <w:t>µ</w:t>
      </w:r>
      <w:r>
        <w:rPr>
          <w:lang w:val="en-GB"/>
        </w:rPr>
        <w:t>M</w:t>
      </w:r>
      <w:r w:rsidR="00E74568">
        <w:rPr>
          <w:lang w:val="en-GB"/>
        </w:rPr>
        <w:t xml:space="preserve"> for 24 h</w:t>
      </w:r>
      <w:r>
        <w:rPr>
          <w:lang w:val="en-GB"/>
        </w:rPr>
        <w:t xml:space="preserve"> and </w:t>
      </w:r>
      <w:r>
        <w:t>PA</w:t>
      </w:r>
      <w:r>
        <w:noBreakHyphen/>
      </w:r>
      <w:r w:rsidRPr="00F5797A">
        <w:t>6</w:t>
      </w:r>
      <w:r w:rsidRPr="00F5797A">
        <w:rPr>
          <w:vertAlign w:val="subscript"/>
        </w:rPr>
        <w:t>7</w:t>
      </w:r>
      <w:r w:rsidRPr="00F5797A">
        <w:rPr>
          <w:rFonts w:cstheme="minorHAnsi"/>
          <w:vertAlign w:val="subscript"/>
        </w:rPr>
        <w:t>µ</w:t>
      </w:r>
      <w:r w:rsidRPr="00F5797A">
        <w:rPr>
          <w:vertAlign w:val="subscript"/>
        </w:rPr>
        <w:t>m</w:t>
      </w:r>
      <w:r>
        <w:t xml:space="preserve"> </w:t>
      </w:r>
      <w:r>
        <w:rPr>
          <w:lang w:val="en-GB"/>
        </w:rPr>
        <w:t xml:space="preserve">at concentrations of 25, 50 and 100 </w:t>
      </w:r>
      <w:r>
        <w:rPr>
          <w:rFonts w:cstheme="minorHAnsi"/>
          <w:lang w:val="en-GB"/>
        </w:rPr>
        <w:t>µ</w:t>
      </w:r>
      <w:r>
        <w:rPr>
          <w:lang w:val="en-GB"/>
        </w:rPr>
        <w:t>g/mL</w:t>
      </w:r>
      <w:r w:rsidR="00995819">
        <w:rPr>
          <w:lang w:val="en-GB"/>
        </w:rPr>
        <w:t xml:space="preserve"> for 24 h</w:t>
      </w:r>
      <w:r w:rsidR="005C6EF7">
        <w:rPr>
          <w:lang w:val="en-GB"/>
        </w:rPr>
        <w:t>.</w:t>
      </w:r>
    </w:p>
    <w:p w14:paraId="24FC7E42" w14:textId="4E53115C" w:rsidR="009A07C8" w:rsidRDefault="009A07C8">
      <w:pPr>
        <w:spacing w:after="160" w:line="259" w:lineRule="auto"/>
        <w:jc w:val="left"/>
        <w:rPr>
          <w:lang w:val="en-GB"/>
        </w:rPr>
      </w:pPr>
    </w:p>
    <w:p w14:paraId="6BDF23B1" w14:textId="77777777" w:rsidR="00631C04" w:rsidRDefault="00631C04" w:rsidP="009A07C8">
      <w:pPr>
        <w:pStyle w:val="KeinLeerraum"/>
        <w:jc w:val="center"/>
      </w:pPr>
      <w:r>
        <w:rPr>
          <w:noProof/>
        </w:rPr>
        <w:lastRenderedPageBreak/>
        <w:drawing>
          <wp:inline distT="0" distB="0" distL="0" distR="0" wp14:anchorId="618359F4" wp14:editId="69206FC1">
            <wp:extent cx="3898232" cy="2258318"/>
            <wp:effectExtent l="0" t="0" r="7620" b="889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10564" cy="2265462"/>
                    </a:xfrm>
                    <a:prstGeom prst="rect">
                      <a:avLst/>
                    </a:prstGeom>
                  </pic:spPr>
                </pic:pic>
              </a:graphicData>
            </a:graphic>
          </wp:inline>
        </w:drawing>
      </w:r>
    </w:p>
    <w:p w14:paraId="6A693782" w14:textId="2E04A12A" w:rsidR="00631C04" w:rsidRDefault="00631C04" w:rsidP="001B26A7">
      <w:pPr>
        <w:spacing w:line="276" w:lineRule="auto"/>
      </w:pPr>
      <w:r w:rsidRPr="00187DF3">
        <w:rPr>
          <w:b/>
          <w:bCs/>
        </w:rPr>
        <w:t>Figure S</w:t>
      </w:r>
      <w:r w:rsidR="00CF06D5">
        <w:rPr>
          <w:b/>
          <w:bCs/>
        </w:rPr>
        <w:t>7</w:t>
      </w:r>
      <w:r w:rsidRPr="00187DF3">
        <w:rPr>
          <w:b/>
          <w:bCs/>
        </w:rPr>
        <w:t>: Effects of (i) benzo(</w:t>
      </w:r>
      <w:r w:rsidRPr="00187DF3">
        <w:rPr>
          <w:b/>
          <w:bCs/>
          <w:i/>
        </w:rPr>
        <w:t>a</w:t>
      </w:r>
      <w:r w:rsidRPr="00187DF3">
        <w:rPr>
          <w:b/>
          <w:bCs/>
        </w:rPr>
        <w:t>)pyrene (B(</w:t>
      </w:r>
      <w:r w:rsidRPr="00187DF3">
        <w:rPr>
          <w:b/>
          <w:bCs/>
          <w:i/>
        </w:rPr>
        <w:t>a</w:t>
      </w:r>
      <w:r w:rsidRPr="00187DF3">
        <w:rPr>
          <w:b/>
          <w:bCs/>
        </w:rPr>
        <w:t>)P) and (ii) PA</w:t>
      </w:r>
      <w:r w:rsidRPr="00187DF3">
        <w:rPr>
          <w:b/>
          <w:bCs/>
        </w:rPr>
        <w:noBreakHyphen/>
        <w:t>6</w:t>
      </w:r>
      <w:r w:rsidRPr="00187DF3">
        <w:rPr>
          <w:b/>
          <w:bCs/>
          <w:vertAlign w:val="subscript"/>
        </w:rPr>
        <w:t>7</w:t>
      </w:r>
      <w:r w:rsidRPr="00187DF3">
        <w:rPr>
          <w:rFonts w:cstheme="minorHAnsi"/>
          <w:b/>
          <w:bCs/>
          <w:vertAlign w:val="subscript"/>
        </w:rPr>
        <w:t>µ</w:t>
      </w:r>
      <w:r w:rsidRPr="00187DF3">
        <w:rPr>
          <w:b/>
          <w:bCs/>
          <w:vertAlign w:val="subscript"/>
        </w:rPr>
        <w:t>m</w:t>
      </w:r>
      <w:r w:rsidRPr="00187DF3">
        <w:rPr>
          <w:b/>
          <w:bCs/>
        </w:rPr>
        <w:t xml:space="preserve"> on cell viability of undifferentiated CaCo-2 cells.</w:t>
      </w:r>
      <w:r w:rsidRPr="001869D2">
        <w:t xml:space="preserve"> Results are represented as mean values </w:t>
      </w:r>
      <w:r w:rsidRPr="001869D2">
        <w:rPr>
          <w:rFonts w:cstheme="minorHAnsi"/>
        </w:rPr>
        <w:t>±</w:t>
      </w:r>
      <w:r w:rsidRPr="001869D2">
        <w:t xml:space="preserve"> standard deviation from </w:t>
      </w:r>
      <w:r>
        <w:t>at least three</w:t>
      </w:r>
      <w:r w:rsidRPr="001869D2">
        <w:t xml:space="preserve"> independent biological replicates. </w:t>
      </w:r>
    </w:p>
    <w:bookmarkEnd w:id="3"/>
    <w:p w14:paraId="25FB549E" w14:textId="4AF6E4A7" w:rsidR="00357AE2" w:rsidRPr="00357AE2" w:rsidRDefault="00631C04" w:rsidP="009A07C8">
      <w:pPr>
        <w:pStyle w:val="berschrift2"/>
        <w:rPr>
          <w:lang w:val="en-GB"/>
        </w:rPr>
      </w:pPr>
      <w:r>
        <w:rPr>
          <w:lang w:val="en-GB"/>
        </w:rPr>
        <w:t>Quantification of sorbed B(</w:t>
      </w:r>
      <w:r w:rsidRPr="00631C04">
        <w:rPr>
          <w:i/>
          <w:iCs/>
          <w:lang w:val="en-GB"/>
        </w:rPr>
        <w:t>a</w:t>
      </w:r>
      <w:r>
        <w:rPr>
          <w:lang w:val="en-GB"/>
        </w:rPr>
        <w:t>)P on PA-6 to align exposure conditions</w:t>
      </w:r>
    </w:p>
    <w:p w14:paraId="6780760C" w14:textId="4E6AB4F2" w:rsidR="00E219DB" w:rsidRDefault="00C7262A" w:rsidP="00FB568F">
      <w:pPr>
        <w:keepNext/>
        <w:jc w:val="center"/>
      </w:pPr>
      <w:r>
        <w:rPr>
          <w:noProof/>
        </w:rPr>
        <w:drawing>
          <wp:inline distT="0" distB="0" distL="0" distR="0" wp14:anchorId="6EAC777C" wp14:editId="33D46BDC">
            <wp:extent cx="3513221" cy="2208155"/>
            <wp:effectExtent l="0" t="0" r="0" b="190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37767" cy="2223583"/>
                    </a:xfrm>
                    <a:prstGeom prst="rect">
                      <a:avLst/>
                    </a:prstGeom>
                  </pic:spPr>
                </pic:pic>
              </a:graphicData>
            </a:graphic>
          </wp:inline>
        </w:drawing>
      </w:r>
    </w:p>
    <w:p w14:paraId="463D8732" w14:textId="2FBDDD6E" w:rsidR="00E219DB" w:rsidRDefault="00E219DB" w:rsidP="001B26A7">
      <w:pPr>
        <w:spacing w:line="276" w:lineRule="auto"/>
      </w:pPr>
      <w:bookmarkStart w:id="5" w:name="_Hlk210666604"/>
      <w:r w:rsidRPr="00187DF3">
        <w:rPr>
          <w:b/>
          <w:bCs/>
        </w:rPr>
        <w:t>Figure S</w:t>
      </w:r>
      <w:r w:rsidR="00CF06D5">
        <w:rPr>
          <w:b/>
          <w:bCs/>
        </w:rPr>
        <w:t>8</w:t>
      </w:r>
      <w:r w:rsidRPr="00187DF3">
        <w:rPr>
          <w:b/>
          <w:bCs/>
        </w:rPr>
        <w:t>: Verification of PA-6 loading with benzo</w:t>
      </w:r>
      <w:r w:rsidR="00DD52AA" w:rsidRPr="00187DF3">
        <w:rPr>
          <w:b/>
          <w:bCs/>
        </w:rPr>
        <w:t>(</w:t>
      </w:r>
      <w:r w:rsidRPr="00187DF3">
        <w:rPr>
          <w:b/>
          <w:bCs/>
          <w:i/>
        </w:rPr>
        <w:t>a</w:t>
      </w:r>
      <w:r w:rsidR="00DD52AA" w:rsidRPr="00187DF3">
        <w:rPr>
          <w:b/>
          <w:bCs/>
        </w:rPr>
        <w:t>)</w:t>
      </w:r>
      <w:r w:rsidRPr="00187DF3">
        <w:rPr>
          <w:b/>
          <w:bCs/>
        </w:rPr>
        <w:t>pyrene (</w:t>
      </w:r>
      <w:r w:rsidR="00DD52AA" w:rsidRPr="00187DF3">
        <w:rPr>
          <w:b/>
          <w:bCs/>
        </w:rPr>
        <w:t>B(</w:t>
      </w:r>
      <w:r w:rsidR="00DD52AA" w:rsidRPr="00187DF3">
        <w:rPr>
          <w:b/>
          <w:bCs/>
          <w:i/>
        </w:rPr>
        <w:t>a</w:t>
      </w:r>
      <w:r w:rsidR="00DD52AA" w:rsidRPr="00187DF3">
        <w:rPr>
          <w:b/>
          <w:bCs/>
        </w:rPr>
        <w:t>)P</w:t>
      </w:r>
      <w:r w:rsidR="00631C04" w:rsidRPr="00187DF3">
        <w:rPr>
          <w:b/>
          <w:bCs/>
        </w:rPr>
        <w:t>)</w:t>
      </w:r>
      <w:r w:rsidR="00DD52AA" w:rsidRPr="00187DF3">
        <w:rPr>
          <w:b/>
          <w:bCs/>
        </w:rPr>
        <w:t xml:space="preserve"> </w:t>
      </w:r>
      <w:r w:rsidRPr="00187DF3">
        <w:rPr>
          <w:b/>
          <w:bCs/>
        </w:rPr>
        <w:t>using GC-MS</w:t>
      </w:r>
      <w:r w:rsidRPr="00BA27E1">
        <w:t xml:space="preserve">. </w:t>
      </w:r>
      <w:r w:rsidR="00FB568F">
        <w:rPr>
          <w:b/>
        </w:rPr>
        <w:t>(i</w:t>
      </w:r>
      <w:r w:rsidRPr="00C4268C">
        <w:rPr>
          <w:b/>
        </w:rPr>
        <w:t>)</w:t>
      </w:r>
      <w:r w:rsidRPr="00C4268C">
        <w:t xml:space="preserve"> Quantification of B</w:t>
      </w:r>
      <w:r w:rsidR="00DD52AA">
        <w:t>(</w:t>
      </w:r>
      <w:r w:rsidRPr="00C4268C">
        <w:rPr>
          <w:i/>
        </w:rPr>
        <w:t>a</w:t>
      </w:r>
      <w:r w:rsidR="00DD52AA">
        <w:t>)</w:t>
      </w:r>
      <w:r w:rsidRPr="00C4268C">
        <w:t xml:space="preserve">P </w:t>
      </w:r>
      <w:r w:rsidR="00C7262A">
        <w:t>during the different steps of the loading procedure</w:t>
      </w:r>
      <w:r w:rsidRPr="00C4268C">
        <w:t xml:space="preserve">. </w:t>
      </w:r>
      <w:r w:rsidR="00497014">
        <w:t xml:space="preserve">The </w:t>
      </w:r>
      <w:r w:rsidR="0089606E">
        <w:t>recovery for</w:t>
      </w:r>
      <w:r w:rsidR="00497014">
        <w:t xml:space="preserve"> B(</w:t>
      </w:r>
      <w:r w:rsidR="00497014" w:rsidRPr="00497014">
        <w:rPr>
          <w:i/>
          <w:iCs/>
        </w:rPr>
        <w:t>a</w:t>
      </w:r>
      <w:r w:rsidR="00497014">
        <w:t>)P in the</w:t>
      </w:r>
      <w:r w:rsidR="0089606E">
        <w:t xml:space="preserve"> initial</w:t>
      </w:r>
      <w:r w:rsidR="00497014">
        <w:t xml:space="preserve"> stock solution was found to be 88.</w:t>
      </w:r>
      <w:r w:rsidR="00CF264D">
        <w:t xml:space="preserve">0% </w:t>
      </w:r>
      <w:r w:rsidR="00CF264D">
        <w:rPr>
          <w:rFonts w:cstheme="minorHAnsi"/>
        </w:rPr>
        <w:t>±</w:t>
      </w:r>
      <w:r w:rsidR="00CF264D">
        <w:t xml:space="preserve"> 8.4</w:t>
      </w:r>
      <w:r w:rsidR="00497014">
        <w:t xml:space="preserve">% for Batch 1 </w:t>
      </w:r>
      <w:r w:rsidR="00CF264D">
        <w:t xml:space="preserve">(n= 4) </w:t>
      </w:r>
      <w:r w:rsidR="00497014">
        <w:t xml:space="preserve">and 106% </w:t>
      </w:r>
      <w:r w:rsidR="00CF264D">
        <w:rPr>
          <w:rFonts w:cstheme="minorHAnsi"/>
        </w:rPr>
        <w:t>± 17.4%</w:t>
      </w:r>
      <w:r w:rsidR="00CF264D">
        <w:t xml:space="preserve"> </w:t>
      </w:r>
      <w:r w:rsidR="00497014">
        <w:t xml:space="preserve">for Batch 2 </w:t>
      </w:r>
      <w:r w:rsidR="00CF264D">
        <w:t xml:space="preserve">(n = 2) </w:t>
      </w:r>
      <w:r w:rsidR="00497014">
        <w:t>relative to the initial</w:t>
      </w:r>
      <w:r w:rsidR="009A07C8">
        <w:t xml:space="preserve"> applied</w:t>
      </w:r>
      <w:r w:rsidR="00497014">
        <w:t xml:space="preserve"> concentration (500 µg B(</w:t>
      </w:r>
      <w:r w:rsidR="00497014" w:rsidRPr="00497014">
        <w:rPr>
          <w:i/>
          <w:iCs/>
        </w:rPr>
        <w:t>a</w:t>
      </w:r>
      <w:r w:rsidR="00497014">
        <w:t xml:space="preserve">)P/100 mL/batch). </w:t>
      </w:r>
      <w:r w:rsidR="009A07C8">
        <w:t>After three days of incubation, B(</w:t>
      </w:r>
      <w:r w:rsidR="009A07C8" w:rsidRPr="00BE3075">
        <w:rPr>
          <w:i/>
          <w:iCs/>
        </w:rPr>
        <w:t>a</w:t>
      </w:r>
      <w:r w:rsidR="009A07C8">
        <w:t xml:space="preserve">)P concentration in the solution was found to be 94.2% </w:t>
      </w:r>
      <w:r w:rsidR="009A07C8">
        <w:rPr>
          <w:rFonts w:cstheme="minorHAnsi"/>
        </w:rPr>
        <w:t>±</w:t>
      </w:r>
      <w:r w:rsidR="009A07C8">
        <w:t xml:space="preserve"> 5.5% for Batch 1 (n= 4) and 105.5% </w:t>
      </w:r>
      <w:r w:rsidR="009A07C8">
        <w:rPr>
          <w:rFonts w:cstheme="minorHAnsi"/>
        </w:rPr>
        <w:t>± 19.9%</w:t>
      </w:r>
      <w:r w:rsidR="009A07C8">
        <w:t xml:space="preserve"> for Batch 2 (n = 2) relative to the initial concentration.</w:t>
      </w:r>
      <w:r w:rsidR="00BE3075">
        <w:t xml:space="preserve"> The B(</w:t>
      </w:r>
      <w:r w:rsidR="00BE3075" w:rsidRPr="00BE3075">
        <w:rPr>
          <w:i/>
          <w:iCs/>
        </w:rPr>
        <w:t>a</w:t>
      </w:r>
      <w:r w:rsidR="00BE3075">
        <w:t>)P concentration in the different washing solutions was &lt;0.25%.</w:t>
      </w:r>
      <w:r w:rsidR="009A07C8">
        <w:t xml:space="preserve"> </w:t>
      </w:r>
      <w:r w:rsidRPr="00C4268C">
        <w:t xml:space="preserve">Results are represented as mean values </w:t>
      </w:r>
      <w:r w:rsidRPr="00C4268C">
        <w:rPr>
          <w:rFonts w:cstheme="minorHAnsi"/>
        </w:rPr>
        <w:t>±</w:t>
      </w:r>
      <w:r w:rsidRPr="00C4268C">
        <w:t xml:space="preserve"> standard deviation from four independent replicates. </w:t>
      </w:r>
      <w:r w:rsidR="00FB568F">
        <w:rPr>
          <w:b/>
        </w:rPr>
        <w:t>(ii</w:t>
      </w:r>
      <w:r w:rsidRPr="00C4268C">
        <w:rPr>
          <w:b/>
        </w:rPr>
        <w:t>)</w:t>
      </w:r>
      <w:r w:rsidRPr="00C4268C">
        <w:t xml:space="preserve"> Quantification of B</w:t>
      </w:r>
      <w:r w:rsidR="00DD52AA">
        <w:t>(</w:t>
      </w:r>
      <w:r w:rsidRPr="00C4268C">
        <w:rPr>
          <w:i/>
        </w:rPr>
        <w:t>a</w:t>
      </w:r>
      <w:r w:rsidR="00DD52AA">
        <w:t>)</w:t>
      </w:r>
      <w:r w:rsidRPr="00C4268C">
        <w:t xml:space="preserve">P sorbed on PA-6 particles. The dried particles from each </w:t>
      </w:r>
      <w:r w:rsidR="00482F97">
        <w:t xml:space="preserve">technical </w:t>
      </w:r>
      <w:r w:rsidRPr="00C4268C">
        <w:t xml:space="preserve">batch </w:t>
      </w:r>
      <w:r w:rsidR="00482F97">
        <w:t xml:space="preserve">replicate </w:t>
      </w:r>
      <w:r w:rsidRPr="00C4268C">
        <w:t xml:space="preserve">were combined before the determination of sorbed </w:t>
      </w:r>
      <w:bookmarkEnd w:id="5"/>
      <w:r w:rsidR="00DD52AA" w:rsidRPr="00C4268C">
        <w:t>B</w:t>
      </w:r>
      <w:r w:rsidR="00DD52AA">
        <w:t>(</w:t>
      </w:r>
      <w:r w:rsidR="00DD52AA" w:rsidRPr="00C4268C">
        <w:rPr>
          <w:i/>
        </w:rPr>
        <w:t>a</w:t>
      </w:r>
      <w:r w:rsidR="00DD52AA">
        <w:t>)</w:t>
      </w:r>
      <w:r w:rsidR="00DD52AA" w:rsidRPr="00C4268C">
        <w:t>P</w:t>
      </w:r>
      <w:r w:rsidRPr="00C4268C">
        <w:t xml:space="preserve">. Results are represented as mean values </w:t>
      </w:r>
      <w:r w:rsidRPr="00C4268C">
        <w:rPr>
          <w:rFonts w:cstheme="minorHAnsi"/>
        </w:rPr>
        <w:t>±</w:t>
      </w:r>
      <w:r w:rsidRPr="00C4268C">
        <w:t xml:space="preserve"> standard deviation from three </w:t>
      </w:r>
      <w:r w:rsidR="00CF264D">
        <w:t>technical</w:t>
      </w:r>
      <w:r w:rsidRPr="00C4268C">
        <w:t xml:space="preserve"> replicates</w:t>
      </w:r>
      <w:r w:rsidR="00CF264D">
        <w:t xml:space="preserve"> for both batches</w:t>
      </w:r>
      <w:r w:rsidRPr="00C4268C">
        <w:t>.</w:t>
      </w:r>
    </w:p>
    <w:p w14:paraId="107C1056" w14:textId="26D3AD32" w:rsidR="00FA2A4C" w:rsidRDefault="00FA2A4C" w:rsidP="00FA2A4C">
      <w:pPr>
        <w:pStyle w:val="berschrift2"/>
      </w:pPr>
      <w:r>
        <w:lastRenderedPageBreak/>
        <w:t>Identification of non-cell-associated PA-6 residues</w:t>
      </w:r>
    </w:p>
    <w:p w14:paraId="1E61E6DA" w14:textId="77777777" w:rsidR="00023782" w:rsidRDefault="00023782" w:rsidP="00023782">
      <w:pPr>
        <w:keepNext/>
        <w:jc w:val="center"/>
      </w:pPr>
      <w:r>
        <w:rPr>
          <w:rFonts w:cstheme="minorHAnsi"/>
          <w:noProof/>
        </w:rPr>
        <w:drawing>
          <wp:inline distT="0" distB="0" distL="0" distR="0" wp14:anchorId="173252E9" wp14:editId="77F6CE34">
            <wp:extent cx="3690257" cy="2174209"/>
            <wp:effectExtent l="0" t="0" r="0" b="0"/>
            <wp:docPr id="534394074" name="Grafik 1" descr="Ein Bild, das Text, Screenshot,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394074" name="Grafik 1" descr="Ein Bild, das Text, Screenshot, Diagramm enthält.&#10;&#10;KI-generierte Inhalte können fehlerhaft sein."/>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20759" cy="2192180"/>
                    </a:xfrm>
                    <a:prstGeom prst="rect">
                      <a:avLst/>
                    </a:prstGeom>
                  </pic:spPr>
                </pic:pic>
              </a:graphicData>
            </a:graphic>
          </wp:inline>
        </w:drawing>
      </w:r>
    </w:p>
    <w:p w14:paraId="04FD3140" w14:textId="5D2C3337" w:rsidR="001869D2" w:rsidRPr="00023782" w:rsidRDefault="00023782" w:rsidP="001B26A7">
      <w:pPr>
        <w:pStyle w:val="Beschriftung"/>
        <w:spacing w:line="276" w:lineRule="auto"/>
        <w:rPr>
          <w:rFonts w:cstheme="minorHAnsi"/>
          <w:i w:val="0"/>
          <w:iCs w:val="0"/>
          <w:sz w:val="22"/>
          <w:szCs w:val="21"/>
        </w:rPr>
      </w:pPr>
      <w:r w:rsidRPr="00023782">
        <w:rPr>
          <w:b/>
          <w:bCs/>
          <w:i w:val="0"/>
          <w:iCs w:val="0"/>
          <w:sz w:val="22"/>
          <w:szCs w:val="21"/>
        </w:rPr>
        <w:t>Figure S</w:t>
      </w:r>
      <w:r w:rsidR="00CF06D5">
        <w:rPr>
          <w:b/>
          <w:bCs/>
          <w:i w:val="0"/>
          <w:iCs w:val="0"/>
          <w:sz w:val="22"/>
          <w:szCs w:val="21"/>
        </w:rPr>
        <w:t>9</w:t>
      </w:r>
      <w:r w:rsidRPr="00023782">
        <w:rPr>
          <w:b/>
          <w:bCs/>
          <w:i w:val="0"/>
          <w:iCs w:val="0"/>
          <w:sz w:val="22"/>
          <w:szCs w:val="21"/>
        </w:rPr>
        <w:t xml:space="preserve">: </w:t>
      </w:r>
      <w:r w:rsidRPr="00023782">
        <w:rPr>
          <w:i w:val="0"/>
          <w:iCs w:val="0"/>
          <w:sz w:val="22"/>
          <w:szCs w:val="21"/>
        </w:rPr>
        <w:t>SSC-A/FSC-A dot plots of control and PA-6 treated, undifferentiated CaCo-2 cells</w:t>
      </w:r>
      <w:r>
        <w:rPr>
          <w:i w:val="0"/>
          <w:iCs w:val="0"/>
          <w:sz w:val="22"/>
          <w:szCs w:val="21"/>
        </w:rPr>
        <w:t xml:space="preserve"> as measured by flow cytometry</w:t>
      </w:r>
      <w:r w:rsidRPr="00023782">
        <w:rPr>
          <w:i w:val="0"/>
          <w:iCs w:val="0"/>
          <w:sz w:val="22"/>
          <w:szCs w:val="21"/>
        </w:rPr>
        <w:t>.</w:t>
      </w:r>
      <w:r>
        <w:rPr>
          <w:i w:val="0"/>
          <w:iCs w:val="0"/>
          <w:sz w:val="22"/>
          <w:szCs w:val="21"/>
        </w:rPr>
        <w:t xml:space="preserve"> In PA-6 exposed samples, a high SSC, low FSC population is visible (red ellipse), which represents non-cell-associated particles that </w:t>
      </w:r>
      <w:r w:rsidR="00FA2A4C">
        <w:rPr>
          <w:i w:val="0"/>
          <w:iCs w:val="0"/>
          <w:sz w:val="22"/>
          <w:szCs w:val="21"/>
        </w:rPr>
        <w:t>are clearly separated from the gated CaCo-2 cell population.</w:t>
      </w:r>
    </w:p>
    <w:p w14:paraId="07D55897" w14:textId="60DBEB51" w:rsidR="007848D6" w:rsidRDefault="00411337" w:rsidP="00FB568F">
      <w:pPr>
        <w:pStyle w:val="berschrift2"/>
      </w:pPr>
      <w:bookmarkStart w:id="6" w:name="_Toc126311008"/>
      <w:r>
        <w:t xml:space="preserve">Quantification </w:t>
      </w:r>
      <w:r w:rsidRPr="00C91240">
        <w:t>of</w:t>
      </w:r>
      <w:r w:rsidR="00FB568F">
        <w:t xml:space="preserve"> cell-associated</w:t>
      </w:r>
      <w:r>
        <w:t xml:space="preserve"> </w:t>
      </w:r>
      <w:r w:rsidR="00FB568F">
        <w:t>B(</w:t>
      </w:r>
      <w:r w:rsidR="00FB568F" w:rsidRPr="003072A5">
        <w:rPr>
          <w:i/>
          <w:iCs/>
        </w:rPr>
        <w:t>a</w:t>
      </w:r>
      <w:r w:rsidR="00FB568F">
        <w:t>)P and B(</w:t>
      </w:r>
      <w:r w:rsidR="00FB568F" w:rsidRPr="003072A5">
        <w:rPr>
          <w:i/>
          <w:iCs/>
        </w:rPr>
        <w:t>a</w:t>
      </w:r>
      <w:r w:rsidR="00FB568F">
        <w:t>)P in cell culture medium</w:t>
      </w:r>
      <w:r>
        <w:t xml:space="preserve"> </w:t>
      </w:r>
      <w:bookmarkEnd w:id="6"/>
    </w:p>
    <w:p w14:paraId="2DE57898" w14:textId="7F8863AE" w:rsidR="003002B2" w:rsidRPr="003002B2" w:rsidRDefault="003002B2" w:rsidP="00357AE2">
      <w:pPr>
        <w:rPr>
          <w:rFonts w:eastAsiaTheme="minorEastAsia"/>
        </w:rPr>
      </w:pPr>
      <w:r>
        <w:t xml:space="preserve">The limits of detection (LOD) and quantification (LOQ) were determined for each respective matrix (hexane, cell culture medium, and cell pellets) based on calibration curves measured in the range of 1–15 ng/mL B(a)P. </w:t>
      </w:r>
      <w:r w:rsidR="00357AE2">
        <w:t xml:space="preserve">LOD and LOQ and results are presented in </w:t>
      </w:r>
      <w:r w:rsidR="00357AE2" w:rsidRPr="00357AE2">
        <w:rPr>
          <w:b/>
          <w:bCs/>
        </w:rPr>
        <w:t>Table S3.</w:t>
      </w:r>
    </w:p>
    <w:p w14:paraId="75C58673" w14:textId="77777777" w:rsidR="003002B2" w:rsidRDefault="003002B2" w:rsidP="003002B2"/>
    <w:p w14:paraId="06FD2545" w14:textId="192AB63F" w:rsidR="00EB06BF" w:rsidRPr="0018218F" w:rsidRDefault="00EB06BF" w:rsidP="001B26A7">
      <w:pPr>
        <w:spacing w:line="276" w:lineRule="auto"/>
      </w:pPr>
      <w:r w:rsidRPr="005C6EF7">
        <w:rPr>
          <w:b/>
          <w:bCs/>
        </w:rPr>
        <w:t>Table S</w:t>
      </w:r>
      <w:r w:rsidR="005C6EF7" w:rsidRPr="005C6EF7">
        <w:rPr>
          <w:b/>
          <w:bCs/>
        </w:rPr>
        <w:t>4</w:t>
      </w:r>
      <w:r w:rsidR="00DD52AA">
        <w:t xml:space="preserve">: </w:t>
      </w:r>
      <w:r w:rsidR="003F47A3" w:rsidRPr="00210920">
        <w:t xml:space="preserve">The limit of detection (LOD) </w:t>
      </w:r>
      <w:r w:rsidR="00936E38">
        <w:t>and limit of detection</w:t>
      </w:r>
      <w:r w:rsidR="003002B2">
        <w:t xml:space="preserve"> (LOQ) as analyzed for different matrices</w:t>
      </w:r>
      <w:r w:rsidR="005C6EF7">
        <w:t xml:space="preserve">. Formulas for back calculation are depicted in </w:t>
      </w:r>
      <w:r w:rsidR="005C6EF7" w:rsidRPr="005C6EF7">
        <w:rPr>
          <w:b/>
          <w:bCs/>
        </w:rPr>
        <w:t>Table S3</w:t>
      </w:r>
      <w:r w:rsidR="005C6EF7">
        <w:t>.</w:t>
      </w:r>
      <w:r w:rsidR="00936E38">
        <w:t xml:space="preserve"> </w:t>
      </w:r>
    </w:p>
    <w:tbl>
      <w:tblPr>
        <w:tblStyle w:val="Tabellenraster"/>
        <w:tblW w:w="0" w:type="auto"/>
        <w:tblInd w:w="-5"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ook w:val="04A0" w:firstRow="1" w:lastRow="0" w:firstColumn="1" w:lastColumn="0" w:noHBand="0" w:noVBand="1"/>
      </w:tblPr>
      <w:tblGrid>
        <w:gridCol w:w="709"/>
        <w:gridCol w:w="1559"/>
        <w:gridCol w:w="1560"/>
        <w:gridCol w:w="1837"/>
        <w:gridCol w:w="1423"/>
        <w:gridCol w:w="1975"/>
      </w:tblGrid>
      <w:tr w:rsidR="005C6EF7" w14:paraId="16AB29F6" w14:textId="77777777" w:rsidTr="005C6EF7">
        <w:tc>
          <w:tcPr>
            <w:tcW w:w="709" w:type="dxa"/>
            <w:tcBorders>
              <w:right w:val="single" w:sz="4" w:space="0" w:color="auto"/>
            </w:tcBorders>
            <w:shd w:val="clear" w:color="auto" w:fill="002060"/>
          </w:tcPr>
          <w:p w14:paraId="4EEB2F29" w14:textId="77777777" w:rsidR="005C6EF7" w:rsidRPr="005C6EF7" w:rsidRDefault="005C6EF7" w:rsidP="005C6EF7">
            <w:pPr>
              <w:pStyle w:val="KeinLeerraum"/>
              <w:spacing w:line="288" w:lineRule="auto"/>
              <w:rPr>
                <w:sz w:val="21"/>
                <w:szCs w:val="24"/>
                <w:lang w:val="en-US"/>
              </w:rPr>
            </w:pPr>
          </w:p>
        </w:tc>
        <w:tc>
          <w:tcPr>
            <w:tcW w:w="1559" w:type="dxa"/>
            <w:tcBorders>
              <w:left w:val="single" w:sz="4" w:space="0" w:color="auto"/>
              <w:right w:val="single" w:sz="4" w:space="0" w:color="auto"/>
            </w:tcBorders>
            <w:shd w:val="clear" w:color="auto" w:fill="002060"/>
          </w:tcPr>
          <w:p w14:paraId="2F7D1DF3" w14:textId="34E43149" w:rsidR="005C6EF7" w:rsidRPr="005C6EF7" w:rsidRDefault="005C6EF7" w:rsidP="005C6EF7">
            <w:pPr>
              <w:pStyle w:val="KeinLeerraum"/>
              <w:spacing w:line="288" w:lineRule="auto"/>
              <w:jc w:val="center"/>
              <w:rPr>
                <w:b/>
                <w:sz w:val="21"/>
                <w:szCs w:val="24"/>
              </w:rPr>
            </w:pPr>
            <w:r w:rsidRPr="005C6EF7">
              <w:rPr>
                <w:b/>
                <w:sz w:val="21"/>
                <w:szCs w:val="24"/>
              </w:rPr>
              <w:t>matrix free</w:t>
            </w:r>
          </w:p>
        </w:tc>
        <w:tc>
          <w:tcPr>
            <w:tcW w:w="6795" w:type="dxa"/>
            <w:gridSpan w:val="4"/>
            <w:tcBorders>
              <w:left w:val="single" w:sz="4" w:space="0" w:color="auto"/>
            </w:tcBorders>
            <w:shd w:val="clear" w:color="auto" w:fill="002060"/>
          </w:tcPr>
          <w:p w14:paraId="6DF2CCE4" w14:textId="65C753D8" w:rsidR="005C6EF7" w:rsidRPr="005C6EF7" w:rsidRDefault="005C6EF7" w:rsidP="005C6EF7">
            <w:pPr>
              <w:pStyle w:val="KeinLeerraum"/>
              <w:spacing w:line="288" w:lineRule="auto"/>
              <w:jc w:val="center"/>
              <w:rPr>
                <w:b/>
                <w:sz w:val="21"/>
                <w:szCs w:val="24"/>
              </w:rPr>
            </w:pPr>
            <w:r w:rsidRPr="005C6EF7">
              <w:rPr>
                <w:b/>
                <w:sz w:val="21"/>
                <w:szCs w:val="24"/>
              </w:rPr>
              <w:t>matrix-matched</w:t>
            </w:r>
          </w:p>
        </w:tc>
      </w:tr>
      <w:tr w:rsidR="005C6EF7" w14:paraId="124A955C" w14:textId="77777777" w:rsidTr="005C6EF7">
        <w:tc>
          <w:tcPr>
            <w:tcW w:w="709" w:type="dxa"/>
            <w:tcBorders>
              <w:right w:val="single" w:sz="4" w:space="0" w:color="auto"/>
            </w:tcBorders>
          </w:tcPr>
          <w:p w14:paraId="7ADDE61C" w14:textId="77777777" w:rsidR="005C6EF7" w:rsidRPr="005C6EF7" w:rsidRDefault="005C6EF7" w:rsidP="005C6EF7">
            <w:pPr>
              <w:pStyle w:val="KeinLeerraum"/>
              <w:spacing w:line="288" w:lineRule="auto"/>
              <w:rPr>
                <w:b/>
                <w:sz w:val="21"/>
                <w:szCs w:val="24"/>
              </w:rPr>
            </w:pPr>
          </w:p>
        </w:tc>
        <w:tc>
          <w:tcPr>
            <w:tcW w:w="1559" w:type="dxa"/>
            <w:tcBorders>
              <w:left w:val="single" w:sz="4" w:space="0" w:color="auto"/>
              <w:right w:val="single" w:sz="4" w:space="0" w:color="auto"/>
            </w:tcBorders>
          </w:tcPr>
          <w:p w14:paraId="2DD1BB81" w14:textId="31E8E542" w:rsidR="005C6EF7" w:rsidRPr="005C6EF7" w:rsidRDefault="005C6EF7" w:rsidP="005C6EF7">
            <w:pPr>
              <w:pStyle w:val="KeinLeerraum"/>
              <w:spacing w:line="288" w:lineRule="auto"/>
              <w:jc w:val="center"/>
              <w:rPr>
                <w:b/>
                <w:bCs/>
                <w:sz w:val="21"/>
                <w:szCs w:val="24"/>
              </w:rPr>
            </w:pPr>
            <w:r w:rsidRPr="005C6EF7">
              <w:rPr>
                <w:b/>
                <w:bCs/>
                <w:sz w:val="21"/>
                <w:szCs w:val="24"/>
              </w:rPr>
              <w:t>hexane</w:t>
            </w:r>
          </w:p>
        </w:tc>
        <w:tc>
          <w:tcPr>
            <w:tcW w:w="3397" w:type="dxa"/>
            <w:gridSpan w:val="2"/>
            <w:tcBorders>
              <w:left w:val="single" w:sz="4" w:space="0" w:color="auto"/>
              <w:right w:val="single" w:sz="4" w:space="0" w:color="auto"/>
            </w:tcBorders>
          </w:tcPr>
          <w:p w14:paraId="01213EA7" w14:textId="407B12A1" w:rsidR="005C6EF7" w:rsidRPr="005C6EF7" w:rsidRDefault="005C6EF7" w:rsidP="005C6EF7">
            <w:pPr>
              <w:pStyle w:val="KeinLeerraum"/>
              <w:spacing w:line="288" w:lineRule="auto"/>
              <w:jc w:val="center"/>
              <w:rPr>
                <w:b/>
                <w:bCs/>
                <w:sz w:val="21"/>
                <w:szCs w:val="24"/>
              </w:rPr>
            </w:pPr>
            <w:r w:rsidRPr="005C6EF7">
              <w:rPr>
                <w:b/>
                <w:bCs/>
                <w:sz w:val="21"/>
                <w:szCs w:val="24"/>
              </w:rPr>
              <w:t>cell culture medium</w:t>
            </w:r>
          </w:p>
        </w:tc>
        <w:tc>
          <w:tcPr>
            <w:tcW w:w="3398" w:type="dxa"/>
            <w:gridSpan w:val="2"/>
            <w:tcBorders>
              <w:left w:val="single" w:sz="4" w:space="0" w:color="auto"/>
            </w:tcBorders>
          </w:tcPr>
          <w:p w14:paraId="62131CF4" w14:textId="00ACF11D" w:rsidR="005C6EF7" w:rsidRPr="005C6EF7" w:rsidRDefault="005C6EF7" w:rsidP="005C6EF7">
            <w:pPr>
              <w:pStyle w:val="KeinLeerraum"/>
              <w:jc w:val="center"/>
              <w:rPr>
                <w:b/>
                <w:bCs/>
                <w:sz w:val="21"/>
                <w:szCs w:val="24"/>
              </w:rPr>
            </w:pPr>
            <w:r w:rsidRPr="005C6EF7">
              <w:rPr>
                <w:b/>
                <w:bCs/>
                <w:sz w:val="21"/>
                <w:szCs w:val="24"/>
              </w:rPr>
              <w:t>cell pellets</w:t>
            </w:r>
          </w:p>
        </w:tc>
      </w:tr>
      <w:tr w:rsidR="005C6EF7" w14:paraId="24A02E09" w14:textId="77777777" w:rsidTr="005C6EF7">
        <w:tc>
          <w:tcPr>
            <w:tcW w:w="709" w:type="dxa"/>
            <w:tcBorders>
              <w:right w:val="single" w:sz="4" w:space="0" w:color="auto"/>
            </w:tcBorders>
          </w:tcPr>
          <w:p w14:paraId="244C7BC4" w14:textId="77777777" w:rsidR="005C6EF7" w:rsidRPr="005C6EF7" w:rsidRDefault="005C6EF7" w:rsidP="005C6EF7">
            <w:pPr>
              <w:pStyle w:val="KeinLeerraum"/>
              <w:spacing w:line="288" w:lineRule="auto"/>
              <w:rPr>
                <w:b/>
                <w:sz w:val="21"/>
                <w:szCs w:val="24"/>
              </w:rPr>
            </w:pPr>
          </w:p>
        </w:tc>
        <w:tc>
          <w:tcPr>
            <w:tcW w:w="1559" w:type="dxa"/>
            <w:tcBorders>
              <w:left w:val="single" w:sz="4" w:space="0" w:color="auto"/>
              <w:right w:val="single" w:sz="4" w:space="0" w:color="auto"/>
            </w:tcBorders>
          </w:tcPr>
          <w:p w14:paraId="2534D3D0" w14:textId="3E7BE4CF" w:rsidR="005C6EF7" w:rsidRPr="005C6EF7" w:rsidRDefault="005C6EF7" w:rsidP="005C6EF7">
            <w:pPr>
              <w:pStyle w:val="KeinLeerraum"/>
              <w:spacing w:line="288" w:lineRule="auto"/>
              <w:jc w:val="center"/>
              <w:rPr>
                <w:sz w:val="21"/>
                <w:szCs w:val="24"/>
              </w:rPr>
            </w:pPr>
            <w:r>
              <w:rPr>
                <w:sz w:val="21"/>
                <w:szCs w:val="24"/>
              </w:rPr>
              <w:t>as measured</w:t>
            </w:r>
          </w:p>
        </w:tc>
        <w:tc>
          <w:tcPr>
            <w:tcW w:w="1560" w:type="dxa"/>
            <w:tcBorders>
              <w:left w:val="single" w:sz="4" w:space="0" w:color="auto"/>
            </w:tcBorders>
          </w:tcPr>
          <w:p w14:paraId="53315D90" w14:textId="2BF6D977" w:rsidR="005C6EF7" w:rsidRPr="005C6EF7" w:rsidRDefault="005C6EF7" w:rsidP="005C6EF7">
            <w:pPr>
              <w:pStyle w:val="KeinLeerraum"/>
              <w:spacing w:line="288" w:lineRule="auto"/>
              <w:jc w:val="center"/>
              <w:rPr>
                <w:sz w:val="21"/>
                <w:szCs w:val="24"/>
              </w:rPr>
            </w:pPr>
            <w:r>
              <w:rPr>
                <w:sz w:val="21"/>
                <w:szCs w:val="24"/>
              </w:rPr>
              <w:t>as measured</w:t>
            </w:r>
          </w:p>
        </w:tc>
        <w:tc>
          <w:tcPr>
            <w:tcW w:w="1837" w:type="dxa"/>
            <w:tcBorders>
              <w:right w:val="single" w:sz="4" w:space="0" w:color="auto"/>
            </w:tcBorders>
          </w:tcPr>
          <w:p w14:paraId="27DF4E88" w14:textId="107E28EC" w:rsidR="005C6EF7" w:rsidRPr="005C6EF7" w:rsidRDefault="005C6EF7" w:rsidP="005C6EF7">
            <w:pPr>
              <w:pStyle w:val="KeinLeerraum"/>
              <w:spacing w:line="288" w:lineRule="auto"/>
              <w:jc w:val="center"/>
              <w:rPr>
                <w:sz w:val="21"/>
                <w:szCs w:val="24"/>
              </w:rPr>
            </w:pPr>
            <w:r w:rsidRPr="005C6EF7">
              <w:rPr>
                <w:sz w:val="21"/>
                <w:szCs w:val="24"/>
              </w:rPr>
              <w:t>absolute (ng/6</w:t>
            </w:r>
            <w:r>
              <w:rPr>
                <w:sz w:val="21"/>
                <w:szCs w:val="24"/>
              </w:rPr>
              <w:t xml:space="preserve"> </w:t>
            </w:r>
            <w:r w:rsidRPr="005C6EF7">
              <w:rPr>
                <w:sz w:val="21"/>
                <w:szCs w:val="24"/>
              </w:rPr>
              <w:t>mL)</w:t>
            </w:r>
          </w:p>
        </w:tc>
        <w:tc>
          <w:tcPr>
            <w:tcW w:w="1423" w:type="dxa"/>
            <w:tcBorders>
              <w:left w:val="single" w:sz="4" w:space="0" w:color="auto"/>
            </w:tcBorders>
          </w:tcPr>
          <w:p w14:paraId="3CD47C7E" w14:textId="6459327E" w:rsidR="005C6EF7" w:rsidRPr="005C6EF7" w:rsidRDefault="005C6EF7" w:rsidP="005C6EF7">
            <w:pPr>
              <w:pStyle w:val="KeinLeerraum"/>
              <w:jc w:val="center"/>
              <w:rPr>
                <w:sz w:val="21"/>
                <w:szCs w:val="24"/>
              </w:rPr>
            </w:pPr>
            <w:r>
              <w:rPr>
                <w:sz w:val="21"/>
                <w:szCs w:val="24"/>
              </w:rPr>
              <w:t>as measured</w:t>
            </w:r>
          </w:p>
        </w:tc>
        <w:tc>
          <w:tcPr>
            <w:tcW w:w="1975" w:type="dxa"/>
          </w:tcPr>
          <w:p w14:paraId="76AEA295" w14:textId="279163DC" w:rsidR="005C6EF7" w:rsidRPr="005C6EF7" w:rsidRDefault="005C6EF7" w:rsidP="005C6EF7">
            <w:pPr>
              <w:pStyle w:val="KeinLeerraum"/>
              <w:jc w:val="center"/>
              <w:rPr>
                <w:sz w:val="21"/>
                <w:szCs w:val="24"/>
              </w:rPr>
            </w:pPr>
            <w:r>
              <w:rPr>
                <w:sz w:val="21"/>
                <w:szCs w:val="24"/>
              </w:rPr>
              <w:t>a</w:t>
            </w:r>
            <w:r w:rsidRPr="005C6EF7">
              <w:rPr>
                <w:sz w:val="21"/>
                <w:szCs w:val="24"/>
              </w:rPr>
              <w:t>bsolute (ng/pellet)</w:t>
            </w:r>
          </w:p>
        </w:tc>
      </w:tr>
      <w:tr w:rsidR="005C6EF7" w14:paraId="28436943" w14:textId="77777777" w:rsidTr="005C6EF7">
        <w:tc>
          <w:tcPr>
            <w:tcW w:w="709" w:type="dxa"/>
            <w:tcBorders>
              <w:right w:val="single" w:sz="4" w:space="0" w:color="auto"/>
            </w:tcBorders>
          </w:tcPr>
          <w:p w14:paraId="3F7581D5" w14:textId="4787BEB9" w:rsidR="005C6EF7" w:rsidRPr="005C6EF7" w:rsidRDefault="005C6EF7" w:rsidP="005C6EF7">
            <w:pPr>
              <w:pStyle w:val="KeinLeerraum"/>
              <w:spacing w:line="288" w:lineRule="auto"/>
              <w:rPr>
                <w:b/>
                <w:sz w:val="21"/>
                <w:szCs w:val="24"/>
              </w:rPr>
            </w:pPr>
            <w:r w:rsidRPr="005C6EF7">
              <w:rPr>
                <w:b/>
                <w:sz w:val="21"/>
                <w:szCs w:val="24"/>
              </w:rPr>
              <w:t>LOD</w:t>
            </w:r>
          </w:p>
        </w:tc>
        <w:tc>
          <w:tcPr>
            <w:tcW w:w="1559" w:type="dxa"/>
            <w:tcBorders>
              <w:left w:val="single" w:sz="4" w:space="0" w:color="auto"/>
              <w:right w:val="single" w:sz="4" w:space="0" w:color="auto"/>
            </w:tcBorders>
          </w:tcPr>
          <w:p w14:paraId="1A029C73" w14:textId="1578BE86" w:rsidR="005C6EF7" w:rsidRPr="005C6EF7" w:rsidRDefault="005C6EF7" w:rsidP="005C6EF7">
            <w:pPr>
              <w:pStyle w:val="KeinLeerraum"/>
              <w:spacing w:line="288" w:lineRule="auto"/>
              <w:jc w:val="center"/>
              <w:rPr>
                <w:sz w:val="21"/>
                <w:szCs w:val="24"/>
              </w:rPr>
            </w:pPr>
            <w:r w:rsidRPr="005C6EF7">
              <w:rPr>
                <w:sz w:val="21"/>
                <w:szCs w:val="24"/>
              </w:rPr>
              <w:t>3.6</w:t>
            </w:r>
          </w:p>
        </w:tc>
        <w:tc>
          <w:tcPr>
            <w:tcW w:w="1560" w:type="dxa"/>
            <w:tcBorders>
              <w:left w:val="single" w:sz="4" w:space="0" w:color="auto"/>
            </w:tcBorders>
          </w:tcPr>
          <w:p w14:paraId="7FEABB2D" w14:textId="5759664C" w:rsidR="005C6EF7" w:rsidRPr="005C6EF7" w:rsidRDefault="005C6EF7" w:rsidP="005C6EF7">
            <w:pPr>
              <w:pStyle w:val="KeinLeerraum"/>
              <w:spacing w:line="288" w:lineRule="auto"/>
              <w:jc w:val="center"/>
              <w:rPr>
                <w:sz w:val="21"/>
                <w:szCs w:val="24"/>
              </w:rPr>
            </w:pPr>
            <w:r w:rsidRPr="005C6EF7">
              <w:rPr>
                <w:sz w:val="21"/>
                <w:szCs w:val="24"/>
              </w:rPr>
              <w:t>3.8</w:t>
            </w:r>
          </w:p>
        </w:tc>
        <w:tc>
          <w:tcPr>
            <w:tcW w:w="1837" w:type="dxa"/>
            <w:tcBorders>
              <w:right w:val="single" w:sz="4" w:space="0" w:color="auto"/>
            </w:tcBorders>
          </w:tcPr>
          <w:p w14:paraId="6B1B9A84" w14:textId="3D0C256B" w:rsidR="005C6EF7" w:rsidRPr="005C6EF7" w:rsidRDefault="005C6EF7" w:rsidP="005C6EF7">
            <w:pPr>
              <w:pStyle w:val="KeinLeerraum"/>
              <w:spacing w:line="288" w:lineRule="auto"/>
              <w:jc w:val="center"/>
              <w:rPr>
                <w:sz w:val="21"/>
                <w:szCs w:val="24"/>
              </w:rPr>
            </w:pPr>
            <w:r>
              <w:rPr>
                <w:sz w:val="21"/>
                <w:szCs w:val="24"/>
              </w:rPr>
              <w:t>4.6</w:t>
            </w:r>
          </w:p>
        </w:tc>
        <w:tc>
          <w:tcPr>
            <w:tcW w:w="1423" w:type="dxa"/>
            <w:tcBorders>
              <w:left w:val="single" w:sz="4" w:space="0" w:color="auto"/>
            </w:tcBorders>
          </w:tcPr>
          <w:p w14:paraId="1D03ACD2" w14:textId="2CCC25C7" w:rsidR="005C6EF7" w:rsidRPr="005C6EF7" w:rsidRDefault="005C6EF7" w:rsidP="005C6EF7">
            <w:pPr>
              <w:pStyle w:val="KeinLeerraum"/>
              <w:jc w:val="center"/>
              <w:rPr>
                <w:sz w:val="21"/>
                <w:szCs w:val="24"/>
              </w:rPr>
            </w:pPr>
            <w:r w:rsidRPr="005C6EF7">
              <w:rPr>
                <w:sz w:val="21"/>
                <w:szCs w:val="24"/>
              </w:rPr>
              <w:t>4.5</w:t>
            </w:r>
          </w:p>
        </w:tc>
        <w:tc>
          <w:tcPr>
            <w:tcW w:w="1975" w:type="dxa"/>
          </w:tcPr>
          <w:p w14:paraId="7138B9F9" w14:textId="2123E4CB" w:rsidR="005C6EF7" w:rsidRPr="005C6EF7" w:rsidRDefault="005C6EF7" w:rsidP="005C6EF7">
            <w:pPr>
              <w:pStyle w:val="KeinLeerraum"/>
              <w:jc w:val="center"/>
              <w:rPr>
                <w:sz w:val="21"/>
                <w:szCs w:val="24"/>
              </w:rPr>
            </w:pPr>
            <w:r>
              <w:rPr>
                <w:sz w:val="21"/>
                <w:szCs w:val="24"/>
              </w:rPr>
              <w:t>0.09</w:t>
            </w:r>
          </w:p>
        </w:tc>
      </w:tr>
      <w:tr w:rsidR="005C6EF7" w14:paraId="3BBC93D2" w14:textId="77777777" w:rsidTr="005C6EF7">
        <w:tc>
          <w:tcPr>
            <w:tcW w:w="709" w:type="dxa"/>
            <w:tcBorders>
              <w:right w:val="single" w:sz="4" w:space="0" w:color="auto"/>
            </w:tcBorders>
          </w:tcPr>
          <w:p w14:paraId="3D2A0715" w14:textId="1E65A9D0" w:rsidR="005C6EF7" w:rsidRPr="005C6EF7" w:rsidRDefault="005C6EF7" w:rsidP="005C6EF7">
            <w:pPr>
              <w:pStyle w:val="KeinLeerraum"/>
              <w:spacing w:line="288" w:lineRule="auto"/>
              <w:rPr>
                <w:b/>
                <w:bCs/>
                <w:sz w:val="21"/>
                <w:szCs w:val="24"/>
              </w:rPr>
            </w:pPr>
            <w:r w:rsidRPr="005C6EF7">
              <w:rPr>
                <w:b/>
                <w:bCs/>
                <w:sz w:val="21"/>
                <w:szCs w:val="24"/>
              </w:rPr>
              <w:t>LOQ</w:t>
            </w:r>
          </w:p>
        </w:tc>
        <w:tc>
          <w:tcPr>
            <w:tcW w:w="1559" w:type="dxa"/>
            <w:tcBorders>
              <w:left w:val="single" w:sz="4" w:space="0" w:color="auto"/>
              <w:right w:val="single" w:sz="4" w:space="0" w:color="auto"/>
            </w:tcBorders>
          </w:tcPr>
          <w:p w14:paraId="105E7F02" w14:textId="2BE1322E" w:rsidR="005C6EF7" w:rsidRPr="005C6EF7" w:rsidRDefault="005C6EF7" w:rsidP="005C6EF7">
            <w:pPr>
              <w:pStyle w:val="KeinLeerraum"/>
              <w:spacing w:line="288" w:lineRule="auto"/>
              <w:jc w:val="center"/>
              <w:rPr>
                <w:sz w:val="21"/>
                <w:szCs w:val="24"/>
              </w:rPr>
            </w:pPr>
            <w:r w:rsidRPr="005C6EF7">
              <w:rPr>
                <w:sz w:val="21"/>
                <w:szCs w:val="24"/>
              </w:rPr>
              <w:t>11.0</w:t>
            </w:r>
          </w:p>
        </w:tc>
        <w:tc>
          <w:tcPr>
            <w:tcW w:w="1560" w:type="dxa"/>
            <w:tcBorders>
              <w:left w:val="single" w:sz="4" w:space="0" w:color="auto"/>
            </w:tcBorders>
          </w:tcPr>
          <w:p w14:paraId="4D882EA3" w14:textId="7E419453" w:rsidR="005C6EF7" w:rsidRPr="005C6EF7" w:rsidRDefault="005C6EF7" w:rsidP="005C6EF7">
            <w:pPr>
              <w:pStyle w:val="KeinLeerraum"/>
              <w:spacing w:line="288" w:lineRule="auto"/>
              <w:jc w:val="center"/>
              <w:rPr>
                <w:sz w:val="21"/>
                <w:szCs w:val="24"/>
              </w:rPr>
            </w:pPr>
            <w:r w:rsidRPr="005C6EF7">
              <w:rPr>
                <w:sz w:val="21"/>
                <w:szCs w:val="24"/>
              </w:rPr>
              <w:t>11.6</w:t>
            </w:r>
          </w:p>
        </w:tc>
        <w:tc>
          <w:tcPr>
            <w:tcW w:w="1837" w:type="dxa"/>
            <w:tcBorders>
              <w:right w:val="single" w:sz="4" w:space="0" w:color="auto"/>
            </w:tcBorders>
          </w:tcPr>
          <w:p w14:paraId="7C720E36" w14:textId="27AF47DD" w:rsidR="005C6EF7" w:rsidRPr="005C6EF7" w:rsidRDefault="005C6EF7" w:rsidP="005C6EF7">
            <w:pPr>
              <w:pStyle w:val="KeinLeerraum"/>
              <w:spacing w:line="288" w:lineRule="auto"/>
              <w:jc w:val="center"/>
              <w:rPr>
                <w:sz w:val="21"/>
                <w:szCs w:val="24"/>
              </w:rPr>
            </w:pPr>
            <w:r>
              <w:rPr>
                <w:sz w:val="21"/>
                <w:szCs w:val="24"/>
              </w:rPr>
              <w:t>13.9</w:t>
            </w:r>
          </w:p>
        </w:tc>
        <w:tc>
          <w:tcPr>
            <w:tcW w:w="1423" w:type="dxa"/>
            <w:tcBorders>
              <w:left w:val="single" w:sz="4" w:space="0" w:color="auto"/>
            </w:tcBorders>
          </w:tcPr>
          <w:p w14:paraId="3E981624" w14:textId="0A3FDED1" w:rsidR="005C6EF7" w:rsidRPr="005C6EF7" w:rsidRDefault="005C6EF7" w:rsidP="005C6EF7">
            <w:pPr>
              <w:pStyle w:val="KeinLeerraum"/>
              <w:jc w:val="center"/>
              <w:rPr>
                <w:sz w:val="21"/>
                <w:szCs w:val="24"/>
              </w:rPr>
            </w:pPr>
            <w:r w:rsidRPr="005C6EF7">
              <w:rPr>
                <w:sz w:val="21"/>
                <w:szCs w:val="24"/>
              </w:rPr>
              <w:t>13.1</w:t>
            </w:r>
          </w:p>
        </w:tc>
        <w:tc>
          <w:tcPr>
            <w:tcW w:w="1975" w:type="dxa"/>
          </w:tcPr>
          <w:p w14:paraId="143B230E" w14:textId="45C8CDBF" w:rsidR="005C6EF7" w:rsidRPr="005C6EF7" w:rsidRDefault="005C6EF7" w:rsidP="005C6EF7">
            <w:pPr>
              <w:pStyle w:val="KeinLeerraum"/>
              <w:jc w:val="center"/>
              <w:rPr>
                <w:sz w:val="21"/>
                <w:szCs w:val="24"/>
              </w:rPr>
            </w:pPr>
            <w:r>
              <w:rPr>
                <w:sz w:val="21"/>
                <w:szCs w:val="24"/>
              </w:rPr>
              <w:t>0.3</w:t>
            </w:r>
          </w:p>
        </w:tc>
      </w:tr>
    </w:tbl>
    <w:p w14:paraId="102E8250" w14:textId="27532ED9" w:rsidR="00EB06BF" w:rsidRDefault="00EB06BF" w:rsidP="006D4EC1">
      <w:pPr>
        <w:pStyle w:val="berschrift1"/>
        <w:rPr>
          <w:sz w:val="18"/>
          <w:szCs w:val="18"/>
        </w:rPr>
      </w:pPr>
    </w:p>
    <w:p w14:paraId="6BA4FC62" w14:textId="634473B3" w:rsidR="00BF6265" w:rsidRDefault="00DC0620" w:rsidP="00D9483F">
      <w:pPr>
        <w:keepNext/>
        <w:jc w:val="center"/>
      </w:pPr>
      <w:r w:rsidRPr="00DC0620">
        <w:rPr>
          <w:noProof/>
          <w:lang w:val="de-DE"/>
        </w:rPr>
        <w:object w:dxaOrig="5007" w:dyaOrig="5890" w14:anchorId="454537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5.45pt;height:206.95pt;mso-width-percent:0;mso-height-percent:0;mso-width-percent:0;mso-height-percent:0" o:ole="">
            <v:imagedata r:id="rId20" o:title=""/>
          </v:shape>
          <o:OLEObject Type="Embed" ProgID="Prism10.Document" ShapeID="_x0000_i1025" DrawAspect="Content" ObjectID="_1844001811" r:id="rId21"/>
        </w:object>
      </w:r>
    </w:p>
    <w:p w14:paraId="3D3911D3" w14:textId="0BC13B05" w:rsidR="00F41415" w:rsidRPr="00F41415" w:rsidRDefault="00BF6265" w:rsidP="001B26A7">
      <w:pPr>
        <w:spacing w:line="276" w:lineRule="auto"/>
      </w:pPr>
      <w:r w:rsidRPr="00EA5221">
        <w:rPr>
          <w:b/>
          <w:bCs/>
        </w:rPr>
        <w:t>Figure S</w:t>
      </w:r>
      <w:r w:rsidR="00CF06D5">
        <w:rPr>
          <w:b/>
          <w:bCs/>
        </w:rPr>
        <w:t>10</w:t>
      </w:r>
      <w:r w:rsidR="00A56464">
        <w:rPr>
          <w:b/>
          <w:bCs/>
        </w:rPr>
        <w:t>:</w:t>
      </w:r>
      <w:r w:rsidRPr="00BF6265">
        <w:t xml:space="preserve"> </w:t>
      </w:r>
      <w:r w:rsidR="00833AD2" w:rsidRPr="00833AD2">
        <w:rPr>
          <w:b/>
          <w:bCs/>
        </w:rPr>
        <w:t>Quantification of B(</w:t>
      </w:r>
      <w:r w:rsidR="00833AD2" w:rsidRPr="00833AD2">
        <w:rPr>
          <w:b/>
          <w:bCs/>
          <w:i/>
          <w:iCs/>
        </w:rPr>
        <w:t>a</w:t>
      </w:r>
      <w:r w:rsidR="00833AD2" w:rsidRPr="00833AD2">
        <w:rPr>
          <w:b/>
          <w:bCs/>
        </w:rPr>
        <w:t>)P in acellular controls and cellular samples after 24 h incubation with B(</w:t>
      </w:r>
      <w:r w:rsidR="00833AD2" w:rsidRPr="00833AD2">
        <w:rPr>
          <w:b/>
          <w:bCs/>
          <w:i/>
          <w:iCs/>
        </w:rPr>
        <w:t>a</w:t>
      </w:r>
      <w:r w:rsidR="00833AD2" w:rsidRPr="00833AD2">
        <w:rPr>
          <w:b/>
          <w:bCs/>
        </w:rPr>
        <w:t>)P-loaded PA-6 particles.</w:t>
      </w:r>
      <w:r w:rsidR="00833AD2">
        <w:rPr>
          <w:b/>
          <w:bCs/>
        </w:rPr>
        <w:t xml:space="preserve"> </w:t>
      </w:r>
      <w:r w:rsidR="00833AD2">
        <w:t>The acellular control was treated identically to the cellular samples but without cells, confirming that particles cannot be completely removed after 24 h of incubation. B(</w:t>
      </w:r>
      <w:r w:rsidR="00833AD2" w:rsidRPr="002031C3">
        <w:rPr>
          <w:i/>
          <w:iCs/>
        </w:rPr>
        <w:t>a</w:t>
      </w:r>
      <w:r w:rsidR="00833AD2">
        <w:t>)P may desorb from particles during liquid-liquid extraction, potentially leading to an overestimation of B(</w:t>
      </w:r>
      <w:r w:rsidR="00833AD2" w:rsidRPr="00833AD2">
        <w:rPr>
          <w:i/>
          <w:iCs/>
        </w:rPr>
        <w:t>a</w:t>
      </w:r>
      <w:r w:rsidR="00833AD2">
        <w:t>)P in the cellular samples. Please note that a direct comparison of peak areas between cellular and acellular samples is not feasible, as B(</w:t>
      </w:r>
      <w:r w:rsidR="00833AD2" w:rsidRPr="00833AD2">
        <w:rPr>
          <w:i/>
          <w:iCs/>
        </w:rPr>
        <w:t>a</w:t>
      </w:r>
      <w:r w:rsidR="00833AD2">
        <w:t>)P can bind to cellular components. This figure is intended to demonstrate that particle-associated B(</w:t>
      </w:r>
      <w:r w:rsidR="00833AD2" w:rsidRPr="00833AD2">
        <w:rPr>
          <w:i/>
          <w:iCs/>
        </w:rPr>
        <w:t>a</w:t>
      </w:r>
      <w:r w:rsidR="00833AD2">
        <w:t>)P can be co-extracted during the analytical workflow. A ratio of B(</w:t>
      </w:r>
      <w:r w:rsidR="00833AD2" w:rsidRPr="00833AD2">
        <w:rPr>
          <w:i/>
          <w:iCs/>
        </w:rPr>
        <w:t>a</w:t>
      </w:r>
      <w:r w:rsidR="00833AD2">
        <w:t>)P to B(</w:t>
      </w:r>
      <w:r w:rsidR="00833AD2" w:rsidRPr="00833AD2">
        <w:rPr>
          <w:i/>
          <w:iCs/>
        </w:rPr>
        <w:t>a</w:t>
      </w:r>
      <w:r w:rsidR="00833AD2">
        <w:t>)P</w:t>
      </w:r>
      <w:r w:rsidR="00833AD2" w:rsidRPr="00833AD2">
        <w:rPr>
          <w:vertAlign w:val="subscript"/>
        </w:rPr>
        <w:t>d12</w:t>
      </w:r>
      <w:r w:rsidR="00833AD2">
        <w:t xml:space="preserve"> could not be determined, as peak areas of</w:t>
      </w:r>
      <w:r w:rsidR="00357AE2">
        <w:t xml:space="preserve"> the IS</w:t>
      </w:r>
      <w:r w:rsidR="00833AD2">
        <w:t xml:space="preserve"> B(</w:t>
      </w:r>
      <w:r w:rsidR="00833AD2" w:rsidRPr="00833AD2">
        <w:rPr>
          <w:i/>
          <w:iCs/>
        </w:rPr>
        <w:t>a</w:t>
      </w:r>
      <w:r w:rsidR="00833AD2">
        <w:t>)P</w:t>
      </w:r>
      <w:r w:rsidR="00833AD2" w:rsidRPr="00833AD2">
        <w:rPr>
          <w:vertAlign w:val="subscript"/>
        </w:rPr>
        <w:t>d12</w:t>
      </w:r>
      <w:r w:rsidR="00833AD2">
        <w:t xml:space="preserve"> differed significantly between acellular controls and cellular samples.</w:t>
      </w:r>
    </w:p>
    <w:sectPr w:rsidR="00F41415" w:rsidRPr="00F41415">
      <w:footerReference w:type="default" r:id="rId22"/>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A5EE02" w14:textId="77777777" w:rsidR="00DC0620" w:rsidRDefault="00DC0620">
      <w:r>
        <w:separator/>
      </w:r>
    </w:p>
  </w:endnote>
  <w:endnote w:type="continuationSeparator" w:id="0">
    <w:p w14:paraId="36C1535C" w14:textId="77777777" w:rsidR="00DC0620" w:rsidRDefault="00DC0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vwpmttimesnewromanpsmt">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76704869"/>
      <w:docPartObj>
        <w:docPartGallery w:val="Page Numbers (Bottom of Page)"/>
        <w:docPartUnique/>
      </w:docPartObj>
    </w:sdtPr>
    <w:sdtContent>
      <w:p w14:paraId="5DBCD9A9" w14:textId="20A45A75" w:rsidR="00653B30" w:rsidRDefault="00653B30">
        <w:pPr>
          <w:pStyle w:val="Fuzeile"/>
        </w:pPr>
        <w:r>
          <w:fldChar w:fldCharType="begin"/>
        </w:r>
        <w:r>
          <w:instrText>PAGE   \* MERGEFORMAT</w:instrText>
        </w:r>
        <w:r>
          <w:fldChar w:fldCharType="separate"/>
        </w:r>
        <w:r w:rsidR="004F675C" w:rsidRPr="004F675C">
          <w:rPr>
            <w:noProof/>
            <w:lang w:val="de-DE"/>
          </w:rPr>
          <w:t>5</w:t>
        </w:r>
        <w:r>
          <w:fldChar w:fldCharType="end"/>
        </w:r>
      </w:p>
    </w:sdtContent>
  </w:sdt>
  <w:p w14:paraId="30F70AA0" w14:textId="77777777" w:rsidR="00653B30" w:rsidRDefault="00653B3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630A50" w14:textId="77777777" w:rsidR="00DC0620" w:rsidRDefault="00DC0620">
      <w:r>
        <w:separator/>
      </w:r>
    </w:p>
  </w:footnote>
  <w:footnote w:type="continuationSeparator" w:id="0">
    <w:p w14:paraId="0D74F1C1" w14:textId="77777777" w:rsidR="00DC0620" w:rsidRDefault="00DC06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1F547A"/>
    <w:multiLevelType w:val="hybridMultilevel"/>
    <w:tmpl w:val="6366BA20"/>
    <w:lvl w:ilvl="0" w:tplc="4536AF2A">
      <w:numFmt w:val="bullet"/>
      <w:lvlText w:val=""/>
      <w:lvlJc w:val="left"/>
      <w:pPr>
        <w:ind w:left="720" w:hanging="360"/>
      </w:pPr>
      <w:rPr>
        <w:rFonts w:ascii="Symbol" w:eastAsiaTheme="minorHAnsi" w:hAnsi="Symbol" w:cstheme="minorBidi"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CC3D5D"/>
    <w:multiLevelType w:val="hybridMultilevel"/>
    <w:tmpl w:val="9BDCF0E0"/>
    <w:lvl w:ilvl="0" w:tplc="6CAC9D9C">
      <w:start w:val="1"/>
      <w:numFmt w:val="bullet"/>
      <w:lvlText w:val=""/>
      <w:lvlJc w:val="left"/>
      <w:pPr>
        <w:ind w:left="720" w:hanging="360"/>
      </w:pPr>
      <w:rPr>
        <w:rFonts w:ascii="Symbol" w:hAnsi="Symbol" w:hint="default"/>
      </w:rPr>
    </w:lvl>
    <w:lvl w:ilvl="1" w:tplc="E77AFB82">
      <w:start w:val="1"/>
      <w:numFmt w:val="bullet"/>
      <w:lvlText w:val="o"/>
      <w:lvlJc w:val="left"/>
      <w:pPr>
        <w:ind w:left="1440" w:hanging="360"/>
      </w:pPr>
      <w:rPr>
        <w:rFonts w:ascii="Courier New" w:hAnsi="Courier New" w:cs="Courier New" w:hint="default"/>
      </w:rPr>
    </w:lvl>
    <w:lvl w:ilvl="2" w:tplc="54AA88FC">
      <w:start w:val="1"/>
      <w:numFmt w:val="bullet"/>
      <w:lvlText w:val=""/>
      <w:lvlJc w:val="left"/>
      <w:pPr>
        <w:ind w:left="2160" w:hanging="360"/>
      </w:pPr>
      <w:rPr>
        <w:rFonts w:ascii="Wingdings" w:hAnsi="Wingdings" w:hint="default"/>
      </w:rPr>
    </w:lvl>
    <w:lvl w:ilvl="3" w:tplc="A6D6EB1A">
      <w:start w:val="1"/>
      <w:numFmt w:val="bullet"/>
      <w:lvlText w:val=""/>
      <w:lvlJc w:val="left"/>
      <w:pPr>
        <w:ind w:left="2880" w:hanging="360"/>
      </w:pPr>
      <w:rPr>
        <w:rFonts w:ascii="Symbol" w:hAnsi="Symbol" w:hint="default"/>
      </w:rPr>
    </w:lvl>
    <w:lvl w:ilvl="4" w:tplc="E65ABF6E">
      <w:start w:val="1"/>
      <w:numFmt w:val="bullet"/>
      <w:lvlText w:val="o"/>
      <w:lvlJc w:val="left"/>
      <w:pPr>
        <w:ind w:left="3600" w:hanging="360"/>
      </w:pPr>
      <w:rPr>
        <w:rFonts w:ascii="Courier New" w:hAnsi="Courier New" w:cs="Courier New" w:hint="default"/>
      </w:rPr>
    </w:lvl>
    <w:lvl w:ilvl="5" w:tplc="9216E3BE">
      <w:start w:val="1"/>
      <w:numFmt w:val="bullet"/>
      <w:lvlText w:val=""/>
      <w:lvlJc w:val="left"/>
      <w:pPr>
        <w:ind w:left="4320" w:hanging="360"/>
      </w:pPr>
      <w:rPr>
        <w:rFonts w:ascii="Wingdings" w:hAnsi="Wingdings" w:hint="default"/>
      </w:rPr>
    </w:lvl>
    <w:lvl w:ilvl="6" w:tplc="75C216AC">
      <w:start w:val="1"/>
      <w:numFmt w:val="bullet"/>
      <w:lvlText w:val=""/>
      <w:lvlJc w:val="left"/>
      <w:pPr>
        <w:ind w:left="5040" w:hanging="360"/>
      </w:pPr>
      <w:rPr>
        <w:rFonts w:ascii="Symbol" w:hAnsi="Symbol" w:hint="default"/>
      </w:rPr>
    </w:lvl>
    <w:lvl w:ilvl="7" w:tplc="4BCC26FC">
      <w:start w:val="1"/>
      <w:numFmt w:val="bullet"/>
      <w:lvlText w:val="o"/>
      <w:lvlJc w:val="left"/>
      <w:pPr>
        <w:ind w:left="5760" w:hanging="360"/>
      </w:pPr>
      <w:rPr>
        <w:rFonts w:ascii="Courier New" w:hAnsi="Courier New" w:cs="Courier New" w:hint="default"/>
      </w:rPr>
    </w:lvl>
    <w:lvl w:ilvl="8" w:tplc="F1F8632A">
      <w:start w:val="1"/>
      <w:numFmt w:val="bullet"/>
      <w:lvlText w:val=""/>
      <w:lvlJc w:val="left"/>
      <w:pPr>
        <w:ind w:left="6480" w:hanging="360"/>
      </w:pPr>
      <w:rPr>
        <w:rFonts w:ascii="Wingdings" w:hAnsi="Wingdings" w:hint="default"/>
      </w:rPr>
    </w:lvl>
  </w:abstractNum>
  <w:abstractNum w:abstractNumId="2" w15:restartNumberingAfterBreak="0">
    <w:nsid w:val="013D358B"/>
    <w:multiLevelType w:val="hybridMultilevel"/>
    <w:tmpl w:val="B372AECC"/>
    <w:lvl w:ilvl="0" w:tplc="7D906936">
      <w:start w:val="1"/>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374629"/>
    <w:multiLevelType w:val="hybridMultilevel"/>
    <w:tmpl w:val="AF48F6C0"/>
    <w:lvl w:ilvl="0" w:tplc="9B768F02">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CDA0D6A"/>
    <w:multiLevelType w:val="hybridMultilevel"/>
    <w:tmpl w:val="06065FA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00753CC"/>
    <w:multiLevelType w:val="hybridMultilevel"/>
    <w:tmpl w:val="AF246944"/>
    <w:lvl w:ilvl="0" w:tplc="53868BAC">
      <w:numFmt w:val="bullet"/>
      <w:lvlText w:val=""/>
      <w:lvlJc w:val="left"/>
      <w:pPr>
        <w:ind w:left="6024" w:hanging="360"/>
      </w:pPr>
      <w:rPr>
        <w:rFonts w:ascii="Symbol" w:eastAsiaTheme="minorHAnsi" w:hAnsi="Symbol" w:cstheme="minorBidi" w:hint="default"/>
        <w:color w:val="auto"/>
      </w:rPr>
    </w:lvl>
    <w:lvl w:ilvl="1" w:tplc="04070003" w:tentative="1">
      <w:start w:val="1"/>
      <w:numFmt w:val="bullet"/>
      <w:lvlText w:val="o"/>
      <w:lvlJc w:val="left"/>
      <w:pPr>
        <w:ind w:left="6744" w:hanging="360"/>
      </w:pPr>
      <w:rPr>
        <w:rFonts w:ascii="Courier New" w:hAnsi="Courier New" w:cs="Courier New" w:hint="default"/>
      </w:rPr>
    </w:lvl>
    <w:lvl w:ilvl="2" w:tplc="04070005" w:tentative="1">
      <w:start w:val="1"/>
      <w:numFmt w:val="bullet"/>
      <w:lvlText w:val=""/>
      <w:lvlJc w:val="left"/>
      <w:pPr>
        <w:ind w:left="7464" w:hanging="360"/>
      </w:pPr>
      <w:rPr>
        <w:rFonts w:ascii="Wingdings" w:hAnsi="Wingdings" w:hint="default"/>
      </w:rPr>
    </w:lvl>
    <w:lvl w:ilvl="3" w:tplc="04070001" w:tentative="1">
      <w:start w:val="1"/>
      <w:numFmt w:val="bullet"/>
      <w:lvlText w:val=""/>
      <w:lvlJc w:val="left"/>
      <w:pPr>
        <w:ind w:left="8184" w:hanging="360"/>
      </w:pPr>
      <w:rPr>
        <w:rFonts w:ascii="Symbol" w:hAnsi="Symbol" w:hint="default"/>
      </w:rPr>
    </w:lvl>
    <w:lvl w:ilvl="4" w:tplc="04070003" w:tentative="1">
      <w:start w:val="1"/>
      <w:numFmt w:val="bullet"/>
      <w:lvlText w:val="o"/>
      <w:lvlJc w:val="left"/>
      <w:pPr>
        <w:ind w:left="8904" w:hanging="360"/>
      </w:pPr>
      <w:rPr>
        <w:rFonts w:ascii="Courier New" w:hAnsi="Courier New" w:cs="Courier New" w:hint="default"/>
      </w:rPr>
    </w:lvl>
    <w:lvl w:ilvl="5" w:tplc="04070005" w:tentative="1">
      <w:start w:val="1"/>
      <w:numFmt w:val="bullet"/>
      <w:lvlText w:val=""/>
      <w:lvlJc w:val="left"/>
      <w:pPr>
        <w:ind w:left="9624" w:hanging="360"/>
      </w:pPr>
      <w:rPr>
        <w:rFonts w:ascii="Wingdings" w:hAnsi="Wingdings" w:hint="default"/>
      </w:rPr>
    </w:lvl>
    <w:lvl w:ilvl="6" w:tplc="04070001" w:tentative="1">
      <w:start w:val="1"/>
      <w:numFmt w:val="bullet"/>
      <w:lvlText w:val=""/>
      <w:lvlJc w:val="left"/>
      <w:pPr>
        <w:ind w:left="10344" w:hanging="360"/>
      </w:pPr>
      <w:rPr>
        <w:rFonts w:ascii="Symbol" w:hAnsi="Symbol" w:hint="default"/>
      </w:rPr>
    </w:lvl>
    <w:lvl w:ilvl="7" w:tplc="04070003" w:tentative="1">
      <w:start w:val="1"/>
      <w:numFmt w:val="bullet"/>
      <w:lvlText w:val="o"/>
      <w:lvlJc w:val="left"/>
      <w:pPr>
        <w:ind w:left="11064" w:hanging="360"/>
      </w:pPr>
      <w:rPr>
        <w:rFonts w:ascii="Courier New" w:hAnsi="Courier New" w:cs="Courier New" w:hint="default"/>
      </w:rPr>
    </w:lvl>
    <w:lvl w:ilvl="8" w:tplc="04070005" w:tentative="1">
      <w:start w:val="1"/>
      <w:numFmt w:val="bullet"/>
      <w:lvlText w:val=""/>
      <w:lvlJc w:val="left"/>
      <w:pPr>
        <w:ind w:left="11784" w:hanging="360"/>
      </w:pPr>
      <w:rPr>
        <w:rFonts w:ascii="Wingdings" w:hAnsi="Wingdings" w:hint="default"/>
      </w:rPr>
    </w:lvl>
  </w:abstractNum>
  <w:abstractNum w:abstractNumId="6" w15:restartNumberingAfterBreak="0">
    <w:nsid w:val="246B4B4B"/>
    <w:multiLevelType w:val="hybridMultilevel"/>
    <w:tmpl w:val="95E62AF4"/>
    <w:lvl w:ilvl="0" w:tplc="51A8182A">
      <w:start w:val="2"/>
      <w:numFmt w:val="bullet"/>
      <w:lvlText w:val=""/>
      <w:lvlJc w:val="left"/>
      <w:pPr>
        <w:ind w:left="720" w:hanging="360"/>
      </w:pPr>
      <w:rPr>
        <w:rFonts w:ascii="Symbol" w:eastAsiaTheme="minorHAnsi" w:hAnsi="Symbol" w:cstheme="minorHAnsi" w:hint="default"/>
      </w:rPr>
    </w:lvl>
    <w:lvl w:ilvl="1" w:tplc="4EB28BB2">
      <w:start w:val="1"/>
      <w:numFmt w:val="bullet"/>
      <w:lvlText w:val="o"/>
      <w:lvlJc w:val="left"/>
      <w:pPr>
        <w:ind w:left="1440" w:hanging="360"/>
      </w:pPr>
      <w:rPr>
        <w:rFonts w:ascii="Courier New" w:hAnsi="Courier New" w:cs="Courier New" w:hint="default"/>
      </w:rPr>
    </w:lvl>
    <w:lvl w:ilvl="2" w:tplc="9F726780">
      <w:start w:val="1"/>
      <w:numFmt w:val="bullet"/>
      <w:lvlText w:val=""/>
      <w:lvlJc w:val="left"/>
      <w:pPr>
        <w:ind w:left="2160" w:hanging="360"/>
      </w:pPr>
      <w:rPr>
        <w:rFonts w:ascii="Wingdings" w:hAnsi="Wingdings" w:hint="default"/>
      </w:rPr>
    </w:lvl>
    <w:lvl w:ilvl="3" w:tplc="395249D4">
      <w:start w:val="1"/>
      <w:numFmt w:val="bullet"/>
      <w:lvlText w:val=""/>
      <w:lvlJc w:val="left"/>
      <w:pPr>
        <w:ind w:left="2880" w:hanging="360"/>
      </w:pPr>
      <w:rPr>
        <w:rFonts w:ascii="Symbol" w:hAnsi="Symbol" w:hint="default"/>
      </w:rPr>
    </w:lvl>
    <w:lvl w:ilvl="4" w:tplc="DDF2462C">
      <w:start w:val="1"/>
      <w:numFmt w:val="bullet"/>
      <w:lvlText w:val="o"/>
      <w:lvlJc w:val="left"/>
      <w:pPr>
        <w:ind w:left="3600" w:hanging="360"/>
      </w:pPr>
      <w:rPr>
        <w:rFonts w:ascii="Courier New" w:hAnsi="Courier New" w:cs="Courier New" w:hint="default"/>
      </w:rPr>
    </w:lvl>
    <w:lvl w:ilvl="5" w:tplc="5F465818">
      <w:start w:val="1"/>
      <w:numFmt w:val="bullet"/>
      <w:lvlText w:val=""/>
      <w:lvlJc w:val="left"/>
      <w:pPr>
        <w:ind w:left="4320" w:hanging="360"/>
      </w:pPr>
      <w:rPr>
        <w:rFonts w:ascii="Wingdings" w:hAnsi="Wingdings" w:hint="default"/>
      </w:rPr>
    </w:lvl>
    <w:lvl w:ilvl="6" w:tplc="EB407C52">
      <w:start w:val="1"/>
      <w:numFmt w:val="bullet"/>
      <w:lvlText w:val=""/>
      <w:lvlJc w:val="left"/>
      <w:pPr>
        <w:ind w:left="5040" w:hanging="360"/>
      </w:pPr>
      <w:rPr>
        <w:rFonts w:ascii="Symbol" w:hAnsi="Symbol" w:hint="default"/>
      </w:rPr>
    </w:lvl>
    <w:lvl w:ilvl="7" w:tplc="C540A41E">
      <w:start w:val="1"/>
      <w:numFmt w:val="bullet"/>
      <w:lvlText w:val="o"/>
      <w:lvlJc w:val="left"/>
      <w:pPr>
        <w:ind w:left="5760" w:hanging="360"/>
      </w:pPr>
      <w:rPr>
        <w:rFonts w:ascii="Courier New" w:hAnsi="Courier New" w:cs="Courier New" w:hint="default"/>
      </w:rPr>
    </w:lvl>
    <w:lvl w:ilvl="8" w:tplc="85488A4C">
      <w:start w:val="1"/>
      <w:numFmt w:val="bullet"/>
      <w:lvlText w:val=""/>
      <w:lvlJc w:val="left"/>
      <w:pPr>
        <w:ind w:left="6480" w:hanging="360"/>
      </w:pPr>
      <w:rPr>
        <w:rFonts w:ascii="Wingdings" w:hAnsi="Wingdings" w:hint="default"/>
      </w:rPr>
    </w:lvl>
  </w:abstractNum>
  <w:abstractNum w:abstractNumId="7" w15:restartNumberingAfterBreak="0">
    <w:nsid w:val="251F4894"/>
    <w:multiLevelType w:val="hybridMultilevel"/>
    <w:tmpl w:val="E4729516"/>
    <w:lvl w:ilvl="0" w:tplc="036EDFC4">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A552C9C"/>
    <w:multiLevelType w:val="hybridMultilevel"/>
    <w:tmpl w:val="1F161810"/>
    <w:lvl w:ilvl="0" w:tplc="7A6CEB36">
      <w:start w:val="1"/>
      <w:numFmt w:val="bullet"/>
      <w:lvlText w:val=""/>
      <w:lvlJc w:val="left"/>
      <w:pPr>
        <w:ind w:left="720" w:hanging="360"/>
      </w:pPr>
      <w:rPr>
        <w:rFonts w:ascii="Wingdings" w:eastAsiaTheme="minorHAnsi" w:hAnsi="Wingdings" w:cstheme="minorBidi" w:hint="default"/>
      </w:rPr>
    </w:lvl>
    <w:lvl w:ilvl="1" w:tplc="2A86D3A6">
      <w:start w:val="1"/>
      <w:numFmt w:val="bullet"/>
      <w:lvlText w:val="o"/>
      <w:lvlJc w:val="left"/>
      <w:pPr>
        <w:ind w:left="1440" w:hanging="360"/>
      </w:pPr>
      <w:rPr>
        <w:rFonts w:ascii="Courier New" w:hAnsi="Courier New" w:cs="Courier New" w:hint="default"/>
      </w:rPr>
    </w:lvl>
    <w:lvl w:ilvl="2" w:tplc="3F226676">
      <w:start w:val="1"/>
      <w:numFmt w:val="bullet"/>
      <w:lvlText w:val=""/>
      <w:lvlJc w:val="left"/>
      <w:pPr>
        <w:ind w:left="2160" w:hanging="360"/>
      </w:pPr>
      <w:rPr>
        <w:rFonts w:ascii="Wingdings" w:hAnsi="Wingdings" w:hint="default"/>
      </w:rPr>
    </w:lvl>
    <w:lvl w:ilvl="3" w:tplc="5DD88A18">
      <w:start w:val="1"/>
      <w:numFmt w:val="bullet"/>
      <w:lvlText w:val=""/>
      <w:lvlJc w:val="left"/>
      <w:pPr>
        <w:ind w:left="2880" w:hanging="360"/>
      </w:pPr>
      <w:rPr>
        <w:rFonts w:ascii="Symbol" w:hAnsi="Symbol" w:hint="default"/>
      </w:rPr>
    </w:lvl>
    <w:lvl w:ilvl="4" w:tplc="33966A80">
      <w:start w:val="1"/>
      <w:numFmt w:val="bullet"/>
      <w:lvlText w:val="o"/>
      <w:lvlJc w:val="left"/>
      <w:pPr>
        <w:ind w:left="3600" w:hanging="360"/>
      </w:pPr>
      <w:rPr>
        <w:rFonts w:ascii="Courier New" w:hAnsi="Courier New" w:cs="Courier New" w:hint="default"/>
      </w:rPr>
    </w:lvl>
    <w:lvl w:ilvl="5" w:tplc="1F1E1ED2">
      <w:start w:val="1"/>
      <w:numFmt w:val="bullet"/>
      <w:lvlText w:val=""/>
      <w:lvlJc w:val="left"/>
      <w:pPr>
        <w:ind w:left="4320" w:hanging="360"/>
      </w:pPr>
      <w:rPr>
        <w:rFonts w:ascii="Wingdings" w:hAnsi="Wingdings" w:hint="default"/>
      </w:rPr>
    </w:lvl>
    <w:lvl w:ilvl="6" w:tplc="A8AC5F8E">
      <w:start w:val="1"/>
      <w:numFmt w:val="bullet"/>
      <w:lvlText w:val=""/>
      <w:lvlJc w:val="left"/>
      <w:pPr>
        <w:ind w:left="5040" w:hanging="360"/>
      </w:pPr>
      <w:rPr>
        <w:rFonts w:ascii="Symbol" w:hAnsi="Symbol" w:hint="default"/>
      </w:rPr>
    </w:lvl>
    <w:lvl w:ilvl="7" w:tplc="4DFC2354">
      <w:start w:val="1"/>
      <w:numFmt w:val="bullet"/>
      <w:lvlText w:val="o"/>
      <w:lvlJc w:val="left"/>
      <w:pPr>
        <w:ind w:left="5760" w:hanging="360"/>
      </w:pPr>
      <w:rPr>
        <w:rFonts w:ascii="Courier New" w:hAnsi="Courier New" w:cs="Courier New" w:hint="default"/>
      </w:rPr>
    </w:lvl>
    <w:lvl w:ilvl="8" w:tplc="A1EC710E">
      <w:start w:val="1"/>
      <w:numFmt w:val="bullet"/>
      <w:lvlText w:val=""/>
      <w:lvlJc w:val="left"/>
      <w:pPr>
        <w:ind w:left="6480" w:hanging="360"/>
      </w:pPr>
      <w:rPr>
        <w:rFonts w:ascii="Wingdings" w:hAnsi="Wingdings" w:hint="default"/>
      </w:rPr>
    </w:lvl>
  </w:abstractNum>
  <w:abstractNum w:abstractNumId="9" w15:restartNumberingAfterBreak="0">
    <w:nsid w:val="3B526D08"/>
    <w:multiLevelType w:val="hybridMultilevel"/>
    <w:tmpl w:val="4F4EDD32"/>
    <w:lvl w:ilvl="0" w:tplc="6900C51C">
      <w:start w:val="1"/>
      <w:numFmt w:val="bullet"/>
      <w:lvlText w:val=""/>
      <w:lvlJc w:val="left"/>
      <w:pPr>
        <w:ind w:left="720" w:hanging="360"/>
      </w:pPr>
      <w:rPr>
        <w:rFonts w:ascii="Wingdings" w:eastAsiaTheme="minorHAnsi" w:hAnsi="Wingdings" w:cstheme="minorBidi" w:hint="default"/>
      </w:rPr>
    </w:lvl>
    <w:lvl w:ilvl="1" w:tplc="4FC838EE">
      <w:start w:val="1"/>
      <w:numFmt w:val="bullet"/>
      <w:lvlText w:val="o"/>
      <w:lvlJc w:val="left"/>
      <w:pPr>
        <w:ind w:left="1440" w:hanging="360"/>
      </w:pPr>
      <w:rPr>
        <w:rFonts w:ascii="Courier New" w:hAnsi="Courier New" w:cs="Courier New" w:hint="default"/>
      </w:rPr>
    </w:lvl>
    <w:lvl w:ilvl="2" w:tplc="784A2054">
      <w:start w:val="1"/>
      <w:numFmt w:val="bullet"/>
      <w:lvlText w:val=""/>
      <w:lvlJc w:val="left"/>
      <w:pPr>
        <w:ind w:left="2160" w:hanging="360"/>
      </w:pPr>
      <w:rPr>
        <w:rFonts w:ascii="Wingdings" w:hAnsi="Wingdings" w:hint="default"/>
      </w:rPr>
    </w:lvl>
    <w:lvl w:ilvl="3" w:tplc="7CA89C84">
      <w:start w:val="1"/>
      <w:numFmt w:val="bullet"/>
      <w:lvlText w:val=""/>
      <w:lvlJc w:val="left"/>
      <w:pPr>
        <w:ind w:left="2880" w:hanging="360"/>
      </w:pPr>
      <w:rPr>
        <w:rFonts w:ascii="Symbol" w:hAnsi="Symbol" w:hint="default"/>
      </w:rPr>
    </w:lvl>
    <w:lvl w:ilvl="4" w:tplc="E378300E">
      <w:start w:val="1"/>
      <w:numFmt w:val="bullet"/>
      <w:lvlText w:val="o"/>
      <w:lvlJc w:val="left"/>
      <w:pPr>
        <w:ind w:left="3600" w:hanging="360"/>
      </w:pPr>
      <w:rPr>
        <w:rFonts w:ascii="Courier New" w:hAnsi="Courier New" w:cs="Courier New" w:hint="default"/>
      </w:rPr>
    </w:lvl>
    <w:lvl w:ilvl="5" w:tplc="ED766F4C">
      <w:start w:val="1"/>
      <w:numFmt w:val="bullet"/>
      <w:lvlText w:val=""/>
      <w:lvlJc w:val="left"/>
      <w:pPr>
        <w:ind w:left="4320" w:hanging="360"/>
      </w:pPr>
      <w:rPr>
        <w:rFonts w:ascii="Wingdings" w:hAnsi="Wingdings" w:hint="default"/>
      </w:rPr>
    </w:lvl>
    <w:lvl w:ilvl="6" w:tplc="38E86482">
      <w:start w:val="1"/>
      <w:numFmt w:val="bullet"/>
      <w:lvlText w:val=""/>
      <w:lvlJc w:val="left"/>
      <w:pPr>
        <w:ind w:left="5040" w:hanging="360"/>
      </w:pPr>
      <w:rPr>
        <w:rFonts w:ascii="Symbol" w:hAnsi="Symbol" w:hint="default"/>
      </w:rPr>
    </w:lvl>
    <w:lvl w:ilvl="7" w:tplc="57A0F784">
      <w:start w:val="1"/>
      <w:numFmt w:val="bullet"/>
      <w:lvlText w:val="o"/>
      <w:lvlJc w:val="left"/>
      <w:pPr>
        <w:ind w:left="5760" w:hanging="360"/>
      </w:pPr>
      <w:rPr>
        <w:rFonts w:ascii="Courier New" w:hAnsi="Courier New" w:cs="Courier New" w:hint="default"/>
      </w:rPr>
    </w:lvl>
    <w:lvl w:ilvl="8" w:tplc="178E0DF8">
      <w:start w:val="1"/>
      <w:numFmt w:val="bullet"/>
      <w:lvlText w:val=""/>
      <w:lvlJc w:val="left"/>
      <w:pPr>
        <w:ind w:left="6480" w:hanging="360"/>
      </w:pPr>
      <w:rPr>
        <w:rFonts w:ascii="Wingdings" w:hAnsi="Wingdings" w:hint="default"/>
      </w:rPr>
    </w:lvl>
  </w:abstractNum>
  <w:abstractNum w:abstractNumId="10" w15:restartNumberingAfterBreak="0">
    <w:nsid w:val="3F0A1A7E"/>
    <w:multiLevelType w:val="hybridMultilevel"/>
    <w:tmpl w:val="939A2926"/>
    <w:lvl w:ilvl="0" w:tplc="8506B5CA">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1EB0CCB"/>
    <w:multiLevelType w:val="hybridMultilevel"/>
    <w:tmpl w:val="F4260CEC"/>
    <w:lvl w:ilvl="0" w:tplc="168AF7CC">
      <w:start w:val="1"/>
      <w:numFmt w:val="bullet"/>
      <w:lvlText w:val=""/>
      <w:lvlJc w:val="left"/>
      <w:pPr>
        <w:ind w:left="720" w:hanging="360"/>
      </w:pPr>
      <w:rPr>
        <w:rFonts w:ascii="Wingdings" w:eastAsiaTheme="minorHAnsi" w:hAnsi="Wingdings" w:cstheme="minorBidi" w:hint="default"/>
      </w:rPr>
    </w:lvl>
    <w:lvl w:ilvl="1" w:tplc="D3864C9E">
      <w:start w:val="1"/>
      <w:numFmt w:val="bullet"/>
      <w:lvlText w:val="o"/>
      <w:lvlJc w:val="left"/>
      <w:pPr>
        <w:ind w:left="1440" w:hanging="360"/>
      </w:pPr>
      <w:rPr>
        <w:rFonts w:ascii="Courier New" w:hAnsi="Courier New" w:cs="Courier New" w:hint="default"/>
      </w:rPr>
    </w:lvl>
    <w:lvl w:ilvl="2" w:tplc="AC98D570">
      <w:start w:val="1"/>
      <w:numFmt w:val="bullet"/>
      <w:lvlText w:val=""/>
      <w:lvlJc w:val="left"/>
      <w:pPr>
        <w:ind w:left="2160" w:hanging="360"/>
      </w:pPr>
      <w:rPr>
        <w:rFonts w:ascii="Wingdings" w:hAnsi="Wingdings" w:hint="default"/>
      </w:rPr>
    </w:lvl>
    <w:lvl w:ilvl="3" w:tplc="D09A42B4">
      <w:start w:val="1"/>
      <w:numFmt w:val="bullet"/>
      <w:lvlText w:val=""/>
      <w:lvlJc w:val="left"/>
      <w:pPr>
        <w:ind w:left="2880" w:hanging="360"/>
      </w:pPr>
      <w:rPr>
        <w:rFonts w:ascii="Symbol" w:hAnsi="Symbol" w:hint="default"/>
      </w:rPr>
    </w:lvl>
    <w:lvl w:ilvl="4" w:tplc="77100B6E">
      <w:start w:val="1"/>
      <w:numFmt w:val="bullet"/>
      <w:lvlText w:val="o"/>
      <w:lvlJc w:val="left"/>
      <w:pPr>
        <w:ind w:left="3600" w:hanging="360"/>
      </w:pPr>
      <w:rPr>
        <w:rFonts w:ascii="Courier New" w:hAnsi="Courier New" w:cs="Courier New" w:hint="default"/>
      </w:rPr>
    </w:lvl>
    <w:lvl w:ilvl="5" w:tplc="F604C0EE">
      <w:start w:val="1"/>
      <w:numFmt w:val="bullet"/>
      <w:lvlText w:val=""/>
      <w:lvlJc w:val="left"/>
      <w:pPr>
        <w:ind w:left="4320" w:hanging="360"/>
      </w:pPr>
      <w:rPr>
        <w:rFonts w:ascii="Wingdings" w:hAnsi="Wingdings" w:hint="default"/>
      </w:rPr>
    </w:lvl>
    <w:lvl w:ilvl="6" w:tplc="035C608C">
      <w:start w:val="1"/>
      <w:numFmt w:val="bullet"/>
      <w:lvlText w:val=""/>
      <w:lvlJc w:val="left"/>
      <w:pPr>
        <w:ind w:left="5040" w:hanging="360"/>
      </w:pPr>
      <w:rPr>
        <w:rFonts w:ascii="Symbol" w:hAnsi="Symbol" w:hint="default"/>
      </w:rPr>
    </w:lvl>
    <w:lvl w:ilvl="7" w:tplc="71B0C9E0">
      <w:start w:val="1"/>
      <w:numFmt w:val="bullet"/>
      <w:lvlText w:val="o"/>
      <w:lvlJc w:val="left"/>
      <w:pPr>
        <w:ind w:left="5760" w:hanging="360"/>
      </w:pPr>
      <w:rPr>
        <w:rFonts w:ascii="Courier New" w:hAnsi="Courier New" w:cs="Courier New" w:hint="default"/>
      </w:rPr>
    </w:lvl>
    <w:lvl w:ilvl="8" w:tplc="2EC0E9CE">
      <w:start w:val="1"/>
      <w:numFmt w:val="bullet"/>
      <w:lvlText w:val=""/>
      <w:lvlJc w:val="left"/>
      <w:pPr>
        <w:ind w:left="6480" w:hanging="360"/>
      </w:pPr>
      <w:rPr>
        <w:rFonts w:ascii="Wingdings" w:hAnsi="Wingdings" w:hint="default"/>
      </w:rPr>
    </w:lvl>
  </w:abstractNum>
  <w:abstractNum w:abstractNumId="12" w15:restartNumberingAfterBreak="0">
    <w:nsid w:val="4219713F"/>
    <w:multiLevelType w:val="hybridMultilevel"/>
    <w:tmpl w:val="A27E5A4E"/>
    <w:lvl w:ilvl="0" w:tplc="FB801A3C">
      <w:start w:val="1"/>
      <w:numFmt w:val="decimal"/>
      <w:lvlText w:val="%1)"/>
      <w:lvlJc w:val="left"/>
      <w:pPr>
        <w:ind w:left="720" w:hanging="360"/>
      </w:pPr>
      <w:rPr>
        <w:rFonts w:hint="default"/>
      </w:rPr>
    </w:lvl>
    <w:lvl w:ilvl="1" w:tplc="BFDE4D1C">
      <w:start w:val="1"/>
      <w:numFmt w:val="lowerLetter"/>
      <w:lvlText w:val="%2."/>
      <w:lvlJc w:val="left"/>
      <w:pPr>
        <w:ind w:left="1440" w:hanging="360"/>
      </w:pPr>
    </w:lvl>
    <w:lvl w:ilvl="2" w:tplc="A642CF8A">
      <w:start w:val="1"/>
      <w:numFmt w:val="lowerRoman"/>
      <w:lvlText w:val="%3."/>
      <w:lvlJc w:val="right"/>
      <w:pPr>
        <w:ind w:left="2160" w:hanging="180"/>
      </w:pPr>
    </w:lvl>
    <w:lvl w:ilvl="3" w:tplc="8A0EC1A6">
      <w:start w:val="1"/>
      <w:numFmt w:val="decimal"/>
      <w:lvlText w:val="%4."/>
      <w:lvlJc w:val="left"/>
      <w:pPr>
        <w:ind w:left="2880" w:hanging="360"/>
      </w:pPr>
    </w:lvl>
    <w:lvl w:ilvl="4" w:tplc="9AF08964">
      <w:start w:val="1"/>
      <w:numFmt w:val="lowerLetter"/>
      <w:lvlText w:val="%5."/>
      <w:lvlJc w:val="left"/>
      <w:pPr>
        <w:ind w:left="3600" w:hanging="360"/>
      </w:pPr>
    </w:lvl>
    <w:lvl w:ilvl="5" w:tplc="24647EBC">
      <w:start w:val="1"/>
      <w:numFmt w:val="lowerRoman"/>
      <w:lvlText w:val="%6."/>
      <w:lvlJc w:val="right"/>
      <w:pPr>
        <w:ind w:left="4320" w:hanging="180"/>
      </w:pPr>
    </w:lvl>
    <w:lvl w:ilvl="6" w:tplc="87C4E110">
      <w:start w:val="1"/>
      <w:numFmt w:val="decimal"/>
      <w:lvlText w:val="%7."/>
      <w:lvlJc w:val="left"/>
      <w:pPr>
        <w:ind w:left="5040" w:hanging="360"/>
      </w:pPr>
    </w:lvl>
    <w:lvl w:ilvl="7" w:tplc="D9E24DCE">
      <w:start w:val="1"/>
      <w:numFmt w:val="lowerLetter"/>
      <w:lvlText w:val="%8."/>
      <w:lvlJc w:val="left"/>
      <w:pPr>
        <w:ind w:left="5760" w:hanging="360"/>
      </w:pPr>
    </w:lvl>
    <w:lvl w:ilvl="8" w:tplc="63CE5BB4">
      <w:start w:val="1"/>
      <w:numFmt w:val="lowerRoman"/>
      <w:lvlText w:val="%9."/>
      <w:lvlJc w:val="right"/>
      <w:pPr>
        <w:ind w:left="6480" w:hanging="180"/>
      </w:pPr>
    </w:lvl>
  </w:abstractNum>
  <w:abstractNum w:abstractNumId="13" w15:restartNumberingAfterBreak="0">
    <w:nsid w:val="4D697F71"/>
    <w:multiLevelType w:val="hybridMultilevel"/>
    <w:tmpl w:val="D3E4561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20D0CF7"/>
    <w:multiLevelType w:val="hybridMultilevel"/>
    <w:tmpl w:val="33885EFE"/>
    <w:lvl w:ilvl="0" w:tplc="A17CAC16">
      <w:start w:val="1"/>
      <w:numFmt w:val="bullet"/>
      <w:lvlText w:val=""/>
      <w:lvlJc w:val="left"/>
      <w:pPr>
        <w:ind w:left="720" w:hanging="360"/>
      </w:pPr>
      <w:rPr>
        <w:rFonts w:ascii="Wingdings" w:eastAsiaTheme="minorHAnsi" w:hAnsi="Wingdings" w:cstheme="minorBidi" w:hint="default"/>
      </w:rPr>
    </w:lvl>
    <w:lvl w:ilvl="1" w:tplc="44F034AE">
      <w:start w:val="1"/>
      <w:numFmt w:val="bullet"/>
      <w:lvlText w:val="o"/>
      <w:lvlJc w:val="left"/>
      <w:pPr>
        <w:ind w:left="1440" w:hanging="360"/>
      </w:pPr>
      <w:rPr>
        <w:rFonts w:ascii="Courier New" w:hAnsi="Courier New" w:cs="Courier New" w:hint="default"/>
      </w:rPr>
    </w:lvl>
    <w:lvl w:ilvl="2" w:tplc="7CD0D16C">
      <w:start w:val="1"/>
      <w:numFmt w:val="bullet"/>
      <w:lvlText w:val=""/>
      <w:lvlJc w:val="left"/>
      <w:pPr>
        <w:ind w:left="2160" w:hanging="360"/>
      </w:pPr>
      <w:rPr>
        <w:rFonts w:ascii="Wingdings" w:hAnsi="Wingdings" w:hint="default"/>
      </w:rPr>
    </w:lvl>
    <w:lvl w:ilvl="3" w:tplc="A03A5D96">
      <w:start w:val="1"/>
      <w:numFmt w:val="bullet"/>
      <w:lvlText w:val=""/>
      <w:lvlJc w:val="left"/>
      <w:pPr>
        <w:ind w:left="2880" w:hanging="360"/>
      </w:pPr>
      <w:rPr>
        <w:rFonts w:ascii="Symbol" w:hAnsi="Symbol" w:hint="default"/>
      </w:rPr>
    </w:lvl>
    <w:lvl w:ilvl="4" w:tplc="A93290C4">
      <w:start w:val="1"/>
      <w:numFmt w:val="bullet"/>
      <w:lvlText w:val="o"/>
      <w:lvlJc w:val="left"/>
      <w:pPr>
        <w:ind w:left="3600" w:hanging="360"/>
      </w:pPr>
      <w:rPr>
        <w:rFonts w:ascii="Courier New" w:hAnsi="Courier New" w:cs="Courier New" w:hint="default"/>
      </w:rPr>
    </w:lvl>
    <w:lvl w:ilvl="5" w:tplc="49D00F22">
      <w:start w:val="1"/>
      <w:numFmt w:val="bullet"/>
      <w:lvlText w:val=""/>
      <w:lvlJc w:val="left"/>
      <w:pPr>
        <w:ind w:left="4320" w:hanging="360"/>
      </w:pPr>
      <w:rPr>
        <w:rFonts w:ascii="Wingdings" w:hAnsi="Wingdings" w:hint="default"/>
      </w:rPr>
    </w:lvl>
    <w:lvl w:ilvl="6" w:tplc="DFF664C6">
      <w:start w:val="1"/>
      <w:numFmt w:val="bullet"/>
      <w:lvlText w:val=""/>
      <w:lvlJc w:val="left"/>
      <w:pPr>
        <w:ind w:left="5040" w:hanging="360"/>
      </w:pPr>
      <w:rPr>
        <w:rFonts w:ascii="Symbol" w:hAnsi="Symbol" w:hint="default"/>
      </w:rPr>
    </w:lvl>
    <w:lvl w:ilvl="7" w:tplc="9334D0CA">
      <w:start w:val="1"/>
      <w:numFmt w:val="bullet"/>
      <w:lvlText w:val="o"/>
      <w:lvlJc w:val="left"/>
      <w:pPr>
        <w:ind w:left="5760" w:hanging="360"/>
      </w:pPr>
      <w:rPr>
        <w:rFonts w:ascii="Courier New" w:hAnsi="Courier New" w:cs="Courier New" w:hint="default"/>
      </w:rPr>
    </w:lvl>
    <w:lvl w:ilvl="8" w:tplc="5AE6A88C">
      <w:start w:val="1"/>
      <w:numFmt w:val="bullet"/>
      <w:lvlText w:val=""/>
      <w:lvlJc w:val="left"/>
      <w:pPr>
        <w:ind w:left="6480" w:hanging="360"/>
      </w:pPr>
      <w:rPr>
        <w:rFonts w:ascii="Wingdings" w:hAnsi="Wingdings" w:hint="default"/>
      </w:rPr>
    </w:lvl>
  </w:abstractNum>
  <w:abstractNum w:abstractNumId="15" w15:restartNumberingAfterBreak="0">
    <w:nsid w:val="542604E6"/>
    <w:multiLevelType w:val="hybridMultilevel"/>
    <w:tmpl w:val="42C01A20"/>
    <w:lvl w:ilvl="0" w:tplc="A79453EC">
      <w:start w:val="1"/>
      <w:numFmt w:val="bullet"/>
      <w:lvlText w:val=""/>
      <w:lvlJc w:val="left"/>
      <w:pPr>
        <w:ind w:left="720" w:hanging="360"/>
      </w:pPr>
      <w:rPr>
        <w:rFonts w:ascii="Symbol" w:hAnsi="Symbol" w:hint="default"/>
      </w:rPr>
    </w:lvl>
    <w:lvl w:ilvl="1" w:tplc="E174D576">
      <w:start w:val="1"/>
      <w:numFmt w:val="bullet"/>
      <w:lvlText w:val="o"/>
      <w:lvlJc w:val="left"/>
      <w:pPr>
        <w:ind w:left="1440" w:hanging="360"/>
      </w:pPr>
      <w:rPr>
        <w:rFonts w:ascii="Courier New" w:hAnsi="Courier New" w:cs="Courier New" w:hint="default"/>
      </w:rPr>
    </w:lvl>
    <w:lvl w:ilvl="2" w:tplc="CCE046AE">
      <w:start w:val="1"/>
      <w:numFmt w:val="bullet"/>
      <w:lvlText w:val=""/>
      <w:lvlJc w:val="left"/>
      <w:pPr>
        <w:ind w:left="2160" w:hanging="360"/>
      </w:pPr>
      <w:rPr>
        <w:rFonts w:ascii="Wingdings" w:hAnsi="Wingdings" w:hint="default"/>
      </w:rPr>
    </w:lvl>
    <w:lvl w:ilvl="3" w:tplc="0F14E7A6">
      <w:start w:val="1"/>
      <w:numFmt w:val="bullet"/>
      <w:lvlText w:val=""/>
      <w:lvlJc w:val="left"/>
      <w:pPr>
        <w:ind w:left="2880" w:hanging="360"/>
      </w:pPr>
      <w:rPr>
        <w:rFonts w:ascii="Symbol" w:hAnsi="Symbol" w:hint="default"/>
      </w:rPr>
    </w:lvl>
    <w:lvl w:ilvl="4" w:tplc="6992A25C">
      <w:start w:val="1"/>
      <w:numFmt w:val="bullet"/>
      <w:lvlText w:val="o"/>
      <w:lvlJc w:val="left"/>
      <w:pPr>
        <w:ind w:left="3600" w:hanging="360"/>
      </w:pPr>
      <w:rPr>
        <w:rFonts w:ascii="Courier New" w:hAnsi="Courier New" w:cs="Courier New" w:hint="default"/>
      </w:rPr>
    </w:lvl>
    <w:lvl w:ilvl="5" w:tplc="427AA4D8">
      <w:start w:val="1"/>
      <w:numFmt w:val="bullet"/>
      <w:lvlText w:val=""/>
      <w:lvlJc w:val="left"/>
      <w:pPr>
        <w:ind w:left="4320" w:hanging="360"/>
      </w:pPr>
      <w:rPr>
        <w:rFonts w:ascii="Wingdings" w:hAnsi="Wingdings" w:hint="default"/>
      </w:rPr>
    </w:lvl>
    <w:lvl w:ilvl="6" w:tplc="9924825A">
      <w:start w:val="1"/>
      <w:numFmt w:val="bullet"/>
      <w:lvlText w:val=""/>
      <w:lvlJc w:val="left"/>
      <w:pPr>
        <w:ind w:left="5040" w:hanging="360"/>
      </w:pPr>
      <w:rPr>
        <w:rFonts w:ascii="Symbol" w:hAnsi="Symbol" w:hint="default"/>
      </w:rPr>
    </w:lvl>
    <w:lvl w:ilvl="7" w:tplc="14E86046">
      <w:start w:val="1"/>
      <w:numFmt w:val="bullet"/>
      <w:lvlText w:val="o"/>
      <w:lvlJc w:val="left"/>
      <w:pPr>
        <w:ind w:left="5760" w:hanging="360"/>
      </w:pPr>
      <w:rPr>
        <w:rFonts w:ascii="Courier New" w:hAnsi="Courier New" w:cs="Courier New" w:hint="default"/>
      </w:rPr>
    </w:lvl>
    <w:lvl w:ilvl="8" w:tplc="DD989918">
      <w:start w:val="1"/>
      <w:numFmt w:val="bullet"/>
      <w:lvlText w:val=""/>
      <w:lvlJc w:val="left"/>
      <w:pPr>
        <w:ind w:left="6480" w:hanging="360"/>
      </w:pPr>
      <w:rPr>
        <w:rFonts w:ascii="Wingdings" w:hAnsi="Wingdings" w:hint="default"/>
      </w:rPr>
    </w:lvl>
  </w:abstractNum>
  <w:abstractNum w:abstractNumId="16" w15:restartNumberingAfterBreak="0">
    <w:nsid w:val="5C976828"/>
    <w:multiLevelType w:val="hybridMultilevel"/>
    <w:tmpl w:val="39A6E09C"/>
    <w:lvl w:ilvl="0" w:tplc="82128C5A">
      <w:start w:val="1"/>
      <w:numFmt w:val="decimal"/>
      <w:lvlText w:val="%1)"/>
      <w:lvlJc w:val="left"/>
      <w:pPr>
        <w:ind w:left="720" w:hanging="360"/>
      </w:pPr>
      <w:rPr>
        <w:rFonts w:hint="default"/>
      </w:rPr>
    </w:lvl>
    <w:lvl w:ilvl="1" w:tplc="BDD892DC">
      <w:start w:val="1"/>
      <w:numFmt w:val="lowerLetter"/>
      <w:lvlText w:val="%2."/>
      <w:lvlJc w:val="left"/>
      <w:pPr>
        <w:ind w:left="1440" w:hanging="360"/>
      </w:pPr>
    </w:lvl>
    <w:lvl w:ilvl="2" w:tplc="A188781E">
      <w:start w:val="1"/>
      <w:numFmt w:val="lowerRoman"/>
      <w:lvlText w:val="%3."/>
      <w:lvlJc w:val="right"/>
      <w:pPr>
        <w:ind w:left="2160" w:hanging="180"/>
      </w:pPr>
    </w:lvl>
    <w:lvl w:ilvl="3" w:tplc="A78A0CBA">
      <w:start w:val="1"/>
      <w:numFmt w:val="decimal"/>
      <w:lvlText w:val="%4."/>
      <w:lvlJc w:val="left"/>
      <w:pPr>
        <w:ind w:left="2880" w:hanging="360"/>
      </w:pPr>
    </w:lvl>
    <w:lvl w:ilvl="4" w:tplc="8CEA5028">
      <w:start w:val="1"/>
      <w:numFmt w:val="lowerLetter"/>
      <w:lvlText w:val="%5."/>
      <w:lvlJc w:val="left"/>
      <w:pPr>
        <w:ind w:left="3600" w:hanging="360"/>
      </w:pPr>
    </w:lvl>
    <w:lvl w:ilvl="5" w:tplc="8BE2D9DA">
      <w:start w:val="1"/>
      <w:numFmt w:val="lowerRoman"/>
      <w:lvlText w:val="%6."/>
      <w:lvlJc w:val="right"/>
      <w:pPr>
        <w:ind w:left="4320" w:hanging="180"/>
      </w:pPr>
    </w:lvl>
    <w:lvl w:ilvl="6" w:tplc="2ED62254">
      <w:start w:val="1"/>
      <w:numFmt w:val="decimal"/>
      <w:lvlText w:val="%7."/>
      <w:lvlJc w:val="left"/>
      <w:pPr>
        <w:ind w:left="5040" w:hanging="360"/>
      </w:pPr>
    </w:lvl>
    <w:lvl w:ilvl="7" w:tplc="62DC3052">
      <w:start w:val="1"/>
      <w:numFmt w:val="lowerLetter"/>
      <w:lvlText w:val="%8."/>
      <w:lvlJc w:val="left"/>
      <w:pPr>
        <w:ind w:left="5760" w:hanging="360"/>
      </w:pPr>
    </w:lvl>
    <w:lvl w:ilvl="8" w:tplc="0270D818">
      <w:start w:val="1"/>
      <w:numFmt w:val="lowerRoman"/>
      <w:lvlText w:val="%9."/>
      <w:lvlJc w:val="right"/>
      <w:pPr>
        <w:ind w:left="6480" w:hanging="180"/>
      </w:pPr>
    </w:lvl>
  </w:abstractNum>
  <w:abstractNum w:abstractNumId="17" w15:restartNumberingAfterBreak="0">
    <w:nsid w:val="5F37042D"/>
    <w:multiLevelType w:val="hybridMultilevel"/>
    <w:tmpl w:val="4DA084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22917C6"/>
    <w:multiLevelType w:val="hybridMultilevel"/>
    <w:tmpl w:val="81842B8C"/>
    <w:lvl w:ilvl="0" w:tplc="04847BB4">
      <w:start w:val="90"/>
      <w:numFmt w:val="bullet"/>
      <w:lvlText w:val=""/>
      <w:lvlJc w:val="left"/>
      <w:pPr>
        <w:ind w:left="720" w:hanging="360"/>
      </w:pPr>
      <w:rPr>
        <w:rFonts w:ascii="Wingdings" w:eastAsiaTheme="minorHAnsi" w:hAnsi="Wingdings" w:cstheme="minorBidi" w:hint="default"/>
      </w:rPr>
    </w:lvl>
    <w:lvl w:ilvl="1" w:tplc="47FE5EE2">
      <w:start w:val="1"/>
      <w:numFmt w:val="bullet"/>
      <w:lvlText w:val="o"/>
      <w:lvlJc w:val="left"/>
      <w:pPr>
        <w:ind w:left="1440" w:hanging="360"/>
      </w:pPr>
      <w:rPr>
        <w:rFonts w:ascii="Courier New" w:hAnsi="Courier New" w:cs="Courier New" w:hint="default"/>
      </w:rPr>
    </w:lvl>
    <w:lvl w:ilvl="2" w:tplc="69A42416">
      <w:start w:val="1"/>
      <w:numFmt w:val="bullet"/>
      <w:lvlText w:val=""/>
      <w:lvlJc w:val="left"/>
      <w:pPr>
        <w:ind w:left="2160" w:hanging="360"/>
      </w:pPr>
      <w:rPr>
        <w:rFonts w:ascii="Wingdings" w:hAnsi="Wingdings" w:hint="default"/>
      </w:rPr>
    </w:lvl>
    <w:lvl w:ilvl="3" w:tplc="BFBC26FC">
      <w:start w:val="1"/>
      <w:numFmt w:val="bullet"/>
      <w:lvlText w:val=""/>
      <w:lvlJc w:val="left"/>
      <w:pPr>
        <w:ind w:left="2880" w:hanging="360"/>
      </w:pPr>
      <w:rPr>
        <w:rFonts w:ascii="Symbol" w:hAnsi="Symbol" w:hint="default"/>
      </w:rPr>
    </w:lvl>
    <w:lvl w:ilvl="4" w:tplc="1368EC80">
      <w:start w:val="1"/>
      <w:numFmt w:val="bullet"/>
      <w:lvlText w:val="o"/>
      <w:lvlJc w:val="left"/>
      <w:pPr>
        <w:ind w:left="3600" w:hanging="360"/>
      </w:pPr>
      <w:rPr>
        <w:rFonts w:ascii="Courier New" w:hAnsi="Courier New" w:cs="Courier New" w:hint="default"/>
      </w:rPr>
    </w:lvl>
    <w:lvl w:ilvl="5" w:tplc="7DD02E6E">
      <w:start w:val="1"/>
      <w:numFmt w:val="bullet"/>
      <w:lvlText w:val=""/>
      <w:lvlJc w:val="left"/>
      <w:pPr>
        <w:ind w:left="4320" w:hanging="360"/>
      </w:pPr>
      <w:rPr>
        <w:rFonts w:ascii="Wingdings" w:hAnsi="Wingdings" w:hint="default"/>
      </w:rPr>
    </w:lvl>
    <w:lvl w:ilvl="6" w:tplc="BFD26BCC">
      <w:start w:val="1"/>
      <w:numFmt w:val="bullet"/>
      <w:lvlText w:val=""/>
      <w:lvlJc w:val="left"/>
      <w:pPr>
        <w:ind w:left="5040" w:hanging="360"/>
      </w:pPr>
      <w:rPr>
        <w:rFonts w:ascii="Symbol" w:hAnsi="Symbol" w:hint="default"/>
      </w:rPr>
    </w:lvl>
    <w:lvl w:ilvl="7" w:tplc="D5222B1E">
      <w:start w:val="1"/>
      <w:numFmt w:val="bullet"/>
      <w:lvlText w:val="o"/>
      <w:lvlJc w:val="left"/>
      <w:pPr>
        <w:ind w:left="5760" w:hanging="360"/>
      </w:pPr>
      <w:rPr>
        <w:rFonts w:ascii="Courier New" w:hAnsi="Courier New" w:cs="Courier New" w:hint="default"/>
      </w:rPr>
    </w:lvl>
    <w:lvl w:ilvl="8" w:tplc="6B6EF53C">
      <w:start w:val="1"/>
      <w:numFmt w:val="bullet"/>
      <w:lvlText w:val=""/>
      <w:lvlJc w:val="left"/>
      <w:pPr>
        <w:ind w:left="6480" w:hanging="360"/>
      </w:pPr>
      <w:rPr>
        <w:rFonts w:ascii="Wingdings" w:hAnsi="Wingdings" w:hint="default"/>
      </w:rPr>
    </w:lvl>
  </w:abstractNum>
  <w:abstractNum w:abstractNumId="19" w15:restartNumberingAfterBreak="0">
    <w:nsid w:val="692629C3"/>
    <w:multiLevelType w:val="hybridMultilevel"/>
    <w:tmpl w:val="9BCC91C6"/>
    <w:lvl w:ilvl="0" w:tplc="D820FA86">
      <w:start w:val="2"/>
      <w:numFmt w:val="bullet"/>
      <w:lvlText w:val=""/>
      <w:lvlJc w:val="left"/>
      <w:pPr>
        <w:ind w:left="720" w:hanging="360"/>
      </w:pPr>
      <w:rPr>
        <w:rFonts w:ascii="Symbol" w:eastAsiaTheme="minorHAnsi" w:hAnsi="Symbol" w:cstheme="minorBidi" w:hint="default"/>
      </w:rPr>
    </w:lvl>
    <w:lvl w:ilvl="1" w:tplc="93F0E4BA">
      <w:start w:val="1"/>
      <w:numFmt w:val="bullet"/>
      <w:lvlText w:val="o"/>
      <w:lvlJc w:val="left"/>
      <w:pPr>
        <w:ind w:left="1440" w:hanging="360"/>
      </w:pPr>
      <w:rPr>
        <w:rFonts w:ascii="Courier New" w:hAnsi="Courier New" w:cs="Courier New" w:hint="default"/>
      </w:rPr>
    </w:lvl>
    <w:lvl w:ilvl="2" w:tplc="307C6EB4">
      <w:start w:val="1"/>
      <w:numFmt w:val="bullet"/>
      <w:lvlText w:val=""/>
      <w:lvlJc w:val="left"/>
      <w:pPr>
        <w:ind w:left="2160" w:hanging="360"/>
      </w:pPr>
      <w:rPr>
        <w:rFonts w:ascii="Wingdings" w:hAnsi="Wingdings" w:hint="default"/>
      </w:rPr>
    </w:lvl>
    <w:lvl w:ilvl="3" w:tplc="7E421B60">
      <w:start w:val="1"/>
      <w:numFmt w:val="bullet"/>
      <w:lvlText w:val=""/>
      <w:lvlJc w:val="left"/>
      <w:pPr>
        <w:ind w:left="2880" w:hanging="360"/>
      </w:pPr>
      <w:rPr>
        <w:rFonts w:ascii="Symbol" w:hAnsi="Symbol" w:hint="default"/>
      </w:rPr>
    </w:lvl>
    <w:lvl w:ilvl="4" w:tplc="731C6D40">
      <w:start w:val="1"/>
      <w:numFmt w:val="bullet"/>
      <w:lvlText w:val="o"/>
      <w:lvlJc w:val="left"/>
      <w:pPr>
        <w:ind w:left="3600" w:hanging="360"/>
      </w:pPr>
      <w:rPr>
        <w:rFonts w:ascii="Courier New" w:hAnsi="Courier New" w:cs="Courier New" w:hint="default"/>
      </w:rPr>
    </w:lvl>
    <w:lvl w:ilvl="5" w:tplc="B6ECFCF8">
      <w:start w:val="1"/>
      <w:numFmt w:val="bullet"/>
      <w:lvlText w:val=""/>
      <w:lvlJc w:val="left"/>
      <w:pPr>
        <w:ind w:left="4320" w:hanging="360"/>
      </w:pPr>
      <w:rPr>
        <w:rFonts w:ascii="Wingdings" w:hAnsi="Wingdings" w:hint="default"/>
      </w:rPr>
    </w:lvl>
    <w:lvl w:ilvl="6" w:tplc="7ABAA1F0">
      <w:start w:val="1"/>
      <w:numFmt w:val="bullet"/>
      <w:lvlText w:val=""/>
      <w:lvlJc w:val="left"/>
      <w:pPr>
        <w:ind w:left="5040" w:hanging="360"/>
      </w:pPr>
      <w:rPr>
        <w:rFonts w:ascii="Symbol" w:hAnsi="Symbol" w:hint="default"/>
      </w:rPr>
    </w:lvl>
    <w:lvl w:ilvl="7" w:tplc="001A2B9C">
      <w:start w:val="1"/>
      <w:numFmt w:val="bullet"/>
      <w:lvlText w:val="o"/>
      <w:lvlJc w:val="left"/>
      <w:pPr>
        <w:ind w:left="5760" w:hanging="360"/>
      </w:pPr>
      <w:rPr>
        <w:rFonts w:ascii="Courier New" w:hAnsi="Courier New" w:cs="Courier New" w:hint="default"/>
      </w:rPr>
    </w:lvl>
    <w:lvl w:ilvl="8" w:tplc="5F802346">
      <w:start w:val="1"/>
      <w:numFmt w:val="bullet"/>
      <w:lvlText w:val=""/>
      <w:lvlJc w:val="left"/>
      <w:pPr>
        <w:ind w:left="6480" w:hanging="360"/>
      </w:pPr>
      <w:rPr>
        <w:rFonts w:ascii="Wingdings" w:hAnsi="Wingdings" w:hint="default"/>
      </w:rPr>
    </w:lvl>
  </w:abstractNum>
  <w:abstractNum w:abstractNumId="20" w15:restartNumberingAfterBreak="0">
    <w:nsid w:val="6C0D0AF3"/>
    <w:multiLevelType w:val="hybridMultilevel"/>
    <w:tmpl w:val="CDF0E47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70A110E7"/>
    <w:multiLevelType w:val="hybridMultilevel"/>
    <w:tmpl w:val="4AEA5424"/>
    <w:lvl w:ilvl="0" w:tplc="428A373C">
      <w:start w:val="1"/>
      <w:numFmt w:val="bullet"/>
      <w:lvlText w:val=""/>
      <w:lvlJc w:val="left"/>
      <w:pPr>
        <w:ind w:left="360" w:hanging="360"/>
      </w:pPr>
      <w:rPr>
        <w:rFonts w:ascii="Symbol" w:hAnsi="Symbol" w:hint="default"/>
      </w:rPr>
    </w:lvl>
    <w:lvl w:ilvl="1" w:tplc="7C1004FE">
      <w:start w:val="1"/>
      <w:numFmt w:val="bullet"/>
      <w:lvlText w:val="o"/>
      <w:lvlJc w:val="left"/>
      <w:pPr>
        <w:ind w:left="1080" w:hanging="360"/>
      </w:pPr>
      <w:rPr>
        <w:rFonts w:ascii="Courier New" w:hAnsi="Courier New" w:cs="Courier New" w:hint="default"/>
      </w:rPr>
    </w:lvl>
    <w:lvl w:ilvl="2" w:tplc="FC98E870">
      <w:start w:val="1"/>
      <w:numFmt w:val="bullet"/>
      <w:lvlText w:val=""/>
      <w:lvlJc w:val="left"/>
      <w:pPr>
        <w:ind w:left="1800" w:hanging="360"/>
      </w:pPr>
      <w:rPr>
        <w:rFonts w:ascii="Wingdings" w:hAnsi="Wingdings" w:hint="default"/>
      </w:rPr>
    </w:lvl>
    <w:lvl w:ilvl="3" w:tplc="C830699C">
      <w:start w:val="1"/>
      <w:numFmt w:val="bullet"/>
      <w:lvlText w:val=""/>
      <w:lvlJc w:val="left"/>
      <w:pPr>
        <w:ind w:left="2520" w:hanging="360"/>
      </w:pPr>
      <w:rPr>
        <w:rFonts w:ascii="Symbol" w:hAnsi="Symbol" w:hint="default"/>
      </w:rPr>
    </w:lvl>
    <w:lvl w:ilvl="4" w:tplc="02DAC2B6">
      <w:start w:val="1"/>
      <w:numFmt w:val="bullet"/>
      <w:lvlText w:val="o"/>
      <w:lvlJc w:val="left"/>
      <w:pPr>
        <w:ind w:left="3240" w:hanging="360"/>
      </w:pPr>
      <w:rPr>
        <w:rFonts w:ascii="Courier New" w:hAnsi="Courier New" w:cs="Courier New" w:hint="default"/>
      </w:rPr>
    </w:lvl>
    <w:lvl w:ilvl="5" w:tplc="7C240388">
      <w:start w:val="1"/>
      <w:numFmt w:val="bullet"/>
      <w:lvlText w:val=""/>
      <w:lvlJc w:val="left"/>
      <w:pPr>
        <w:ind w:left="3960" w:hanging="360"/>
      </w:pPr>
      <w:rPr>
        <w:rFonts w:ascii="Wingdings" w:hAnsi="Wingdings" w:hint="default"/>
      </w:rPr>
    </w:lvl>
    <w:lvl w:ilvl="6" w:tplc="D08412F0">
      <w:start w:val="1"/>
      <w:numFmt w:val="bullet"/>
      <w:lvlText w:val=""/>
      <w:lvlJc w:val="left"/>
      <w:pPr>
        <w:ind w:left="4680" w:hanging="360"/>
      </w:pPr>
      <w:rPr>
        <w:rFonts w:ascii="Symbol" w:hAnsi="Symbol" w:hint="default"/>
      </w:rPr>
    </w:lvl>
    <w:lvl w:ilvl="7" w:tplc="D35C05CC">
      <w:start w:val="1"/>
      <w:numFmt w:val="bullet"/>
      <w:lvlText w:val="o"/>
      <w:lvlJc w:val="left"/>
      <w:pPr>
        <w:ind w:left="5400" w:hanging="360"/>
      </w:pPr>
      <w:rPr>
        <w:rFonts w:ascii="Courier New" w:hAnsi="Courier New" w:cs="Courier New" w:hint="default"/>
      </w:rPr>
    </w:lvl>
    <w:lvl w:ilvl="8" w:tplc="B38ED1F6">
      <w:start w:val="1"/>
      <w:numFmt w:val="bullet"/>
      <w:lvlText w:val=""/>
      <w:lvlJc w:val="left"/>
      <w:pPr>
        <w:ind w:left="6120" w:hanging="360"/>
      </w:pPr>
      <w:rPr>
        <w:rFonts w:ascii="Wingdings" w:hAnsi="Wingdings" w:hint="default"/>
      </w:rPr>
    </w:lvl>
  </w:abstractNum>
  <w:num w:numId="1" w16cid:durableId="1303192407">
    <w:abstractNumId w:val="1"/>
  </w:num>
  <w:num w:numId="2" w16cid:durableId="438454222">
    <w:abstractNumId w:val="19"/>
  </w:num>
  <w:num w:numId="3" w16cid:durableId="829295136">
    <w:abstractNumId w:val="6"/>
  </w:num>
  <w:num w:numId="4" w16cid:durableId="1326200812">
    <w:abstractNumId w:val="14"/>
  </w:num>
  <w:num w:numId="5" w16cid:durableId="1064134659">
    <w:abstractNumId w:val="21"/>
  </w:num>
  <w:num w:numId="6" w16cid:durableId="925303478">
    <w:abstractNumId w:val="15"/>
  </w:num>
  <w:num w:numId="7" w16cid:durableId="1092707174">
    <w:abstractNumId w:val="16"/>
  </w:num>
  <w:num w:numId="8" w16cid:durableId="1898011119">
    <w:abstractNumId w:val="8"/>
  </w:num>
  <w:num w:numId="9" w16cid:durableId="1683897113">
    <w:abstractNumId w:val="11"/>
  </w:num>
  <w:num w:numId="10" w16cid:durableId="1086148605">
    <w:abstractNumId w:val="18"/>
  </w:num>
  <w:num w:numId="11" w16cid:durableId="1701857444">
    <w:abstractNumId w:val="9"/>
  </w:num>
  <w:num w:numId="12" w16cid:durableId="1392313292">
    <w:abstractNumId w:val="12"/>
  </w:num>
  <w:num w:numId="13" w16cid:durableId="1902909133">
    <w:abstractNumId w:val="13"/>
  </w:num>
  <w:num w:numId="14" w16cid:durableId="1322544358">
    <w:abstractNumId w:val="3"/>
  </w:num>
  <w:num w:numId="15" w16cid:durableId="350305283">
    <w:abstractNumId w:val="10"/>
  </w:num>
  <w:num w:numId="16" w16cid:durableId="843010095">
    <w:abstractNumId w:val="2"/>
  </w:num>
  <w:num w:numId="17" w16cid:durableId="1598900016">
    <w:abstractNumId w:val="7"/>
  </w:num>
  <w:num w:numId="18" w16cid:durableId="453017421">
    <w:abstractNumId w:val="0"/>
  </w:num>
  <w:num w:numId="19" w16cid:durableId="1432823170">
    <w:abstractNumId w:val="5"/>
  </w:num>
  <w:num w:numId="20" w16cid:durableId="1922985128">
    <w:abstractNumId w:val="20"/>
  </w:num>
  <w:num w:numId="21" w16cid:durableId="1434861036">
    <w:abstractNumId w:val="17"/>
  </w:num>
  <w:num w:numId="22" w16cid:durableId="22245338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8"/>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B7043B"/>
    <w:rsid w:val="00003DD6"/>
    <w:rsid w:val="00010C49"/>
    <w:rsid w:val="00011795"/>
    <w:rsid w:val="00023782"/>
    <w:rsid w:val="000274E2"/>
    <w:rsid w:val="000521EE"/>
    <w:rsid w:val="00052CC5"/>
    <w:rsid w:val="00054FA1"/>
    <w:rsid w:val="0006198A"/>
    <w:rsid w:val="00065FED"/>
    <w:rsid w:val="00070C75"/>
    <w:rsid w:val="000736DC"/>
    <w:rsid w:val="00090880"/>
    <w:rsid w:val="0009211E"/>
    <w:rsid w:val="00094B7D"/>
    <w:rsid w:val="000C212A"/>
    <w:rsid w:val="000D348D"/>
    <w:rsid w:val="000E05AA"/>
    <w:rsid w:val="000F6752"/>
    <w:rsid w:val="00103EEA"/>
    <w:rsid w:val="001160A5"/>
    <w:rsid w:val="00135196"/>
    <w:rsid w:val="00136998"/>
    <w:rsid w:val="00142086"/>
    <w:rsid w:val="0014292D"/>
    <w:rsid w:val="001503AE"/>
    <w:rsid w:val="0016329F"/>
    <w:rsid w:val="00164C81"/>
    <w:rsid w:val="001660DF"/>
    <w:rsid w:val="0018218F"/>
    <w:rsid w:val="001869D2"/>
    <w:rsid w:val="00187DF3"/>
    <w:rsid w:val="001A5FE8"/>
    <w:rsid w:val="001B09BD"/>
    <w:rsid w:val="001B26A7"/>
    <w:rsid w:val="001B55B7"/>
    <w:rsid w:val="001C4295"/>
    <w:rsid w:val="001C7AD5"/>
    <w:rsid w:val="001D180C"/>
    <w:rsid w:val="001D4F25"/>
    <w:rsid w:val="001D595F"/>
    <w:rsid w:val="001D6DD5"/>
    <w:rsid w:val="001E1A8F"/>
    <w:rsid w:val="001E702A"/>
    <w:rsid w:val="001F11B3"/>
    <w:rsid w:val="001F28CA"/>
    <w:rsid w:val="001F640F"/>
    <w:rsid w:val="00203257"/>
    <w:rsid w:val="0020441F"/>
    <w:rsid w:val="00205AD4"/>
    <w:rsid w:val="00205EF3"/>
    <w:rsid w:val="002079A9"/>
    <w:rsid w:val="00210920"/>
    <w:rsid w:val="0021281E"/>
    <w:rsid w:val="00212D45"/>
    <w:rsid w:val="00214276"/>
    <w:rsid w:val="0023009C"/>
    <w:rsid w:val="00233FFD"/>
    <w:rsid w:val="00243DE8"/>
    <w:rsid w:val="00246164"/>
    <w:rsid w:val="00256F75"/>
    <w:rsid w:val="00262E8A"/>
    <w:rsid w:val="002644B2"/>
    <w:rsid w:val="00277476"/>
    <w:rsid w:val="0029532F"/>
    <w:rsid w:val="0029719D"/>
    <w:rsid w:val="002A138F"/>
    <w:rsid w:val="002A1560"/>
    <w:rsid w:val="002A669F"/>
    <w:rsid w:val="002A6B8D"/>
    <w:rsid w:val="002B72FD"/>
    <w:rsid w:val="002C6F64"/>
    <w:rsid w:val="002F38D0"/>
    <w:rsid w:val="003002B2"/>
    <w:rsid w:val="003016FF"/>
    <w:rsid w:val="00305BA1"/>
    <w:rsid w:val="003072A5"/>
    <w:rsid w:val="00314F4E"/>
    <w:rsid w:val="00323160"/>
    <w:rsid w:val="003304CC"/>
    <w:rsid w:val="00330C8A"/>
    <w:rsid w:val="00347383"/>
    <w:rsid w:val="003526AB"/>
    <w:rsid w:val="00353FFC"/>
    <w:rsid w:val="00357AE2"/>
    <w:rsid w:val="003657FF"/>
    <w:rsid w:val="003705A2"/>
    <w:rsid w:val="00376290"/>
    <w:rsid w:val="00376DD8"/>
    <w:rsid w:val="003B0925"/>
    <w:rsid w:val="003C5458"/>
    <w:rsid w:val="003C5A9F"/>
    <w:rsid w:val="003C6F6E"/>
    <w:rsid w:val="003D129E"/>
    <w:rsid w:val="003D4D63"/>
    <w:rsid w:val="003D60D6"/>
    <w:rsid w:val="003E3C7C"/>
    <w:rsid w:val="003F11CD"/>
    <w:rsid w:val="003F4772"/>
    <w:rsid w:val="003F47A3"/>
    <w:rsid w:val="003F5928"/>
    <w:rsid w:val="00411337"/>
    <w:rsid w:val="00415089"/>
    <w:rsid w:val="00416AF5"/>
    <w:rsid w:val="00426873"/>
    <w:rsid w:val="00426C93"/>
    <w:rsid w:val="00470D62"/>
    <w:rsid w:val="004726C4"/>
    <w:rsid w:val="00482F97"/>
    <w:rsid w:val="00486B29"/>
    <w:rsid w:val="00497014"/>
    <w:rsid w:val="004A4027"/>
    <w:rsid w:val="004A752E"/>
    <w:rsid w:val="004B5D80"/>
    <w:rsid w:val="004C04DA"/>
    <w:rsid w:val="004C31C5"/>
    <w:rsid w:val="004C42C3"/>
    <w:rsid w:val="004C53D0"/>
    <w:rsid w:val="004D2C23"/>
    <w:rsid w:val="004D3E8A"/>
    <w:rsid w:val="004D636A"/>
    <w:rsid w:val="004F1647"/>
    <w:rsid w:val="004F675C"/>
    <w:rsid w:val="00501C47"/>
    <w:rsid w:val="005064AE"/>
    <w:rsid w:val="00512E1D"/>
    <w:rsid w:val="00527D7F"/>
    <w:rsid w:val="0053149A"/>
    <w:rsid w:val="0053157C"/>
    <w:rsid w:val="005419BB"/>
    <w:rsid w:val="00552BC1"/>
    <w:rsid w:val="005532DB"/>
    <w:rsid w:val="00560F8A"/>
    <w:rsid w:val="0056372D"/>
    <w:rsid w:val="0056374F"/>
    <w:rsid w:val="005805AA"/>
    <w:rsid w:val="005843D9"/>
    <w:rsid w:val="00591BCC"/>
    <w:rsid w:val="005968E8"/>
    <w:rsid w:val="005A6931"/>
    <w:rsid w:val="005B5BF5"/>
    <w:rsid w:val="005B6F32"/>
    <w:rsid w:val="005C6EF7"/>
    <w:rsid w:val="005D27F9"/>
    <w:rsid w:val="005D5490"/>
    <w:rsid w:val="005E4260"/>
    <w:rsid w:val="00601214"/>
    <w:rsid w:val="0062529A"/>
    <w:rsid w:val="0062645F"/>
    <w:rsid w:val="00631C04"/>
    <w:rsid w:val="00651184"/>
    <w:rsid w:val="006519EE"/>
    <w:rsid w:val="00653B30"/>
    <w:rsid w:val="00665A4A"/>
    <w:rsid w:val="00666671"/>
    <w:rsid w:val="006668C1"/>
    <w:rsid w:val="006741BC"/>
    <w:rsid w:val="006754DD"/>
    <w:rsid w:val="006833A3"/>
    <w:rsid w:val="00692BC2"/>
    <w:rsid w:val="00694557"/>
    <w:rsid w:val="006A1A26"/>
    <w:rsid w:val="006A6DBF"/>
    <w:rsid w:val="006B3143"/>
    <w:rsid w:val="006B4249"/>
    <w:rsid w:val="006B6AA1"/>
    <w:rsid w:val="006C61ED"/>
    <w:rsid w:val="006D2AB8"/>
    <w:rsid w:val="006D4EC1"/>
    <w:rsid w:val="006D7FD2"/>
    <w:rsid w:val="006E3640"/>
    <w:rsid w:val="006E5709"/>
    <w:rsid w:val="007250EA"/>
    <w:rsid w:val="007250FB"/>
    <w:rsid w:val="00727188"/>
    <w:rsid w:val="007309E1"/>
    <w:rsid w:val="0073607D"/>
    <w:rsid w:val="00745EEE"/>
    <w:rsid w:val="007472E1"/>
    <w:rsid w:val="0075099E"/>
    <w:rsid w:val="0075171D"/>
    <w:rsid w:val="0075760C"/>
    <w:rsid w:val="007622F6"/>
    <w:rsid w:val="00771311"/>
    <w:rsid w:val="00771C3D"/>
    <w:rsid w:val="00777CD2"/>
    <w:rsid w:val="00781BF9"/>
    <w:rsid w:val="007845BD"/>
    <w:rsid w:val="00784758"/>
    <w:rsid w:val="007848D6"/>
    <w:rsid w:val="007878F6"/>
    <w:rsid w:val="0079136C"/>
    <w:rsid w:val="00792113"/>
    <w:rsid w:val="00792D6F"/>
    <w:rsid w:val="007C3D64"/>
    <w:rsid w:val="007C78F2"/>
    <w:rsid w:val="007C7EE0"/>
    <w:rsid w:val="007D7958"/>
    <w:rsid w:val="007E6924"/>
    <w:rsid w:val="007F08EA"/>
    <w:rsid w:val="007F76EC"/>
    <w:rsid w:val="0080411A"/>
    <w:rsid w:val="00805F66"/>
    <w:rsid w:val="008115C5"/>
    <w:rsid w:val="00824281"/>
    <w:rsid w:val="00827945"/>
    <w:rsid w:val="008337CF"/>
    <w:rsid w:val="00833AD2"/>
    <w:rsid w:val="00833C20"/>
    <w:rsid w:val="00843742"/>
    <w:rsid w:val="008472B9"/>
    <w:rsid w:val="0085398A"/>
    <w:rsid w:val="00857151"/>
    <w:rsid w:val="00864599"/>
    <w:rsid w:val="008655DF"/>
    <w:rsid w:val="008701FD"/>
    <w:rsid w:val="0087203B"/>
    <w:rsid w:val="00885CE3"/>
    <w:rsid w:val="00890D38"/>
    <w:rsid w:val="00891332"/>
    <w:rsid w:val="00895D44"/>
    <w:rsid w:val="0089606E"/>
    <w:rsid w:val="008A13F4"/>
    <w:rsid w:val="008B279B"/>
    <w:rsid w:val="008B4775"/>
    <w:rsid w:val="008B5036"/>
    <w:rsid w:val="008C3D02"/>
    <w:rsid w:val="008C466D"/>
    <w:rsid w:val="008D6CDE"/>
    <w:rsid w:val="008D7828"/>
    <w:rsid w:val="008E54F2"/>
    <w:rsid w:val="008E62D0"/>
    <w:rsid w:val="008E664B"/>
    <w:rsid w:val="008E7A3E"/>
    <w:rsid w:val="008F047E"/>
    <w:rsid w:val="00907E94"/>
    <w:rsid w:val="009249B4"/>
    <w:rsid w:val="00936E38"/>
    <w:rsid w:val="009439E3"/>
    <w:rsid w:val="00956FDF"/>
    <w:rsid w:val="00960FED"/>
    <w:rsid w:val="00963011"/>
    <w:rsid w:val="00973E0B"/>
    <w:rsid w:val="0097730C"/>
    <w:rsid w:val="009919C4"/>
    <w:rsid w:val="00994FB0"/>
    <w:rsid w:val="00995819"/>
    <w:rsid w:val="00997E11"/>
    <w:rsid w:val="009A07C8"/>
    <w:rsid w:val="009A7247"/>
    <w:rsid w:val="009B0F9E"/>
    <w:rsid w:val="009B5476"/>
    <w:rsid w:val="009B66EC"/>
    <w:rsid w:val="009C11E6"/>
    <w:rsid w:val="009C1792"/>
    <w:rsid w:val="009D0C7F"/>
    <w:rsid w:val="009D1138"/>
    <w:rsid w:val="009E2DA9"/>
    <w:rsid w:val="00A03838"/>
    <w:rsid w:val="00A04568"/>
    <w:rsid w:val="00A06074"/>
    <w:rsid w:val="00A26436"/>
    <w:rsid w:val="00A324D4"/>
    <w:rsid w:val="00A4406F"/>
    <w:rsid w:val="00A56464"/>
    <w:rsid w:val="00A57589"/>
    <w:rsid w:val="00A60ADC"/>
    <w:rsid w:val="00A82D49"/>
    <w:rsid w:val="00A8777B"/>
    <w:rsid w:val="00A8799B"/>
    <w:rsid w:val="00A87EAA"/>
    <w:rsid w:val="00A92BCE"/>
    <w:rsid w:val="00A9410C"/>
    <w:rsid w:val="00A95828"/>
    <w:rsid w:val="00A96789"/>
    <w:rsid w:val="00AA219B"/>
    <w:rsid w:val="00AA62E9"/>
    <w:rsid w:val="00AA6F06"/>
    <w:rsid w:val="00AB2FC4"/>
    <w:rsid w:val="00AC12ED"/>
    <w:rsid w:val="00AC1B4F"/>
    <w:rsid w:val="00AC271F"/>
    <w:rsid w:val="00AC7760"/>
    <w:rsid w:val="00AF104A"/>
    <w:rsid w:val="00AF5F70"/>
    <w:rsid w:val="00AF6E50"/>
    <w:rsid w:val="00B0209B"/>
    <w:rsid w:val="00B07328"/>
    <w:rsid w:val="00B1617E"/>
    <w:rsid w:val="00B27083"/>
    <w:rsid w:val="00B33DC0"/>
    <w:rsid w:val="00B40045"/>
    <w:rsid w:val="00B4437B"/>
    <w:rsid w:val="00B5016F"/>
    <w:rsid w:val="00B53BBF"/>
    <w:rsid w:val="00B56712"/>
    <w:rsid w:val="00B6550E"/>
    <w:rsid w:val="00B7043B"/>
    <w:rsid w:val="00B7191B"/>
    <w:rsid w:val="00BA27E1"/>
    <w:rsid w:val="00BB23A7"/>
    <w:rsid w:val="00BB38B1"/>
    <w:rsid w:val="00BC48A8"/>
    <w:rsid w:val="00BD2316"/>
    <w:rsid w:val="00BE130C"/>
    <w:rsid w:val="00BE194C"/>
    <w:rsid w:val="00BE27C5"/>
    <w:rsid w:val="00BE3075"/>
    <w:rsid w:val="00BE6165"/>
    <w:rsid w:val="00BE6421"/>
    <w:rsid w:val="00BF07DB"/>
    <w:rsid w:val="00BF5324"/>
    <w:rsid w:val="00BF6265"/>
    <w:rsid w:val="00C006F4"/>
    <w:rsid w:val="00C0331A"/>
    <w:rsid w:val="00C07F48"/>
    <w:rsid w:val="00C13123"/>
    <w:rsid w:val="00C335A3"/>
    <w:rsid w:val="00C401F5"/>
    <w:rsid w:val="00C40BED"/>
    <w:rsid w:val="00C4268C"/>
    <w:rsid w:val="00C440A5"/>
    <w:rsid w:val="00C45028"/>
    <w:rsid w:val="00C51936"/>
    <w:rsid w:val="00C56E92"/>
    <w:rsid w:val="00C5754E"/>
    <w:rsid w:val="00C62D85"/>
    <w:rsid w:val="00C7262A"/>
    <w:rsid w:val="00C7427B"/>
    <w:rsid w:val="00C84225"/>
    <w:rsid w:val="00C845B7"/>
    <w:rsid w:val="00C869E1"/>
    <w:rsid w:val="00C91240"/>
    <w:rsid w:val="00C92E4E"/>
    <w:rsid w:val="00C948F0"/>
    <w:rsid w:val="00C94E82"/>
    <w:rsid w:val="00C95E88"/>
    <w:rsid w:val="00C960FC"/>
    <w:rsid w:val="00C9669E"/>
    <w:rsid w:val="00CA5565"/>
    <w:rsid w:val="00CC4E37"/>
    <w:rsid w:val="00CD1A3A"/>
    <w:rsid w:val="00CD4A5D"/>
    <w:rsid w:val="00CD5C0A"/>
    <w:rsid w:val="00CE6680"/>
    <w:rsid w:val="00CF06D5"/>
    <w:rsid w:val="00CF264D"/>
    <w:rsid w:val="00CF4B56"/>
    <w:rsid w:val="00CF641F"/>
    <w:rsid w:val="00CF6C42"/>
    <w:rsid w:val="00D0048A"/>
    <w:rsid w:val="00D116A2"/>
    <w:rsid w:val="00D153AB"/>
    <w:rsid w:val="00D258EE"/>
    <w:rsid w:val="00D345EC"/>
    <w:rsid w:val="00D411BE"/>
    <w:rsid w:val="00D41CEB"/>
    <w:rsid w:val="00D43773"/>
    <w:rsid w:val="00D44752"/>
    <w:rsid w:val="00D86566"/>
    <w:rsid w:val="00D9483F"/>
    <w:rsid w:val="00D9544C"/>
    <w:rsid w:val="00DB3B05"/>
    <w:rsid w:val="00DC0620"/>
    <w:rsid w:val="00DC2D1D"/>
    <w:rsid w:val="00DC3192"/>
    <w:rsid w:val="00DD137E"/>
    <w:rsid w:val="00DD52AA"/>
    <w:rsid w:val="00DD59E3"/>
    <w:rsid w:val="00DE71DD"/>
    <w:rsid w:val="00DF6DDB"/>
    <w:rsid w:val="00E219DB"/>
    <w:rsid w:val="00E22CCE"/>
    <w:rsid w:val="00E23DFB"/>
    <w:rsid w:val="00E27D0A"/>
    <w:rsid w:val="00E40E69"/>
    <w:rsid w:val="00E43BC7"/>
    <w:rsid w:val="00E56539"/>
    <w:rsid w:val="00E74568"/>
    <w:rsid w:val="00E77CE5"/>
    <w:rsid w:val="00E83A29"/>
    <w:rsid w:val="00E84764"/>
    <w:rsid w:val="00E90886"/>
    <w:rsid w:val="00E93515"/>
    <w:rsid w:val="00E9421F"/>
    <w:rsid w:val="00EA0629"/>
    <w:rsid w:val="00EA5221"/>
    <w:rsid w:val="00EA5BA3"/>
    <w:rsid w:val="00EB06BF"/>
    <w:rsid w:val="00EB39CE"/>
    <w:rsid w:val="00EB6AB1"/>
    <w:rsid w:val="00EE0F9B"/>
    <w:rsid w:val="00F0403C"/>
    <w:rsid w:val="00F07A28"/>
    <w:rsid w:val="00F124F8"/>
    <w:rsid w:val="00F166F4"/>
    <w:rsid w:val="00F21547"/>
    <w:rsid w:val="00F22DC8"/>
    <w:rsid w:val="00F33B13"/>
    <w:rsid w:val="00F41415"/>
    <w:rsid w:val="00F4228C"/>
    <w:rsid w:val="00F47950"/>
    <w:rsid w:val="00F55C3D"/>
    <w:rsid w:val="00F6513E"/>
    <w:rsid w:val="00F661B6"/>
    <w:rsid w:val="00F70570"/>
    <w:rsid w:val="00F85A4B"/>
    <w:rsid w:val="00F90144"/>
    <w:rsid w:val="00FA1C03"/>
    <w:rsid w:val="00FA2A4C"/>
    <w:rsid w:val="00FB568F"/>
    <w:rsid w:val="00FC6458"/>
    <w:rsid w:val="00FC76B9"/>
    <w:rsid w:val="00FD7739"/>
    <w:rsid w:val="00FE2419"/>
    <w:rsid w:val="00FE37BA"/>
    <w:rsid w:val="00FE5923"/>
    <w:rsid w:val="00FF05C5"/>
    <w:rsid w:val="00FF7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31167"/>
  <w15:docId w15:val="{55DB438A-FBDB-47F3-9E9D-320D7A17C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52CC5"/>
    <w:pPr>
      <w:spacing w:after="0" w:line="360" w:lineRule="auto"/>
      <w:jc w:val="both"/>
    </w:pPr>
    <w:rPr>
      <w:lang w:val="en-US"/>
    </w:rPr>
  </w:style>
  <w:style w:type="paragraph" w:styleId="berschrift1">
    <w:name w:val="heading 1"/>
    <w:basedOn w:val="Standard"/>
    <w:next w:val="Standard"/>
    <w:link w:val="berschrift1Zchn"/>
    <w:uiPriority w:val="9"/>
    <w:qFormat/>
    <w:rsid w:val="005E4260"/>
    <w:pPr>
      <w:keepNext/>
      <w:keepLines/>
      <w:spacing w:before="240"/>
      <w:outlineLvl w:val="0"/>
    </w:pPr>
    <w:rPr>
      <w:rFonts w:asciiTheme="majorHAnsi" w:eastAsiaTheme="majorEastAsia" w:hAnsiTheme="majorHAnsi" w:cstheme="majorBidi"/>
      <w:color w:val="002060"/>
      <w:sz w:val="28"/>
      <w:szCs w:val="32"/>
    </w:rPr>
  </w:style>
  <w:style w:type="paragraph" w:styleId="berschrift2">
    <w:name w:val="heading 2"/>
    <w:basedOn w:val="Standard"/>
    <w:next w:val="Standard"/>
    <w:link w:val="berschrift2Zchn"/>
    <w:uiPriority w:val="9"/>
    <w:unhideWhenUsed/>
    <w:qFormat/>
    <w:rsid w:val="00262E8A"/>
    <w:pPr>
      <w:keepNext/>
      <w:keepLines/>
      <w:spacing w:before="160" w:after="12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214276"/>
    <w:pPr>
      <w:keepNext/>
      <w:keepLines/>
      <w:spacing w:before="120"/>
      <w:outlineLvl w:val="2"/>
    </w:pPr>
    <w:rPr>
      <w:rFonts w:asciiTheme="majorHAnsi" w:eastAsiaTheme="majorEastAsia" w:hAnsiTheme="majorHAnsi" w:cstheme="majorBidi"/>
      <w:color w:val="2E74B5" w:themeColor="accent1" w:themeShade="BF"/>
      <w:sz w:val="26"/>
      <w:szCs w:val="26"/>
    </w:rPr>
  </w:style>
  <w:style w:type="paragraph" w:styleId="berschrift4">
    <w:name w:val="heading 4"/>
    <w:basedOn w:val="Standard"/>
    <w:next w:val="Standard"/>
    <w:link w:val="berschrift4Zchn"/>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1">
    <w:name w:val="Table Grid Light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
    <w:name w:val="Grid Table 2 - Accent 21"/>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
    <w:name w:val="Grid Table 2 - Accent 61"/>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
    <w:name w:val="Grid Table 3 - Accent 21"/>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
    <w:name w:val="Grid Table 3 - Accent 61"/>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
    <w:name w:val="Grid Table 4 - Accent 21"/>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
    <w:name w:val="Grid Table 4 - Accent 61"/>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1">
    <w:name w:val="Grid Table 5 Dark - Accent 2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
    <w:name w:val="Grid Table 5 Dark - Accent 6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
    <w:name w:val="List Table 1 Light - Accent 2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
    <w:name w:val="List Table 1 Light - Accent 6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
    <w:name w:val="List Table 2 - Accent 21"/>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
    <w:name w:val="List Table 2 - Accent 61"/>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
    <w:name w:val="List Table 4 - Accent 21"/>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
    <w:name w:val="List Table 4 - Accent 61"/>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
    <w:name w:val="List Table 5 Dark - Accent 21"/>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
    <w:name w:val="List Table 5 Dark - Accent 61"/>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qFormat/>
  </w:style>
  <w:style w:type="paragraph" w:styleId="Abbildungsverzeichnis">
    <w:name w:val="table of figures"/>
    <w:basedOn w:val="Standard"/>
    <w:next w:val="Standard"/>
    <w:uiPriority w:val="99"/>
    <w:unhideWhenUsed/>
  </w:style>
  <w:style w:type="character" w:customStyle="1" w:styleId="berschrift1Zchn">
    <w:name w:val="Überschrift 1 Zchn"/>
    <w:basedOn w:val="Absatz-Standardschriftart"/>
    <w:link w:val="berschrift1"/>
    <w:uiPriority w:val="9"/>
    <w:rsid w:val="005E4260"/>
    <w:rPr>
      <w:rFonts w:asciiTheme="majorHAnsi" w:eastAsiaTheme="majorEastAsia" w:hAnsiTheme="majorHAnsi" w:cstheme="majorBidi"/>
      <w:color w:val="002060"/>
      <w:sz w:val="28"/>
      <w:szCs w:val="32"/>
      <w:lang w:val="en-US"/>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imes New Roman" w:hAnsi="Times New Roman" w:cs="Times New Roman"/>
      <w:szCs w:val="24"/>
      <w:lang w:eastAsia="de-DE"/>
    </w:rPr>
  </w:style>
  <w:style w:type="character" w:customStyle="1" w:styleId="berschrift2Zchn">
    <w:name w:val="Überschrift 2 Zchn"/>
    <w:basedOn w:val="Absatz-Standardschriftart"/>
    <w:link w:val="berschrift2"/>
    <w:uiPriority w:val="9"/>
    <w:rsid w:val="00262E8A"/>
    <w:rPr>
      <w:rFonts w:asciiTheme="majorHAnsi" w:eastAsiaTheme="majorEastAsia" w:hAnsiTheme="majorHAnsi" w:cstheme="majorBidi"/>
      <w:color w:val="2E74B5" w:themeColor="accent1" w:themeShade="BF"/>
      <w:sz w:val="26"/>
      <w:szCs w:val="26"/>
      <w:lang w:val="en-US"/>
    </w:rPr>
  </w:style>
  <w:style w:type="character" w:customStyle="1" w:styleId="berschrift3Zchn">
    <w:name w:val="Überschrift 3 Zchn"/>
    <w:basedOn w:val="Absatz-Standardschriftart"/>
    <w:link w:val="berschrift3"/>
    <w:uiPriority w:val="9"/>
    <w:rsid w:val="00214276"/>
    <w:rPr>
      <w:rFonts w:asciiTheme="majorHAnsi" w:eastAsiaTheme="majorEastAsia" w:hAnsiTheme="majorHAnsi" w:cstheme="majorBidi"/>
      <w:color w:val="2E74B5" w:themeColor="accent1" w:themeShade="BF"/>
      <w:sz w:val="26"/>
      <w:szCs w:val="26"/>
      <w:lang w:val="en-US"/>
    </w:rPr>
  </w:style>
  <w:style w:type="character" w:customStyle="1" w:styleId="berschrift4Zchn">
    <w:name w:val="Überschrift 4 Zchn"/>
    <w:basedOn w:val="Absatz-Standardschriftart"/>
    <w:link w:val="berschrift4"/>
    <w:uiPriority w:val="9"/>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rPr>
      <w:rFonts w:asciiTheme="majorHAnsi" w:eastAsiaTheme="majorEastAsia" w:hAnsiTheme="majorHAnsi" w:cstheme="majorBidi"/>
      <w:color w:val="2E74B5" w:themeColor="accent1" w:themeShade="BF"/>
    </w:r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schriftung">
    <w:name w:val="caption"/>
    <w:basedOn w:val="Standard"/>
    <w:next w:val="Standard"/>
    <w:uiPriority w:val="35"/>
    <w:unhideWhenUsed/>
    <w:qFormat/>
    <w:rsid w:val="00C62D85"/>
    <w:pPr>
      <w:spacing w:before="120" w:after="120" w:line="240" w:lineRule="auto"/>
    </w:pPr>
    <w:rPr>
      <w:i/>
      <w:iCs/>
      <w:sz w:val="20"/>
      <w:szCs w:val="18"/>
    </w:rPr>
  </w:style>
  <w:style w:type="paragraph" w:styleId="Listenabsatz">
    <w:name w:val="List Paragraph"/>
    <w:basedOn w:val="Standard"/>
    <w:uiPriority w:val="34"/>
    <w:qFormat/>
    <w:pPr>
      <w:ind w:left="720"/>
      <w:contextualSpacing/>
    </w:pPr>
  </w:style>
  <w:style w:type="paragraph" w:styleId="KeinLeerraum">
    <w:name w:val="No Spacing"/>
    <w:uiPriority w:val="1"/>
    <w:qFormat/>
    <w:rsid w:val="002A138F"/>
    <w:pPr>
      <w:spacing w:after="0" w:line="240" w:lineRule="auto"/>
      <w:jc w:val="both"/>
    </w:pPr>
    <w:rPr>
      <w:rFonts w:ascii="Calibri Light" w:hAnsi="Calibri Light"/>
      <w:sz w:val="20"/>
    </w:rPr>
  </w:style>
  <w:style w:type="paragraph" w:customStyle="1" w:styleId="EndNoteBibliographyTitle">
    <w:name w:val="EndNote Bibliography Title"/>
    <w:basedOn w:val="Standard"/>
    <w:link w:val="EndNoteBibliographyTitleZchn"/>
    <w:pPr>
      <w:jc w:val="center"/>
    </w:pPr>
    <w:rPr>
      <w:rFonts w:ascii="Calibri" w:hAnsi="Calibri" w:cs="Calibri"/>
    </w:rPr>
  </w:style>
  <w:style w:type="character" w:customStyle="1" w:styleId="EndNoteBibliographyTitleZchn">
    <w:name w:val="EndNote Bibliography Title Zchn"/>
    <w:basedOn w:val="Absatz-Standardschriftart"/>
    <w:link w:val="EndNoteBibliographyTitle"/>
    <w:rPr>
      <w:rFonts w:ascii="Calibri" w:hAnsi="Calibri" w:cs="Calibri"/>
      <w:lang w:val="en-US"/>
    </w:rPr>
  </w:style>
  <w:style w:type="paragraph" w:customStyle="1" w:styleId="EndNoteBibliography">
    <w:name w:val="EndNote Bibliography"/>
    <w:basedOn w:val="Standard"/>
    <w:link w:val="EndNoteBibliographyZchn"/>
    <w:pPr>
      <w:spacing w:line="240" w:lineRule="auto"/>
    </w:pPr>
    <w:rPr>
      <w:rFonts w:ascii="Calibri" w:hAnsi="Calibri" w:cs="Calibri"/>
    </w:rPr>
  </w:style>
  <w:style w:type="character" w:customStyle="1" w:styleId="EndNoteBibliographyZchn">
    <w:name w:val="EndNote Bibliography Zchn"/>
    <w:basedOn w:val="Absatz-Standardschriftart"/>
    <w:link w:val="EndNoteBibliography"/>
    <w:rPr>
      <w:rFonts w:ascii="Calibri" w:hAnsi="Calibri" w:cs="Calibri"/>
      <w:lang w:val="en-US"/>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after="200" w:line="240" w:lineRule="auto"/>
    </w:pPr>
    <w:rPr>
      <w:rFonts w:eastAsia="Arial" w:cs="Arial"/>
      <w:sz w:val="20"/>
      <w:szCs w:val="20"/>
      <w:lang w:val="en-GB"/>
    </w:rPr>
  </w:style>
  <w:style w:type="character" w:customStyle="1" w:styleId="KommentartextZchn">
    <w:name w:val="Kommentartext Zchn"/>
    <w:basedOn w:val="Absatz-Standardschriftart"/>
    <w:link w:val="Kommentartext"/>
    <w:uiPriority w:val="99"/>
    <w:rPr>
      <w:rFonts w:ascii="Arial" w:eastAsia="Arial" w:hAnsi="Arial" w:cs="Arial"/>
      <w:sz w:val="20"/>
      <w:szCs w:val="20"/>
      <w:lang w:val="en-GB"/>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Fuzeile">
    <w:name w:val="footer"/>
    <w:basedOn w:val="Standard"/>
    <w:link w:val="FuzeileZchn"/>
    <w:uiPriority w:val="99"/>
    <w:unhideWhenUsed/>
    <w:pPr>
      <w:tabs>
        <w:tab w:val="center" w:pos="4536"/>
        <w:tab w:val="right" w:pos="9072"/>
      </w:tabs>
      <w:spacing w:after="80" w:line="240" w:lineRule="auto"/>
    </w:pPr>
    <w:rPr>
      <w:rFonts w:eastAsia="Arial" w:cs="Arial"/>
      <w:lang w:val="en-GB"/>
    </w:rPr>
  </w:style>
  <w:style w:type="character" w:customStyle="1" w:styleId="FuzeileZchn">
    <w:name w:val="Fußzeile Zchn"/>
    <w:basedOn w:val="Absatz-Standardschriftart"/>
    <w:link w:val="Fuzeile"/>
    <w:uiPriority w:val="99"/>
    <w:rPr>
      <w:rFonts w:eastAsia="Arial" w:cs="Arial"/>
      <w:lang w:val="en-GB"/>
    </w:rPr>
  </w:style>
  <w:style w:type="paragraph" w:customStyle="1" w:styleId="Default">
    <w:name w:val="Default"/>
    <w:pPr>
      <w:spacing w:after="0" w:line="240" w:lineRule="auto"/>
    </w:pPr>
    <w:rPr>
      <w:rFonts w:ascii="Arial" w:hAnsi="Arial" w:cs="Arial"/>
      <w:color w:val="000000"/>
      <w:sz w:val="24"/>
      <w:szCs w:val="24"/>
    </w:rPr>
  </w:style>
  <w:style w:type="character" w:styleId="Hyperlink">
    <w:name w:val="Hyperlink"/>
    <w:basedOn w:val="Absatz-Standardschriftart"/>
    <w:uiPriority w:val="99"/>
    <w:unhideWhenUsed/>
    <w:rPr>
      <w:color w:val="0563C1" w:themeColor="hyperlink"/>
      <w:u w:val="single"/>
    </w:rPr>
  </w:style>
  <w:style w:type="character" w:styleId="Zeilennummer">
    <w:name w:val="line number"/>
    <w:basedOn w:val="Absatz-Standardschriftart"/>
    <w:uiPriority w:val="99"/>
    <w:semiHidden/>
    <w:unhideWhenUsed/>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rFonts w:ascii="Arial" w:hAnsi="Arial"/>
      <w:sz w:val="24"/>
      <w:lang w:val="en-US"/>
    </w:rPr>
  </w:style>
  <w:style w:type="character" w:styleId="Platzhaltertext">
    <w:name w:val="Placeholder Text"/>
    <w:basedOn w:val="Absatz-Standardschriftart"/>
    <w:uiPriority w:val="99"/>
    <w:semiHidden/>
    <w:rPr>
      <w:color w:val="808080"/>
    </w:rPr>
  </w:style>
  <w:style w:type="paragraph" w:styleId="Kommentarthema">
    <w:name w:val="annotation subject"/>
    <w:basedOn w:val="Kommentartext"/>
    <w:next w:val="Kommentartext"/>
    <w:link w:val="KommentarthemaZchn"/>
    <w:uiPriority w:val="99"/>
    <w:semiHidden/>
    <w:unhideWhenUsed/>
    <w:pPr>
      <w:spacing w:after="0"/>
    </w:pPr>
    <w:rPr>
      <w:rFonts w:eastAsiaTheme="minorHAnsi" w:cstheme="minorBidi"/>
      <w:b/>
      <w:bCs/>
      <w:lang w:val="en-US"/>
    </w:rPr>
  </w:style>
  <w:style w:type="character" w:customStyle="1" w:styleId="KommentarthemaZchn">
    <w:name w:val="Kommentarthema Zchn"/>
    <w:basedOn w:val="KommentartextZchn"/>
    <w:link w:val="Kommentarthema"/>
    <w:uiPriority w:val="99"/>
    <w:semiHidden/>
    <w:rPr>
      <w:rFonts w:ascii="Arial" w:eastAsia="Arial" w:hAnsi="Arial" w:cs="Arial"/>
      <w:b/>
      <w:bCs/>
      <w:sz w:val="20"/>
      <w:szCs w:val="20"/>
      <w:lang w:val="en-US"/>
    </w:rPr>
  </w:style>
  <w:style w:type="character" w:customStyle="1" w:styleId="markedcontent">
    <w:name w:val="markedcontent"/>
    <w:basedOn w:val="Absatz-Standardschriftart"/>
  </w:style>
  <w:style w:type="table" w:styleId="TabellemithellemGitternetz">
    <w:name w:val="Grid Table Light"/>
    <w:basedOn w:val="NormaleTabelle"/>
    <w:uiPriority w:val="40"/>
    <w:rsid w:val="00FE24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rarbeitung">
    <w:name w:val="Revision"/>
    <w:hidden/>
    <w:uiPriority w:val="99"/>
    <w:semiHidden/>
    <w:rsid w:val="00995819"/>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5070848">
      <w:bodyDiv w:val="1"/>
      <w:marLeft w:val="0"/>
      <w:marRight w:val="0"/>
      <w:marTop w:val="0"/>
      <w:marBottom w:val="0"/>
      <w:divBdr>
        <w:top w:val="none" w:sz="0" w:space="0" w:color="auto"/>
        <w:left w:val="none" w:sz="0" w:space="0" w:color="auto"/>
        <w:bottom w:val="none" w:sz="0" w:space="0" w:color="auto"/>
        <w:right w:val="none" w:sz="0" w:space="0" w:color="auto"/>
      </w:divBdr>
    </w:div>
    <w:div w:id="505633826">
      <w:bodyDiv w:val="1"/>
      <w:marLeft w:val="0"/>
      <w:marRight w:val="0"/>
      <w:marTop w:val="0"/>
      <w:marBottom w:val="0"/>
      <w:divBdr>
        <w:top w:val="none" w:sz="0" w:space="0" w:color="auto"/>
        <w:left w:val="none" w:sz="0" w:space="0" w:color="auto"/>
        <w:bottom w:val="none" w:sz="0" w:space="0" w:color="auto"/>
        <w:right w:val="none" w:sz="0" w:space="0" w:color="auto"/>
      </w:divBdr>
    </w:div>
    <w:div w:id="705180008">
      <w:bodyDiv w:val="1"/>
      <w:marLeft w:val="0"/>
      <w:marRight w:val="0"/>
      <w:marTop w:val="0"/>
      <w:marBottom w:val="0"/>
      <w:divBdr>
        <w:top w:val="none" w:sz="0" w:space="0" w:color="auto"/>
        <w:left w:val="none" w:sz="0" w:space="0" w:color="auto"/>
        <w:bottom w:val="none" w:sz="0" w:space="0" w:color="auto"/>
        <w:right w:val="none" w:sz="0" w:space="0" w:color="auto"/>
      </w:divBdr>
    </w:div>
    <w:div w:id="1329946507">
      <w:bodyDiv w:val="1"/>
      <w:marLeft w:val="0"/>
      <w:marRight w:val="0"/>
      <w:marTop w:val="0"/>
      <w:marBottom w:val="0"/>
      <w:divBdr>
        <w:top w:val="none" w:sz="0" w:space="0" w:color="auto"/>
        <w:left w:val="none" w:sz="0" w:space="0" w:color="auto"/>
        <w:bottom w:val="none" w:sz="0" w:space="0" w:color="auto"/>
        <w:right w:val="none" w:sz="0" w:space="0" w:color="auto"/>
      </w:divBdr>
    </w:div>
    <w:div w:id="1613778523">
      <w:bodyDiv w:val="1"/>
      <w:marLeft w:val="0"/>
      <w:marRight w:val="0"/>
      <w:marTop w:val="0"/>
      <w:marBottom w:val="0"/>
      <w:divBdr>
        <w:top w:val="none" w:sz="0" w:space="0" w:color="auto"/>
        <w:left w:val="none" w:sz="0" w:space="0" w:color="auto"/>
        <w:bottom w:val="none" w:sz="0" w:space="0" w:color="auto"/>
        <w:right w:val="none" w:sz="0" w:space="0" w:color="auto"/>
      </w:divBdr>
    </w:div>
    <w:div w:id="191936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oleObject" Target="embeddings/oleObject1.bin"/><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hyperlink" Target="mailto:andrea.haase@bfr.bund.de" TargetMode="External"/><Relationship Id="rId14" Type="http://schemas.openxmlformats.org/officeDocument/2006/relationships/image" Target="media/image5.jpeg"/><Relationship Id="rId22"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E8C58-7431-49A5-8838-5F8AE9A1FAB1}"/>
</file>

<file path=customXml/itemProps2.xml><?xml version="1.0" encoding="utf-8"?>
<ds:datastoreItem xmlns:ds="http://schemas.openxmlformats.org/officeDocument/2006/customXml" ds:itemID="{7ABBC65F-2C73-4C80-A7DA-6B93FEF4C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1209</Words>
  <Characters>7620</Characters>
  <Application>Microsoft Office Word</Application>
  <DocSecurity>0</DocSecurity>
  <Lines>63</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Bundesinstitut für Risikobewertung</Company>
  <LinksUpToDate>false</LinksUpToDate>
  <CharactersWithSpaces>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Frau Amelie Vogel</dc:creator>
  <cp:keywords/>
  <dc:description/>
  <cp:lastModifiedBy>Andrea Haase</cp:lastModifiedBy>
  <cp:revision>3</cp:revision>
  <cp:lastPrinted>2022-11-29T14:23:00Z</cp:lastPrinted>
  <dcterms:created xsi:type="dcterms:W3CDTF">2026-06-17T09:06:00Z</dcterms:created>
  <dcterms:modified xsi:type="dcterms:W3CDTF">2026-06-26T15:57:00Z</dcterms:modified>
</cp:coreProperties>
</file>