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EB9A9" w14:textId="173DB54D" w:rsidR="00DB5A36" w:rsidRDefault="002A7083">
      <w:pPr>
        <w:rPr>
          <w:rFonts w:ascii="Calibri" w:eastAsia="Calibri" w:hAnsi="Calibri" w:cs="Calibri"/>
          <w:bCs/>
        </w:rPr>
      </w:pPr>
      <w:r>
        <w:rPr>
          <w:rFonts w:ascii="Calibri" w:eastAsia="Calibri" w:hAnsi="Calibri" w:cs="Calibri"/>
          <w:b/>
          <w:color w:val="000000"/>
        </w:rPr>
        <w:t>SPIRIT 2025 checklist of items to address in a randomised trial protocol</w:t>
      </w:r>
      <w:r>
        <w:rPr>
          <w:rFonts w:ascii="Calibri" w:eastAsia="Calibri" w:hAnsi="Calibri" w:cs="Calibri"/>
          <w:b/>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DB5A36" w14:paraId="14F2E775" w14:textId="0C205F3F">
        <w:trPr>
          <w:trHeight w:val="276"/>
        </w:trPr>
        <w:tc>
          <w:tcPr>
            <w:tcW w:w="2405" w:type="dxa"/>
            <w:shd w:val="clear" w:color="auto" w:fill="BFBFBF"/>
            <w:vAlign w:val="center"/>
          </w:tcPr>
          <w:p w14:paraId="7A04EC6C" w14:textId="77777777" w:rsidR="00DB5A36" w:rsidRDefault="002A7083">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DB5A36" w:rsidRDefault="002A7083">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DB5A36" w:rsidRDefault="002A7083">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DB5A36" w:rsidRDefault="002A7083">
            <w:pPr>
              <w:rPr>
                <w:rFonts w:ascii="Calibri" w:eastAsia="Calibri" w:hAnsi="Calibri" w:cs="Calibri"/>
                <w:b/>
                <w:sz w:val="20"/>
                <w:szCs w:val="20"/>
              </w:rPr>
            </w:pPr>
            <w:r>
              <w:rPr>
                <w:rFonts w:ascii="Calibri" w:eastAsia="Calibri" w:hAnsi="Calibri" w:cs="Calibri"/>
                <w:b/>
                <w:sz w:val="20"/>
                <w:szCs w:val="20"/>
              </w:rPr>
              <w:t>Reported on page no.</w:t>
            </w:r>
          </w:p>
        </w:tc>
      </w:tr>
      <w:tr w:rsidR="00DB5A36" w14:paraId="12D3359E" w14:textId="08396A64">
        <w:trPr>
          <w:trHeight w:val="268"/>
        </w:trPr>
        <w:tc>
          <w:tcPr>
            <w:tcW w:w="11695" w:type="dxa"/>
            <w:gridSpan w:val="3"/>
            <w:shd w:val="clear" w:color="auto" w:fill="B4C6E7"/>
          </w:tcPr>
          <w:p w14:paraId="45A62B2D" w14:textId="77777777" w:rsidR="00DB5A36" w:rsidRDefault="002A7083">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DB5A36" w:rsidRDefault="00DB5A36">
            <w:pPr>
              <w:rPr>
                <w:rFonts w:ascii="Calibri" w:eastAsia="Calibri" w:hAnsi="Calibri" w:cs="Calibri"/>
                <w:b/>
                <w:sz w:val="20"/>
                <w:szCs w:val="20"/>
              </w:rPr>
            </w:pPr>
          </w:p>
        </w:tc>
      </w:tr>
      <w:tr w:rsidR="00DB5A36" w14:paraId="6CC70222" w14:textId="00172BAA">
        <w:trPr>
          <w:trHeight w:val="276"/>
        </w:trPr>
        <w:tc>
          <w:tcPr>
            <w:tcW w:w="2405" w:type="dxa"/>
            <w:vMerge w:val="restart"/>
            <w:shd w:val="clear" w:color="auto" w:fill="auto"/>
          </w:tcPr>
          <w:p w14:paraId="4BBCA0D3" w14:textId="77777777" w:rsidR="00DB5A36" w:rsidRDefault="002A7083">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shd w:val="clear" w:color="auto" w:fill="auto"/>
          </w:tcPr>
          <w:p w14:paraId="1E72A1DC"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1a</w:t>
            </w:r>
          </w:p>
        </w:tc>
        <w:tc>
          <w:tcPr>
            <w:tcW w:w="8723" w:type="dxa"/>
            <w:shd w:val="clear" w:color="auto" w:fill="auto"/>
          </w:tcPr>
          <w:p w14:paraId="2EB83B48" w14:textId="7AEADA72" w:rsidR="00DB5A36" w:rsidRDefault="002A7083">
            <w:pPr>
              <w:rPr>
                <w:rFonts w:ascii="Calibri" w:eastAsia="Calibri" w:hAnsi="Calibri" w:cs="Calibri"/>
                <w:sz w:val="20"/>
                <w:szCs w:val="20"/>
              </w:rPr>
            </w:pPr>
            <w:r>
              <w:rPr>
                <w:rFonts w:ascii="Calibri" w:eastAsia="Calibri" w:hAnsi="Calibri" w:cs="Calibri"/>
                <w:sz w:val="20"/>
                <w:szCs w:val="20"/>
              </w:rPr>
              <w:t xml:space="preserve">Title stating the </w:t>
            </w:r>
            <w:r>
              <w:rPr>
                <w:rFonts w:ascii="Calibri" w:eastAsia="Calibri" w:hAnsi="Calibri" w:cs="Calibri"/>
                <w:sz w:val="20"/>
                <w:szCs w:val="20"/>
              </w:rPr>
              <w:t>trial design, population, and interventions, with identification as a protocol</w:t>
            </w:r>
          </w:p>
        </w:tc>
        <w:tc>
          <w:tcPr>
            <w:tcW w:w="1260" w:type="dxa"/>
            <w:vAlign w:val="center"/>
          </w:tcPr>
          <w:p w14:paraId="0340FC5E" w14:textId="77777777" w:rsidR="00DB5A36" w:rsidRDefault="002A7083">
            <w:r>
              <w:rPr>
                <w:sz w:val="14"/>
              </w:rPr>
              <w:t>p. 1</w:t>
            </w:r>
          </w:p>
        </w:tc>
      </w:tr>
      <w:tr w:rsidR="00DB5A36" w14:paraId="69C889BF" w14:textId="6583609B">
        <w:trPr>
          <w:trHeight w:val="262"/>
        </w:trPr>
        <w:tc>
          <w:tcPr>
            <w:tcW w:w="2405" w:type="dxa"/>
            <w:vMerge/>
            <w:shd w:val="clear" w:color="auto" w:fill="auto"/>
          </w:tcPr>
          <w:p w14:paraId="29A9CF69"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vAlign w:val="center"/>
          </w:tcPr>
          <w:p w14:paraId="7286A8C3"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1b</w:t>
            </w:r>
          </w:p>
        </w:tc>
        <w:tc>
          <w:tcPr>
            <w:tcW w:w="8723" w:type="dxa"/>
            <w:shd w:val="clear" w:color="auto" w:fill="auto"/>
            <w:vAlign w:val="center"/>
          </w:tcPr>
          <w:p w14:paraId="330534D4" w14:textId="77777777" w:rsidR="00DB5A36" w:rsidRDefault="002A7083">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vAlign w:val="center"/>
          </w:tcPr>
          <w:p w14:paraId="6F1E4AD5" w14:textId="77777777" w:rsidR="00DB5A36" w:rsidRDefault="002A7083">
            <w:r>
              <w:rPr>
                <w:sz w:val="14"/>
              </w:rPr>
              <w:t>pp. 2-3</w:t>
            </w:r>
          </w:p>
        </w:tc>
      </w:tr>
      <w:tr w:rsidR="00DB5A36" w14:paraId="5C5AA670" w14:textId="26044A38">
        <w:trPr>
          <w:trHeight w:val="280"/>
        </w:trPr>
        <w:tc>
          <w:tcPr>
            <w:tcW w:w="2405" w:type="dxa"/>
            <w:shd w:val="clear" w:color="auto" w:fill="auto"/>
          </w:tcPr>
          <w:p w14:paraId="4D595155" w14:textId="77777777" w:rsidR="00DB5A36" w:rsidRDefault="002A7083">
            <w:pPr>
              <w:rPr>
                <w:rFonts w:ascii="Calibri" w:eastAsia="Calibri" w:hAnsi="Calibri" w:cs="Calibri"/>
                <w:sz w:val="20"/>
                <w:szCs w:val="20"/>
              </w:rPr>
            </w:pPr>
            <w:r>
              <w:rPr>
                <w:rFonts w:ascii="Calibri" w:eastAsia="Calibri" w:hAnsi="Calibri" w:cs="Calibri"/>
                <w:sz w:val="20"/>
                <w:szCs w:val="20"/>
              </w:rPr>
              <w:t>Protocol version</w:t>
            </w:r>
          </w:p>
        </w:tc>
        <w:tc>
          <w:tcPr>
            <w:tcW w:w="567" w:type="dxa"/>
            <w:shd w:val="clear" w:color="auto" w:fill="auto"/>
          </w:tcPr>
          <w:p w14:paraId="769207C3" w14:textId="77777777" w:rsidR="00DB5A36" w:rsidRDefault="002A7083">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shd w:val="clear" w:color="auto" w:fill="auto"/>
          </w:tcPr>
          <w:p w14:paraId="5B40B488" w14:textId="78536109" w:rsidR="00DB5A36" w:rsidRDefault="002A7083">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vAlign w:val="center"/>
          </w:tcPr>
          <w:p w14:paraId="7829BF6B" w14:textId="77777777" w:rsidR="00DB5A36" w:rsidRDefault="002A7083">
            <w:r>
              <w:rPr>
                <w:sz w:val="14"/>
              </w:rPr>
              <w:t>p. 31</w:t>
            </w:r>
          </w:p>
        </w:tc>
      </w:tr>
      <w:tr w:rsidR="00DB5A36" w14:paraId="4C5EBD59" w14:textId="4EFA6B0B">
        <w:trPr>
          <w:trHeight w:val="124"/>
        </w:trPr>
        <w:tc>
          <w:tcPr>
            <w:tcW w:w="2405" w:type="dxa"/>
            <w:vMerge w:val="restart"/>
            <w:tcBorders>
              <w:top w:val="single" w:sz="4" w:space="0" w:color="000000"/>
              <w:left w:val="single" w:sz="4" w:space="0" w:color="000000"/>
              <w:right w:val="single" w:sz="4" w:space="0" w:color="000000"/>
            </w:tcBorders>
            <w:shd w:val="clear" w:color="auto" w:fill="auto"/>
          </w:tcPr>
          <w:p w14:paraId="1CAFF925" w14:textId="77777777" w:rsidR="00DB5A36" w:rsidRDefault="002A7083">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DB5A36" w:rsidRDefault="00DB5A36">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E6A34B"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shd w:val="clear" w:color="auto" w:fill="auto"/>
          </w:tcPr>
          <w:p w14:paraId="68136D8E" w14:textId="77777777" w:rsidR="00DB5A36" w:rsidRDefault="002A7083">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vAlign w:val="center"/>
          </w:tcPr>
          <w:p w14:paraId="74A16E52" w14:textId="77777777" w:rsidR="00DB5A36" w:rsidRDefault="002A7083">
            <w:r>
              <w:rPr>
                <w:sz w:val="14"/>
              </w:rPr>
              <w:t>pp. 1, 33-34</w:t>
            </w:r>
          </w:p>
        </w:tc>
      </w:tr>
      <w:tr w:rsidR="00DB5A36" w14:paraId="554D2C13" w14:textId="51776BED">
        <w:trPr>
          <w:trHeight w:val="122"/>
        </w:trPr>
        <w:tc>
          <w:tcPr>
            <w:tcW w:w="2405" w:type="dxa"/>
            <w:vMerge/>
            <w:tcBorders>
              <w:top w:val="single" w:sz="4" w:space="0" w:color="000000"/>
              <w:left w:val="single" w:sz="4" w:space="0" w:color="000000"/>
              <w:right w:val="single" w:sz="4" w:space="0" w:color="000000"/>
            </w:tcBorders>
            <w:shd w:val="clear" w:color="auto" w:fill="auto"/>
          </w:tcPr>
          <w:p w14:paraId="6992D439"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E48731"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shd w:val="clear" w:color="auto" w:fill="auto"/>
          </w:tcPr>
          <w:p w14:paraId="1A233FA4" w14:textId="77777777" w:rsidR="00DB5A36" w:rsidRDefault="002A7083">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vAlign w:val="center"/>
          </w:tcPr>
          <w:p w14:paraId="701222C4" w14:textId="77777777" w:rsidR="00DB5A36" w:rsidRDefault="002A7083">
            <w:r>
              <w:rPr>
                <w:sz w:val="14"/>
              </w:rPr>
              <w:t>Not reported</w:t>
            </w:r>
          </w:p>
        </w:tc>
      </w:tr>
      <w:tr w:rsidR="00DB5A36" w14:paraId="1BF5FD18" w14:textId="223273C1">
        <w:trPr>
          <w:trHeight w:val="122"/>
        </w:trPr>
        <w:tc>
          <w:tcPr>
            <w:tcW w:w="2405" w:type="dxa"/>
            <w:vMerge/>
            <w:tcBorders>
              <w:top w:val="single" w:sz="4" w:space="0" w:color="000000"/>
              <w:left w:val="single" w:sz="4" w:space="0" w:color="000000"/>
              <w:right w:val="single" w:sz="4" w:space="0" w:color="000000"/>
            </w:tcBorders>
            <w:shd w:val="clear" w:color="auto" w:fill="auto"/>
          </w:tcPr>
          <w:p w14:paraId="0CA0C945"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5612EB"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shd w:val="clear" w:color="auto" w:fill="auto"/>
          </w:tcPr>
          <w:p w14:paraId="74207358"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Role of trial sponsor and funders in </w:t>
            </w:r>
            <w:r>
              <w:rPr>
                <w:rFonts w:ascii="Calibri" w:eastAsia="Calibri" w:hAnsi="Calibri" w:cs="Calibri"/>
                <w:sz w:val="20"/>
                <w:szCs w:val="20"/>
              </w:rPr>
              <w:t>design, conduct, analysis, and reporting of trial; including any authority over these activities</w:t>
            </w:r>
          </w:p>
        </w:tc>
        <w:tc>
          <w:tcPr>
            <w:tcW w:w="1260" w:type="dxa"/>
            <w:tcBorders>
              <w:left w:val="single" w:sz="4" w:space="0" w:color="000000"/>
              <w:right w:val="single" w:sz="4" w:space="0" w:color="000000"/>
            </w:tcBorders>
            <w:vAlign w:val="center"/>
          </w:tcPr>
          <w:p w14:paraId="02CCB776" w14:textId="77777777" w:rsidR="00DB5A36" w:rsidRDefault="002A7083">
            <w:r>
              <w:rPr>
                <w:sz w:val="14"/>
              </w:rPr>
              <w:t>Partially reported: p. 33 (funder and book supplier roles reported; trial sponsor role not specified)</w:t>
            </w:r>
          </w:p>
        </w:tc>
      </w:tr>
      <w:tr w:rsidR="00DB5A36" w14:paraId="1850E42E" w14:textId="0F33DFF1">
        <w:trPr>
          <w:trHeight w:val="122"/>
        </w:trPr>
        <w:tc>
          <w:tcPr>
            <w:tcW w:w="2405" w:type="dxa"/>
            <w:vMerge/>
            <w:tcBorders>
              <w:top w:val="single" w:sz="4" w:space="0" w:color="000000"/>
              <w:left w:val="single" w:sz="4" w:space="0" w:color="000000"/>
              <w:right w:val="single" w:sz="4" w:space="0" w:color="000000"/>
            </w:tcBorders>
            <w:shd w:val="clear" w:color="auto" w:fill="auto"/>
          </w:tcPr>
          <w:p w14:paraId="46FB3A97"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038787"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shd w:val="clear" w:color="auto" w:fill="auto"/>
          </w:tcPr>
          <w:p w14:paraId="35730343"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Composition, roles, and </w:t>
            </w:r>
            <w:r>
              <w:rPr>
                <w:rFonts w:ascii="Calibri" w:eastAsia="Calibri" w:hAnsi="Calibri" w:cs="Calibri"/>
                <w:sz w:val="20"/>
                <w:szCs w:val="20"/>
              </w:rPr>
              <w:t>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vAlign w:val="center"/>
          </w:tcPr>
          <w:p w14:paraId="02A6DFE5" w14:textId="77777777" w:rsidR="00DB5A36" w:rsidRDefault="002A7083">
            <w:r>
              <w:rPr>
                <w:sz w:val="14"/>
              </w:rPr>
              <w:t>Partially reported: pp. 33-34 (author roles reported; formal trial oversight, committee, endpoint adjudication, and data-management responsibilities not specified)</w:t>
            </w:r>
          </w:p>
        </w:tc>
      </w:tr>
      <w:tr w:rsidR="00DB5A36" w14:paraId="45BBBD8F" w14:textId="56B427A5">
        <w:trPr>
          <w:trHeight w:val="276"/>
        </w:trPr>
        <w:tc>
          <w:tcPr>
            <w:tcW w:w="11695" w:type="dxa"/>
            <w:gridSpan w:val="3"/>
            <w:shd w:val="clear" w:color="auto" w:fill="B4C6E7"/>
            <w:vAlign w:val="bottom"/>
          </w:tcPr>
          <w:p w14:paraId="724E6D15" w14:textId="77777777" w:rsidR="00DB5A36" w:rsidRDefault="002A7083">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DB5A36" w:rsidRDefault="00DB5A36">
            <w:pPr>
              <w:rPr>
                <w:rFonts w:ascii="Calibri" w:eastAsia="Calibri" w:hAnsi="Calibri" w:cs="Calibri"/>
                <w:b/>
                <w:sz w:val="20"/>
                <w:szCs w:val="20"/>
              </w:rPr>
            </w:pPr>
          </w:p>
        </w:tc>
      </w:tr>
      <w:tr w:rsidR="00DB5A36" w14:paraId="6B6D20B9" w14:textId="3BC0AF39">
        <w:trPr>
          <w:trHeight w:val="440"/>
        </w:trPr>
        <w:tc>
          <w:tcPr>
            <w:tcW w:w="2405" w:type="dxa"/>
            <w:shd w:val="clear" w:color="auto" w:fill="auto"/>
          </w:tcPr>
          <w:p w14:paraId="4E63E566" w14:textId="77777777" w:rsidR="00DB5A36" w:rsidRDefault="002A7083">
            <w:pPr>
              <w:rPr>
                <w:rFonts w:ascii="Calibri" w:eastAsia="Calibri" w:hAnsi="Calibri" w:cs="Calibri"/>
                <w:sz w:val="20"/>
                <w:szCs w:val="20"/>
              </w:rPr>
            </w:pPr>
            <w:r>
              <w:rPr>
                <w:rFonts w:ascii="Calibri" w:eastAsia="Calibri" w:hAnsi="Calibri" w:cs="Calibri"/>
                <w:sz w:val="20"/>
                <w:szCs w:val="20"/>
              </w:rPr>
              <w:t>Trial registration</w:t>
            </w:r>
          </w:p>
        </w:tc>
        <w:tc>
          <w:tcPr>
            <w:tcW w:w="567" w:type="dxa"/>
            <w:shd w:val="clear" w:color="auto" w:fill="auto"/>
          </w:tcPr>
          <w:p w14:paraId="69645AB6"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4</w:t>
            </w:r>
          </w:p>
        </w:tc>
        <w:tc>
          <w:tcPr>
            <w:tcW w:w="8723" w:type="dxa"/>
            <w:shd w:val="clear" w:color="auto" w:fill="auto"/>
          </w:tcPr>
          <w:p w14:paraId="49F8DE18" w14:textId="77777777" w:rsidR="00DB5A36" w:rsidRDefault="002A7083">
            <w:pPr>
              <w:rPr>
                <w:rFonts w:ascii="Calibri" w:eastAsia="Calibri" w:hAnsi="Calibri" w:cs="Calibri"/>
                <w:sz w:val="20"/>
                <w:szCs w:val="20"/>
              </w:rPr>
            </w:pPr>
            <w:r>
              <w:rPr>
                <w:rFonts w:ascii="Calibri" w:eastAsia="Calibri" w:hAnsi="Calibri" w:cs="Calibri"/>
                <w:color w:val="000000"/>
                <w:sz w:val="20"/>
                <w:szCs w:val="20"/>
              </w:rPr>
              <w:t xml:space="preserve">Name of trial registry, identifying number (with URL), and date of registration. If not yet registered, name of </w:t>
            </w:r>
            <w:r>
              <w:rPr>
                <w:rFonts w:ascii="Calibri" w:eastAsia="Calibri" w:hAnsi="Calibri" w:cs="Calibri"/>
                <w:color w:val="000000"/>
                <w:sz w:val="20"/>
                <w:szCs w:val="20"/>
              </w:rPr>
              <w:t>intended registry</w:t>
            </w:r>
          </w:p>
        </w:tc>
        <w:tc>
          <w:tcPr>
            <w:tcW w:w="1260" w:type="dxa"/>
            <w:vAlign w:val="center"/>
          </w:tcPr>
          <w:p w14:paraId="56E8063F" w14:textId="77777777" w:rsidR="00DB5A36" w:rsidRDefault="002A7083">
            <w:r>
              <w:rPr>
                <w:sz w:val="14"/>
              </w:rPr>
              <w:t>p. 3</w:t>
            </w:r>
          </w:p>
        </w:tc>
      </w:tr>
      <w:tr w:rsidR="00DB5A36" w14:paraId="3B69018E" w14:textId="584A696A">
        <w:trPr>
          <w:trHeight w:val="227"/>
        </w:trPr>
        <w:tc>
          <w:tcPr>
            <w:tcW w:w="2405" w:type="dxa"/>
            <w:shd w:val="clear" w:color="auto" w:fill="auto"/>
          </w:tcPr>
          <w:p w14:paraId="548D4986" w14:textId="77777777" w:rsidR="00DB5A36" w:rsidRDefault="002A7083">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shd w:val="clear" w:color="auto" w:fill="auto"/>
          </w:tcPr>
          <w:p w14:paraId="4B4A7E4F"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5</w:t>
            </w:r>
          </w:p>
        </w:tc>
        <w:tc>
          <w:tcPr>
            <w:tcW w:w="8723" w:type="dxa"/>
            <w:shd w:val="clear" w:color="auto" w:fill="auto"/>
          </w:tcPr>
          <w:p w14:paraId="03DC745F" w14:textId="77777777" w:rsidR="00DB5A36" w:rsidRDefault="002A7083">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vAlign w:val="center"/>
          </w:tcPr>
          <w:p w14:paraId="1E447640" w14:textId="77777777" w:rsidR="00DB5A36" w:rsidRDefault="002A7083">
            <w:r>
              <w:rPr>
                <w:sz w:val="14"/>
              </w:rPr>
              <w:t>p. 32</w:t>
            </w:r>
          </w:p>
        </w:tc>
      </w:tr>
      <w:tr w:rsidR="00DB5A36" w14:paraId="3FB976A0" w14:textId="52275C35">
        <w:trPr>
          <w:trHeight w:val="205"/>
        </w:trPr>
        <w:tc>
          <w:tcPr>
            <w:tcW w:w="2405" w:type="dxa"/>
            <w:shd w:val="clear" w:color="auto" w:fill="auto"/>
          </w:tcPr>
          <w:p w14:paraId="466D8265" w14:textId="77777777" w:rsidR="00DB5A36" w:rsidRDefault="002A7083">
            <w:pPr>
              <w:rPr>
                <w:rFonts w:ascii="Calibri" w:eastAsia="Calibri" w:hAnsi="Calibri" w:cs="Calibri"/>
                <w:sz w:val="20"/>
                <w:szCs w:val="20"/>
              </w:rPr>
            </w:pPr>
            <w:r>
              <w:rPr>
                <w:rFonts w:ascii="Calibri" w:eastAsia="Calibri" w:hAnsi="Calibri" w:cs="Calibri"/>
                <w:sz w:val="20"/>
                <w:szCs w:val="20"/>
              </w:rPr>
              <w:t>Data sharing</w:t>
            </w:r>
          </w:p>
        </w:tc>
        <w:tc>
          <w:tcPr>
            <w:tcW w:w="567" w:type="dxa"/>
            <w:shd w:val="clear" w:color="auto" w:fill="auto"/>
          </w:tcPr>
          <w:p w14:paraId="7230466A"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6</w:t>
            </w:r>
          </w:p>
        </w:tc>
        <w:tc>
          <w:tcPr>
            <w:tcW w:w="8723" w:type="dxa"/>
            <w:shd w:val="clear" w:color="auto" w:fill="auto"/>
          </w:tcPr>
          <w:p w14:paraId="410A35A9"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Where and how the individual de-identified participant data (including data </w:t>
            </w:r>
            <w:r>
              <w:rPr>
                <w:rFonts w:ascii="Calibri" w:eastAsia="Calibri" w:hAnsi="Calibri" w:cs="Calibri"/>
                <w:sz w:val="20"/>
                <w:szCs w:val="20"/>
              </w:rPr>
              <w:t>dictionary), statistical code, and any other materials will be accessible</w:t>
            </w:r>
          </w:p>
        </w:tc>
        <w:tc>
          <w:tcPr>
            <w:tcW w:w="1260" w:type="dxa"/>
            <w:vAlign w:val="center"/>
          </w:tcPr>
          <w:p w14:paraId="43793F81" w14:textId="77777777" w:rsidR="00DB5A36" w:rsidRDefault="002A7083">
            <w:r>
              <w:rPr>
                <w:sz w:val="14"/>
              </w:rPr>
              <w:t>pp. 27-28, 32</w:t>
            </w:r>
          </w:p>
        </w:tc>
      </w:tr>
      <w:tr w:rsidR="00DB5A36" w14:paraId="2DEFAB03" w14:textId="3F817820">
        <w:trPr>
          <w:trHeight w:val="405"/>
        </w:trPr>
        <w:tc>
          <w:tcPr>
            <w:tcW w:w="2405" w:type="dxa"/>
            <w:vMerge w:val="restart"/>
            <w:shd w:val="clear" w:color="auto" w:fill="auto"/>
          </w:tcPr>
          <w:p w14:paraId="4908B6FC" w14:textId="77777777" w:rsidR="00DB5A36" w:rsidRDefault="002A7083">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shd w:val="clear" w:color="auto" w:fill="auto"/>
          </w:tcPr>
          <w:p w14:paraId="6E60B9BC" w14:textId="77777777" w:rsidR="00DB5A36" w:rsidRDefault="002A7083">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shd w:val="clear" w:color="auto" w:fill="auto"/>
          </w:tcPr>
          <w:p w14:paraId="0FC2597C"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vAlign w:val="center"/>
          </w:tcPr>
          <w:p w14:paraId="1D8611EE" w14:textId="77777777" w:rsidR="00DB5A36" w:rsidRDefault="002A7083">
            <w:r>
              <w:rPr>
                <w:sz w:val="14"/>
              </w:rPr>
              <w:t>p. 33</w:t>
            </w:r>
          </w:p>
        </w:tc>
      </w:tr>
      <w:tr w:rsidR="00DB5A36" w14:paraId="362C4184" w14:textId="0B83B60A">
        <w:trPr>
          <w:trHeight w:val="405"/>
        </w:trPr>
        <w:tc>
          <w:tcPr>
            <w:tcW w:w="2405" w:type="dxa"/>
            <w:vMerge/>
            <w:shd w:val="clear" w:color="auto" w:fill="auto"/>
          </w:tcPr>
          <w:p w14:paraId="5E805812"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CBF9D67" w14:textId="77777777" w:rsidR="00DB5A36" w:rsidRDefault="002A7083">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shd w:val="clear" w:color="auto" w:fill="auto"/>
          </w:tcPr>
          <w:p w14:paraId="5E0663B7"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Financial and other conflicts of interest for </w:t>
            </w:r>
            <w:r>
              <w:rPr>
                <w:rFonts w:ascii="Calibri" w:eastAsia="Calibri" w:hAnsi="Calibri" w:cs="Calibri"/>
                <w:sz w:val="20"/>
                <w:szCs w:val="20"/>
              </w:rPr>
              <w:t>principal investigators and steering committee members</w:t>
            </w:r>
          </w:p>
        </w:tc>
        <w:tc>
          <w:tcPr>
            <w:tcW w:w="1260" w:type="dxa"/>
            <w:vAlign w:val="center"/>
          </w:tcPr>
          <w:p w14:paraId="3B6A97AD" w14:textId="77777777" w:rsidR="00DB5A36" w:rsidRDefault="002A7083">
            <w:r>
              <w:rPr>
                <w:sz w:val="14"/>
              </w:rPr>
              <w:t>p. 33</w:t>
            </w:r>
          </w:p>
        </w:tc>
      </w:tr>
      <w:tr w:rsidR="00DB5A36" w14:paraId="5773A02E" w14:textId="1F790F7B">
        <w:trPr>
          <w:trHeight w:val="205"/>
        </w:trPr>
        <w:tc>
          <w:tcPr>
            <w:tcW w:w="2405" w:type="dxa"/>
            <w:shd w:val="clear" w:color="auto" w:fill="auto"/>
          </w:tcPr>
          <w:p w14:paraId="5ADA3D38" w14:textId="77777777" w:rsidR="00DB5A36" w:rsidRDefault="002A7083">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DB5A36" w:rsidRDefault="00DB5A36">
            <w:pPr>
              <w:rPr>
                <w:rFonts w:ascii="Calibri" w:eastAsia="Calibri" w:hAnsi="Calibri" w:cs="Calibri"/>
                <w:sz w:val="20"/>
                <w:szCs w:val="20"/>
              </w:rPr>
            </w:pPr>
          </w:p>
        </w:tc>
        <w:tc>
          <w:tcPr>
            <w:tcW w:w="567" w:type="dxa"/>
            <w:shd w:val="clear" w:color="auto" w:fill="auto"/>
          </w:tcPr>
          <w:p w14:paraId="103A098F"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8</w:t>
            </w:r>
          </w:p>
        </w:tc>
        <w:tc>
          <w:tcPr>
            <w:tcW w:w="8723" w:type="dxa"/>
            <w:shd w:val="clear" w:color="auto" w:fill="auto"/>
          </w:tcPr>
          <w:p w14:paraId="1D8D794F" w14:textId="77777777" w:rsidR="00DB5A36" w:rsidRDefault="002A7083">
            <w:pPr>
              <w:rPr>
                <w:rFonts w:ascii="Calibri" w:eastAsia="Calibri" w:hAnsi="Calibri" w:cs="Calibri"/>
                <w:sz w:val="20"/>
                <w:szCs w:val="20"/>
              </w:rPr>
            </w:pPr>
            <w:r>
              <w:rPr>
                <w:rFonts w:ascii="Calibri" w:eastAsia="Calibri" w:hAnsi="Calibri" w:cs="Calibri"/>
                <w:color w:val="000000"/>
                <w:sz w:val="20"/>
                <w:szCs w:val="20"/>
              </w:rPr>
              <w:t xml:space="preserve">Plans to communicate trial results to participants, healthcare professionals, the public, and other relevant groups (e.g., reporting in trial registry, plain </w:t>
            </w:r>
            <w:r>
              <w:rPr>
                <w:rFonts w:ascii="Calibri" w:eastAsia="Calibri" w:hAnsi="Calibri" w:cs="Calibri"/>
                <w:color w:val="000000"/>
                <w:sz w:val="20"/>
                <w:szCs w:val="20"/>
              </w:rPr>
              <w:t>language summary, publication)</w:t>
            </w:r>
          </w:p>
        </w:tc>
        <w:tc>
          <w:tcPr>
            <w:tcW w:w="1260" w:type="dxa"/>
            <w:vAlign w:val="center"/>
          </w:tcPr>
          <w:p w14:paraId="034994E1" w14:textId="77777777" w:rsidR="00DB5A36" w:rsidRDefault="002A7083">
            <w:r>
              <w:rPr>
                <w:sz w:val="14"/>
              </w:rPr>
              <w:t>Partially reported: p. 32 (open availability of protocol/materials and de-identified data stated; participant/public dissemination plan not fully specified)</w:t>
            </w:r>
          </w:p>
        </w:tc>
      </w:tr>
      <w:tr w:rsidR="00DB5A36" w14:paraId="4823D515" w14:textId="5D208576">
        <w:trPr>
          <w:trHeight w:val="276"/>
        </w:trPr>
        <w:tc>
          <w:tcPr>
            <w:tcW w:w="11695" w:type="dxa"/>
            <w:gridSpan w:val="3"/>
            <w:shd w:val="clear" w:color="auto" w:fill="B4C6E7"/>
          </w:tcPr>
          <w:p w14:paraId="09D4EA0E" w14:textId="77777777" w:rsidR="00DB5A36" w:rsidRDefault="002A7083">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DB5A36" w:rsidRDefault="00DB5A36">
            <w:pPr>
              <w:rPr>
                <w:rFonts w:ascii="Calibri" w:eastAsia="Calibri" w:hAnsi="Calibri" w:cs="Calibri"/>
                <w:b/>
                <w:sz w:val="20"/>
                <w:szCs w:val="20"/>
              </w:rPr>
            </w:pPr>
          </w:p>
        </w:tc>
      </w:tr>
      <w:tr w:rsidR="00DB5A36" w14:paraId="4855135D" w14:textId="58DE20CA">
        <w:trPr>
          <w:trHeight w:val="594"/>
        </w:trPr>
        <w:tc>
          <w:tcPr>
            <w:tcW w:w="2405" w:type="dxa"/>
            <w:vMerge w:val="restart"/>
            <w:shd w:val="clear" w:color="auto" w:fill="auto"/>
          </w:tcPr>
          <w:p w14:paraId="21B250BC" w14:textId="77777777" w:rsidR="00DB5A36" w:rsidRDefault="002A7083">
            <w:pPr>
              <w:rPr>
                <w:rFonts w:ascii="Calibri" w:eastAsia="Calibri" w:hAnsi="Calibri" w:cs="Calibri"/>
                <w:sz w:val="20"/>
                <w:szCs w:val="20"/>
              </w:rPr>
            </w:pPr>
            <w:r>
              <w:rPr>
                <w:rFonts w:ascii="Calibri" w:eastAsia="Calibri" w:hAnsi="Calibri" w:cs="Calibri"/>
                <w:sz w:val="20"/>
                <w:szCs w:val="20"/>
              </w:rPr>
              <w:lastRenderedPageBreak/>
              <w:t>Background and rationale</w:t>
            </w:r>
          </w:p>
        </w:tc>
        <w:tc>
          <w:tcPr>
            <w:tcW w:w="567" w:type="dxa"/>
            <w:shd w:val="clear" w:color="auto" w:fill="auto"/>
          </w:tcPr>
          <w:p w14:paraId="50D0086C"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9a</w:t>
            </w:r>
          </w:p>
        </w:tc>
        <w:tc>
          <w:tcPr>
            <w:tcW w:w="8723" w:type="dxa"/>
            <w:shd w:val="clear" w:color="auto" w:fill="auto"/>
          </w:tcPr>
          <w:p w14:paraId="57E0060D"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Scientific </w:t>
            </w:r>
            <w:r>
              <w:rPr>
                <w:rFonts w:ascii="Calibri" w:eastAsia="Calibri" w:hAnsi="Calibri" w:cs="Calibri"/>
                <w:sz w:val="20"/>
                <w:szCs w:val="20"/>
              </w:rPr>
              <w:t>background and rationale, including summary of relevant studies (published and unpublished) examining benefits and harms for each intervention</w:t>
            </w:r>
          </w:p>
        </w:tc>
        <w:tc>
          <w:tcPr>
            <w:tcW w:w="1260" w:type="dxa"/>
            <w:vAlign w:val="center"/>
          </w:tcPr>
          <w:p w14:paraId="38E124BA" w14:textId="77777777" w:rsidR="00DB5A36" w:rsidRDefault="002A7083">
            <w:r>
              <w:rPr>
                <w:sz w:val="14"/>
              </w:rPr>
              <w:t>pp. 4-8, 20-21</w:t>
            </w:r>
          </w:p>
        </w:tc>
      </w:tr>
      <w:tr w:rsidR="00DB5A36" w14:paraId="0A7B5C68" w14:textId="0782BB4D">
        <w:trPr>
          <w:trHeight w:val="276"/>
        </w:trPr>
        <w:tc>
          <w:tcPr>
            <w:tcW w:w="2405" w:type="dxa"/>
            <w:vMerge/>
            <w:shd w:val="clear" w:color="auto" w:fill="auto"/>
          </w:tcPr>
          <w:p w14:paraId="02D4AD2E"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340481BF" w14:textId="77777777" w:rsidR="00DB5A36" w:rsidRDefault="002A7083">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shd w:val="clear" w:color="auto" w:fill="auto"/>
          </w:tcPr>
          <w:p w14:paraId="2BF25388" w14:textId="31BE8BE8" w:rsidR="00DB5A36" w:rsidRDefault="002A7083">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vAlign w:val="center"/>
          </w:tcPr>
          <w:p w14:paraId="304AB4C3" w14:textId="77777777" w:rsidR="00DB5A36" w:rsidRDefault="002A7083">
            <w:r>
              <w:rPr>
                <w:sz w:val="14"/>
              </w:rPr>
              <w:t>pp. 8, 12-13</w:t>
            </w:r>
          </w:p>
        </w:tc>
      </w:tr>
      <w:tr w:rsidR="00DB5A36" w14:paraId="1DF53E5A" w14:textId="7AC7E848">
        <w:trPr>
          <w:trHeight w:val="276"/>
        </w:trPr>
        <w:tc>
          <w:tcPr>
            <w:tcW w:w="2405" w:type="dxa"/>
            <w:shd w:val="clear" w:color="auto" w:fill="auto"/>
          </w:tcPr>
          <w:p w14:paraId="3994A6A6" w14:textId="77777777" w:rsidR="00DB5A36" w:rsidRDefault="002A7083">
            <w:pPr>
              <w:rPr>
                <w:rFonts w:ascii="Calibri" w:eastAsia="Calibri" w:hAnsi="Calibri" w:cs="Calibri"/>
                <w:sz w:val="20"/>
                <w:szCs w:val="20"/>
              </w:rPr>
            </w:pPr>
            <w:r>
              <w:rPr>
                <w:rFonts w:ascii="Calibri" w:eastAsia="Calibri" w:hAnsi="Calibri" w:cs="Calibri"/>
                <w:sz w:val="20"/>
                <w:szCs w:val="20"/>
              </w:rPr>
              <w:t>Objectives</w:t>
            </w:r>
          </w:p>
        </w:tc>
        <w:tc>
          <w:tcPr>
            <w:tcW w:w="567" w:type="dxa"/>
            <w:shd w:val="clear" w:color="auto" w:fill="auto"/>
          </w:tcPr>
          <w:p w14:paraId="16C9EFDF"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10</w:t>
            </w:r>
          </w:p>
        </w:tc>
        <w:tc>
          <w:tcPr>
            <w:tcW w:w="8723" w:type="dxa"/>
            <w:shd w:val="clear" w:color="auto" w:fill="auto"/>
          </w:tcPr>
          <w:p w14:paraId="5C03EF03"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Specific </w:t>
            </w:r>
            <w:r>
              <w:rPr>
                <w:rFonts w:ascii="Calibri" w:eastAsia="Calibri" w:hAnsi="Calibri" w:cs="Calibri"/>
                <w:sz w:val="20"/>
                <w:szCs w:val="20"/>
              </w:rPr>
              <w:t>objectives related to benefits and harms</w:t>
            </w:r>
          </w:p>
        </w:tc>
        <w:tc>
          <w:tcPr>
            <w:tcW w:w="1260" w:type="dxa"/>
            <w:vAlign w:val="center"/>
          </w:tcPr>
          <w:p w14:paraId="3D05685E" w14:textId="77777777" w:rsidR="00DB5A36" w:rsidRDefault="002A7083">
            <w:r>
              <w:rPr>
                <w:sz w:val="14"/>
              </w:rPr>
              <w:t>Partially reported: pp. 9, 20-21 (benefit objectives reported; harms are described but not framed as trial objectives)</w:t>
            </w:r>
          </w:p>
        </w:tc>
      </w:tr>
      <w:tr w:rsidR="00DB5A36" w14:paraId="301B445A" w14:textId="1017C3D3">
        <w:trPr>
          <w:trHeight w:val="276"/>
        </w:trPr>
        <w:tc>
          <w:tcPr>
            <w:tcW w:w="11695" w:type="dxa"/>
            <w:gridSpan w:val="3"/>
            <w:shd w:val="clear" w:color="auto" w:fill="B4C6E7"/>
          </w:tcPr>
          <w:p w14:paraId="6465CAA0" w14:textId="77777777" w:rsidR="00DB5A36" w:rsidRDefault="002A7083">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DB5A36" w:rsidRDefault="00DB5A36">
            <w:pPr>
              <w:rPr>
                <w:rFonts w:ascii="Calibri" w:eastAsia="Calibri" w:hAnsi="Calibri" w:cs="Calibri"/>
                <w:b/>
                <w:sz w:val="20"/>
                <w:szCs w:val="20"/>
              </w:rPr>
            </w:pPr>
          </w:p>
        </w:tc>
      </w:tr>
      <w:tr w:rsidR="00DB5A36" w14:paraId="34434533" w14:textId="39F0BD69">
        <w:trPr>
          <w:trHeight w:val="699"/>
        </w:trPr>
        <w:tc>
          <w:tcPr>
            <w:tcW w:w="2405" w:type="dxa"/>
            <w:shd w:val="clear" w:color="auto" w:fill="auto"/>
          </w:tcPr>
          <w:p w14:paraId="2119FD93"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Patient and public </w:t>
            </w:r>
            <w:r>
              <w:rPr>
                <w:rFonts w:ascii="Calibri" w:eastAsia="Calibri" w:hAnsi="Calibri" w:cs="Calibri"/>
                <w:sz w:val="20"/>
                <w:szCs w:val="20"/>
              </w:rPr>
              <w:t>involvement</w:t>
            </w:r>
          </w:p>
        </w:tc>
        <w:tc>
          <w:tcPr>
            <w:tcW w:w="567" w:type="dxa"/>
            <w:shd w:val="clear" w:color="auto" w:fill="auto"/>
          </w:tcPr>
          <w:p w14:paraId="7D21B1D0"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11</w:t>
            </w:r>
          </w:p>
        </w:tc>
        <w:tc>
          <w:tcPr>
            <w:tcW w:w="8723" w:type="dxa"/>
            <w:shd w:val="clear" w:color="auto" w:fill="auto"/>
          </w:tcPr>
          <w:p w14:paraId="10AF685C" w14:textId="77777777" w:rsidR="00DB5A36" w:rsidRDefault="002A7083">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vAlign w:val="center"/>
          </w:tcPr>
          <w:p w14:paraId="1381BB96" w14:textId="77777777" w:rsidR="00DB5A36" w:rsidRDefault="002A7083">
            <w:r>
              <w:rPr>
                <w:sz w:val="14"/>
              </w:rPr>
              <w:t>Not reported</w:t>
            </w:r>
          </w:p>
        </w:tc>
      </w:tr>
      <w:tr w:rsidR="00DB5A36" w14:paraId="163B75F3" w14:textId="6D34F2C1">
        <w:trPr>
          <w:trHeight w:val="547"/>
        </w:trPr>
        <w:tc>
          <w:tcPr>
            <w:tcW w:w="2405" w:type="dxa"/>
            <w:shd w:val="clear" w:color="auto" w:fill="auto"/>
          </w:tcPr>
          <w:p w14:paraId="13C27CB6" w14:textId="77777777" w:rsidR="00DB5A36" w:rsidRDefault="002A7083">
            <w:pPr>
              <w:rPr>
                <w:rFonts w:ascii="Calibri" w:eastAsia="Calibri" w:hAnsi="Calibri" w:cs="Calibri"/>
                <w:sz w:val="20"/>
                <w:szCs w:val="20"/>
              </w:rPr>
            </w:pPr>
            <w:r>
              <w:rPr>
                <w:rFonts w:ascii="Calibri" w:eastAsia="Calibri" w:hAnsi="Calibri" w:cs="Calibri"/>
                <w:sz w:val="20"/>
                <w:szCs w:val="20"/>
              </w:rPr>
              <w:t>Trial design</w:t>
            </w:r>
          </w:p>
        </w:tc>
        <w:tc>
          <w:tcPr>
            <w:tcW w:w="567" w:type="dxa"/>
            <w:shd w:val="clear" w:color="auto" w:fill="auto"/>
          </w:tcPr>
          <w:p w14:paraId="27371B06"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12</w:t>
            </w:r>
          </w:p>
        </w:tc>
        <w:tc>
          <w:tcPr>
            <w:tcW w:w="8723" w:type="dxa"/>
            <w:shd w:val="clear" w:color="auto" w:fill="auto"/>
          </w:tcPr>
          <w:p w14:paraId="081484E8" w14:textId="77777777" w:rsidR="00DB5A36" w:rsidRDefault="002A7083">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vAlign w:val="center"/>
          </w:tcPr>
          <w:p w14:paraId="7306305F" w14:textId="77777777" w:rsidR="00DB5A36" w:rsidRDefault="002A7083">
            <w:r>
              <w:rPr>
                <w:sz w:val="14"/>
              </w:rPr>
              <w:t>pp. 2, 10</w:t>
            </w:r>
          </w:p>
        </w:tc>
      </w:tr>
      <w:tr w:rsidR="00DB5A36" w14:paraId="6E30A352" w14:textId="12F151B2">
        <w:trPr>
          <w:trHeight w:val="276"/>
        </w:trPr>
        <w:tc>
          <w:tcPr>
            <w:tcW w:w="11695" w:type="dxa"/>
            <w:gridSpan w:val="3"/>
            <w:shd w:val="clear" w:color="auto" w:fill="B4C6E7"/>
          </w:tcPr>
          <w:p w14:paraId="0228B190" w14:textId="77777777" w:rsidR="00DB5A36" w:rsidRDefault="002A7083">
            <w:pPr>
              <w:rPr>
                <w:rFonts w:ascii="Calibri" w:eastAsia="Calibri" w:hAnsi="Calibri" w:cs="Calibri"/>
                <w:b/>
                <w:sz w:val="20"/>
                <w:szCs w:val="20"/>
              </w:rPr>
            </w:pPr>
            <w:r>
              <w:rPr>
                <w:rFonts w:ascii="Calibri" w:eastAsia="Calibri" w:hAnsi="Calibri" w:cs="Calibri"/>
                <w:b/>
                <w:sz w:val="20"/>
                <w:szCs w:val="20"/>
              </w:rPr>
              <w:t>Methods: Participants, interventions, and outcomes</w:t>
            </w:r>
          </w:p>
        </w:tc>
        <w:tc>
          <w:tcPr>
            <w:tcW w:w="1260" w:type="dxa"/>
            <w:shd w:val="clear" w:color="auto" w:fill="B4C6E7"/>
          </w:tcPr>
          <w:p w14:paraId="4ED7E125" w14:textId="77777777" w:rsidR="00DB5A36" w:rsidRDefault="00DB5A36">
            <w:pPr>
              <w:rPr>
                <w:rFonts w:ascii="Calibri" w:eastAsia="Calibri" w:hAnsi="Calibri" w:cs="Calibri"/>
                <w:b/>
                <w:sz w:val="20"/>
                <w:szCs w:val="20"/>
              </w:rPr>
            </w:pPr>
          </w:p>
        </w:tc>
      </w:tr>
      <w:tr w:rsidR="00DB5A36" w14:paraId="42B5A985" w14:textId="4AE52D38">
        <w:trPr>
          <w:trHeight w:val="516"/>
        </w:trPr>
        <w:tc>
          <w:tcPr>
            <w:tcW w:w="2405" w:type="dxa"/>
            <w:shd w:val="clear" w:color="auto" w:fill="auto"/>
          </w:tcPr>
          <w:p w14:paraId="5AF681F7" w14:textId="77777777" w:rsidR="00DB5A36" w:rsidRDefault="002A7083">
            <w:pPr>
              <w:rPr>
                <w:rFonts w:ascii="Calibri" w:eastAsia="Calibri" w:hAnsi="Calibri" w:cs="Calibri"/>
                <w:sz w:val="20"/>
                <w:szCs w:val="20"/>
              </w:rPr>
            </w:pPr>
            <w:r>
              <w:rPr>
                <w:rFonts w:ascii="Calibri" w:eastAsia="Calibri" w:hAnsi="Calibri" w:cs="Calibri"/>
                <w:sz w:val="20"/>
                <w:szCs w:val="20"/>
              </w:rPr>
              <w:t>Trial setting</w:t>
            </w:r>
          </w:p>
        </w:tc>
        <w:tc>
          <w:tcPr>
            <w:tcW w:w="567" w:type="dxa"/>
            <w:shd w:val="clear" w:color="auto" w:fill="auto"/>
          </w:tcPr>
          <w:p w14:paraId="3DE4D758"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13</w:t>
            </w:r>
          </w:p>
        </w:tc>
        <w:tc>
          <w:tcPr>
            <w:tcW w:w="8723" w:type="dxa"/>
            <w:shd w:val="clear" w:color="auto" w:fill="auto"/>
          </w:tcPr>
          <w:p w14:paraId="0F26130E"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vAlign w:val="center"/>
          </w:tcPr>
          <w:p w14:paraId="4F7AA645" w14:textId="77777777" w:rsidR="00DB5A36" w:rsidRDefault="002A7083">
            <w:r>
              <w:rPr>
                <w:sz w:val="14"/>
              </w:rPr>
              <w:t>pp. 10-12</w:t>
            </w:r>
          </w:p>
        </w:tc>
      </w:tr>
      <w:tr w:rsidR="00DB5A36" w14:paraId="73BA1BF6" w14:textId="2DEC0371">
        <w:trPr>
          <w:trHeight w:val="267"/>
        </w:trPr>
        <w:tc>
          <w:tcPr>
            <w:tcW w:w="2405" w:type="dxa"/>
            <w:vMerge w:val="restart"/>
            <w:shd w:val="clear" w:color="auto" w:fill="auto"/>
          </w:tcPr>
          <w:p w14:paraId="4E353E50" w14:textId="77777777" w:rsidR="00DB5A36" w:rsidRDefault="002A7083">
            <w:pPr>
              <w:rPr>
                <w:rFonts w:ascii="Calibri" w:eastAsia="Calibri" w:hAnsi="Calibri" w:cs="Calibri"/>
                <w:sz w:val="20"/>
                <w:szCs w:val="20"/>
              </w:rPr>
            </w:pPr>
            <w:r>
              <w:rPr>
                <w:rFonts w:ascii="Calibri" w:eastAsia="Calibri" w:hAnsi="Calibri" w:cs="Calibri"/>
                <w:sz w:val="20"/>
                <w:szCs w:val="20"/>
              </w:rPr>
              <w:t>Eligibility criteria</w:t>
            </w:r>
          </w:p>
        </w:tc>
        <w:tc>
          <w:tcPr>
            <w:tcW w:w="567" w:type="dxa"/>
            <w:shd w:val="clear" w:color="auto" w:fill="auto"/>
          </w:tcPr>
          <w:p w14:paraId="6BA46B96"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14a</w:t>
            </w:r>
          </w:p>
        </w:tc>
        <w:tc>
          <w:tcPr>
            <w:tcW w:w="8723" w:type="dxa"/>
            <w:shd w:val="clear" w:color="auto" w:fill="auto"/>
          </w:tcPr>
          <w:p w14:paraId="1DC0423F"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vAlign w:val="center"/>
          </w:tcPr>
          <w:p w14:paraId="2F49855A" w14:textId="77777777" w:rsidR="00DB5A36" w:rsidRDefault="002A7083">
            <w:r>
              <w:rPr>
                <w:sz w:val="14"/>
              </w:rPr>
              <w:t>p. 11</w:t>
            </w:r>
          </w:p>
        </w:tc>
      </w:tr>
      <w:tr w:rsidR="00DB5A36" w14:paraId="38106B99" w14:textId="6AEB175A">
        <w:trPr>
          <w:trHeight w:val="276"/>
        </w:trPr>
        <w:tc>
          <w:tcPr>
            <w:tcW w:w="2405" w:type="dxa"/>
            <w:vMerge/>
            <w:shd w:val="clear" w:color="auto" w:fill="auto"/>
          </w:tcPr>
          <w:p w14:paraId="45CFAB98"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AF6D08B" w14:textId="77777777" w:rsidR="00DB5A36" w:rsidRDefault="002A7083">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shd w:val="clear" w:color="auto" w:fill="auto"/>
          </w:tcPr>
          <w:p w14:paraId="79AB34AB"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If applicable, eligibility criteria for sites and for </w:t>
            </w:r>
            <w:r>
              <w:rPr>
                <w:rFonts w:ascii="Calibri" w:eastAsia="Calibri" w:hAnsi="Calibri" w:cs="Calibri"/>
                <w:sz w:val="20"/>
                <w:szCs w:val="20"/>
              </w:rPr>
              <w:t>individuals who will deliver the interventions (e.g., surgeons, physiotherapists)</w:t>
            </w:r>
          </w:p>
        </w:tc>
        <w:tc>
          <w:tcPr>
            <w:tcW w:w="1260" w:type="dxa"/>
            <w:vAlign w:val="center"/>
          </w:tcPr>
          <w:p w14:paraId="328D90D5" w14:textId="77777777" w:rsidR="00DB5A36" w:rsidRDefault="002A7083">
            <w:r>
              <w:rPr>
                <w:sz w:val="14"/>
              </w:rPr>
              <w:t>Partially reported: pp. 11-13 (school recruitment and caregiver delivery described; formal site and intervention-deliverer eligibility criteria not fully specified)</w:t>
            </w:r>
          </w:p>
        </w:tc>
      </w:tr>
      <w:tr w:rsidR="00DB5A36" w14:paraId="7EE46BE4" w14:textId="094B77D5">
        <w:trPr>
          <w:trHeight w:val="207"/>
        </w:trPr>
        <w:tc>
          <w:tcPr>
            <w:tcW w:w="2405" w:type="dxa"/>
            <w:vMerge w:val="restart"/>
            <w:shd w:val="clear" w:color="auto" w:fill="auto"/>
          </w:tcPr>
          <w:p w14:paraId="68FCA093" w14:textId="760A2403" w:rsidR="00DB5A36" w:rsidRDefault="002A7083">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shd w:val="clear" w:color="auto" w:fill="auto"/>
          </w:tcPr>
          <w:p w14:paraId="3EA918FE"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15a</w:t>
            </w:r>
          </w:p>
        </w:tc>
        <w:tc>
          <w:tcPr>
            <w:tcW w:w="8723" w:type="dxa"/>
            <w:shd w:val="clear" w:color="auto" w:fill="auto"/>
          </w:tcPr>
          <w:p w14:paraId="7830B032" w14:textId="7E147408" w:rsidR="00DB5A36" w:rsidRDefault="002A7083">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vAlign w:val="center"/>
          </w:tcPr>
          <w:p w14:paraId="7BFA0BA0" w14:textId="77777777" w:rsidR="00DB5A36" w:rsidRDefault="002A7083">
            <w:r>
              <w:rPr>
                <w:sz w:val="14"/>
              </w:rPr>
              <w:t>pp. 12-13</w:t>
            </w:r>
          </w:p>
        </w:tc>
      </w:tr>
      <w:tr w:rsidR="00DB5A36" w14:paraId="061D8290" w14:textId="65152230">
        <w:trPr>
          <w:trHeight w:val="523"/>
        </w:trPr>
        <w:tc>
          <w:tcPr>
            <w:tcW w:w="2405" w:type="dxa"/>
            <w:vMerge/>
            <w:shd w:val="clear" w:color="auto" w:fill="auto"/>
          </w:tcPr>
          <w:p w14:paraId="1C0C023E"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3BEB41B" w14:textId="77777777" w:rsidR="00DB5A36" w:rsidRDefault="002A7083">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shd w:val="clear" w:color="auto" w:fill="auto"/>
          </w:tcPr>
          <w:p w14:paraId="16103066" w14:textId="71B45B4D" w:rsidR="00DB5A36" w:rsidRDefault="002A7083">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vAlign w:val="center"/>
          </w:tcPr>
          <w:p w14:paraId="429CE792" w14:textId="77777777" w:rsidR="00DB5A36" w:rsidRDefault="002A7083">
            <w:r>
              <w:rPr>
                <w:sz w:val="14"/>
              </w:rPr>
              <w:t>Partially reported: pp. 13, 21, 32 (adaptation, pausing/stopping, and withdrawal described; intervention modification/discontinuation criteria not fully specified)</w:t>
            </w:r>
          </w:p>
        </w:tc>
      </w:tr>
      <w:tr w:rsidR="00DB5A36" w14:paraId="26BBF837" w14:textId="42317544">
        <w:trPr>
          <w:trHeight w:val="416"/>
        </w:trPr>
        <w:tc>
          <w:tcPr>
            <w:tcW w:w="2405" w:type="dxa"/>
            <w:vMerge/>
            <w:shd w:val="clear" w:color="auto" w:fill="auto"/>
          </w:tcPr>
          <w:p w14:paraId="3526890F"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264C783" w14:textId="77777777" w:rsidR="00DB5A36" w:rsidRDefault="002A7083">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shd w:val="clear" w:color="auto" w:fill="auto"/>
          </w:tcPr>
          <w:p w14:paraId="0F46B5DF" w14:textId="2F1F97AE" w:rsidR="00DB5A36" w:rsidRDefault="002A7083">
            <w:pPr>
              <w:rPr>
                <w:rFonts w:ascii="Calibri" w:eastAsia="Calibri" w:hAnsi="Calibri" w:cs="Calibri"/>
                <w:sz w:val="20"/>
                <w:szCs w:val="20"/>
              </w:rPr>
            </w:pPr>
            <w:r>
              <w:rPr>
                <w:rFonts w:ascii="Calibri" w:eastAsia="Calibri" w:hAnsi="Calibri" w:cs="Calibri"/>
                <w:sz w:val="20"/>
                <w:szCs w:val="20"/>
              </w:rPr>
              <w:t xml:space="preserve">Strategies to improve adherence to intervention/comparator protocols, if applicable, and any procedures for monitoring adherence (e.g., drug </w:t>
            </w:r>
            <w:r>
              <w:rPr>
                <w:rFonts w:ascii="Calibri" w:eastAsia="Calibri" w:hAnsi="Calibri" w:cs="Calibri"/>
                <w:sz w:val="20"/>
                <w:szCs w:val="20"/>
              </w:rPr>
              <w:t>tablet return, sessions attended)</w:t>
            </w:r>
          </w:p>
        </w:tc>
        <w:tc>
          <w:tcPr>
            <w:tcW w:w="1260" w:type="dxa"/>
            <w:vAlign w:val="center"/>
          </w:tcPr>
          <w:p w14:paraId="186C9BFE" w14:textId="77777777" w:rsidR="00DB5A36" w:rsidRDefault="002A7083">
            <w:r>
              <w:rPr>
                <w:sz w:val="14"/>
              </w:rPr>
              <w:t>pp. 12-13, 19, 22, 26</w:t>
            </w:r>
          </w:p>
        </w:tc>
      </w:tr>
      <w:tr w:rsidR="00DB5A36" w14:paraId="4816AE84" w14:textId="237D38D4">
        <w:trPr>
          <w:trHeight w:val="211"/>
        </w:trPr>
        <w:tc>
          <w:tcPr>
            <w:tcW w:w="2405" w:type="dxa"/>
            <w:vMerge/>
            <w:shd w:val="clear" w:color="auto" w:fill="auto"/>
          </w:tcPr>
          <w:p w14:paraId="142E2568"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95DCEF0" w14:textId="77777777" w:rsidR="00DB5A36" w:rsidRDefault="002A7083">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shd w:val="clear" w:color="auto" w:fill="auto"/>
          </w:tcPr>
          <w:p w14:paraId="2ED8A3F5" w14:textId="35CFA444" w:rsidR="00DB5A36" w:rsidRDefault="002A7083">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vAlign w:val="center"/>
          </w:tcPr>
          <w:p w14:paraId="19A90B7C" w14:textId="77777777" w:rsidR="00DB5A36" w:rsidRDefault="002A7083">
            <w:r>
              <w:rPr>
                <w:sz w:val="14"/>
              </w:rPr>
              <w:t>pp. 13-14</w:t>
            </w:r>
          </w:p>
        </w:tc>
      </w:tr>
      <w:tr w:rsidR="00DB5A36" w14:paraId="0BF90379" w14:textId="2D97AE3D">
        <w:trPr>
          <w:trHeight w:val="531"/>
        </w:trPr>
        <w:tc>
          <w:tcPr>
            <w:tcW w:w="2405" w:type="dxa"/>
            <w:shd w:val="clear" w:color="auto" w:fill="auto"/>
          </w:tcPr>
          <w:p w14:paraId="2931E6DB" w14:textId="77777777" w:rsidR="00DB5A36" w:rsidRDefault="002A7083">
            <w:pPr>
              <w:rPr>
                <w:rFonts w:ascii="Calibri" w:eastAsia="Calibri" w:hAnsi="Calibri" w:cs="Calibri"/>
                <w:sz w:val="20"/>
                <w:szCs w:val="20"/>
              </w:rPr>
            </w:pPr>
            <w:r>
              <w:rPr>
                <w:rFonts w:ascii="Calibri" w:eastAsia="Calibri" w:hAnsi="Calibri" w:cs="Calibri"/>
                <w:sz w:val="20"/>
                <w:szCs w:val="20"/>
              </w:rPr>
              <w:lastRenderedPageBreak/>
              <w:t>Outcomes</w:t>
            </w:r>
          </w:p>
        </w:tc>
        <w:tc>
          <w:tcPr>
            <w:tcW w:w="567" w:type="dxa"/>
            <w:shd w:val="clear" w:color="auto" w:fill="auto"/>
          </w:tcPr>
          <w:p w14:paraId="7A721E6C"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16</w:t>
            </w:r>
          </w:p>
        </w:tc>
        <w:tc>
          <w:tcPr>
            <w:tcW w:w="8723" w:type="dxa"/>
            <w:shd w:val="clear" w:color="auto" w:fill="auto"/>
          </w:tcPr>
          <w:p w14:paraId="0705FE4A" w14:textId="77777777" w:rsidR="00DB5A36" w:rsidRDefault="002A7083">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vAlign w:val="center"/>
          </w:tcPr>
          <w:p w14:paraId="052A4DF8" w14:textId="77777777" w:rsidR="00DB5A36" w:rsidRDefault="002A7083">
            <w:r>
              <w:rPr>
                <w:sz w:val="14"/>
              </w:rPr>
              <w:t>pp. 14-20, 28-29</w:t>
            </w:r>
          </w:p>
        </w:tc>
      </w:tr>
      <w:tr w:rsidR="00DB5A36" w14:paraId="01B1DA37" w14:textId="4BAE1F50">
        <w:trPr>
          <w:trHeight w:val="531"/>
        </w:trPr>
        <w:tc>
          <w:tcPr>
            <w:tcW w:w="2405" w:type="dxa"/>
            <w:shd w:val="clear" w:color="auto" w:fill="auto"/>
          </w:tcPr>
          <w:p w14:paraId="6B070156" w14:textId="77777777" w:rsidR="00DB5A36" w:rsidRDefault="002A7083">
            <w:pPr>
              <w:rPr>
                <w:rFonts w:ascii="Calibri" w:eastAsia="Calibri" w:hAnsi="Calibri" w:cs="Calibri"/>
                <w:sz w:val="20"/>
                <w:szCs w:val="20"/>
              </w:rPr>
            </w:pPr>
            <w:r>
              <w:rPr>
                <w:rFonts w:ascii="Calibri" w:eastAsia="Calibri" w:hAnsi="Calibri" w:cs="Calibri"/>
                <w:sz w:val="20"/>
                <w:szCs w:val="20"/>
              </w:rPr>
              <w:t>Harms</w:t>
            </w:r>
          </w:p>
        </w:tc>
        <w:tc>
          <w:tcPr>
            <w:tcW w:w="567" w:type="dxa"/>
            <w:shd w:val="clear" w:color="auto" w:fill="auto"/>
          </w:tcPr>
          <w:p w14:paraId="06CB2BEB"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17</w:t>
            </w:r>
          </w:p>
        </w:tc>
        <w:tc>
          <w:tcPr>
            <w:tcW w:w="8723" w:type="dxa"/>
            <w:shd w:val="clear" w:color="auto" w:fill="auto"/>
          </w:tcPr>
          <w:p w14:paraId="3B608A99"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How harms are defined and will be </w:t>
            </w:r>
            <w:r>
              <w:rPr>
                <w:rFonts w:ascii="Calibri" w:eastAsia="Calibri" w:hAnsi="Calibri" w:cs="Calibri"/>
                <w:sz w:val="20"/>
                <w:szCs w:val="20"/>
              </w:rPr>
              <w:t>assessed (e.g., systematically, non-systematically)</w:t>
            </w:r>
          </w:p>
        </w:tc>
        <w:tc>
          <w:tcPr>
            <w:tcW w:w="1260" w:type="dxa"/>
            <w:vAlign w:val="center"/>
          </w:tcPr>
          <w:p w14:paraId="42FDE63B" w14:textId="77777777" w:rsidR="00DB5A36" w:rsidRDefault="002A7083">
            <w:r>
              <w:rPr>
                <w:sz w:val="14"/>
              </w:rPr>
              <w:t>pp. 20-21</w:t>
            </w:r>
          </w:p>
        </w:tc>
      </w:tr>
      <w:tr w:rsidR="00DB5A36" w14:paraId="5CE60442" w14:textId="3FE55E4F">
        <w:trPr>
          <w:trHeight w:val="531"/>
        </w:trPr>
        <w:tc>
          <w:tcPr>
            <w:tcW w:w="2405" w:type="dxa"/>
            <w:shd w:val="clear" w:color="auto" w:fill="auto"/>
          </w:tcPr>
          <w:p w14:paraId="1F0D2029" w14:textId="77777777" w:rsidR="00DB5A36" w:rsidRDefault="002A7083">
            <w:pPr>
              <w:rPr>
                <w:rFonts w:ascii="Calibri" w:eastAsia="Calibri" w:hAnsi="Calibri" w:cs="Calibri"/>
                <w:sz w:val="20"/>
                <w:szCs w:val="20"/>
              </w:rPr>
            </w:pPr>
            <w:r>
              <w:rPr>
                <w:rFonts w:ascii="Calibri" w:eastAsia="Calibri" w:hAnsi="Calibri" w:cs="Calibri"/>
                <w:sz w:val="20"/>
                <w:szCs w:val="20"/>
              </w:rPr>
              <w:t>Participant timeline</w:t>
            </w:r>
          </w:p>
        </w:tc>
        <w:tc>
          <w:tcPr>
            <w:tcW w:w="567" w:type="dxa"/>
            <w:shd w:val="clear" w:color="auto" w:fill="auto"/>
          </w:tcPr>
          <w:p w14:paraId="559796DE"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18</w:t>
            </w:r>
          </w:p>
        </w:tc>
        <w:tc>
          <w:tcPr>
            <w:tcW w:w="8723" w:type="dxa"/>
            <w:shd w:val="clear" w:color="auto" w:fill="auto"/>
          </w:tcPr>
          <w:p w14:paraId="3383A88D" w14:textId="77777777" w:rsidR="00DB5A36" w:rsidRDefault="002A7083">
            <w:pPr>
              <w:rPr>
                <w:rFonts w:ascii="Calibri" w:eastAsia="Calibri" w:hAnsi="Calibri" w:cs="Calibri"/>
                <w:sz w:val="20"/>
                <w:szCs w:val="20"/>
              </w:rPr>
            </w:pPr>
            <w:r>
              <w:rPr>
                <w:rFonts w:ascii="Calibri" w:eastAsia="Calibri" w:hAnsi="Calibri" w:cs="Calibri"/>
                <w:sz w:val="20"/>
                <w:szCs w:val="20"/>
              </w:rPr>
              <w:t>Time schedule of enrolment, interventions (including any run-ins and washouts), assessments, and visits for participants. A schematic diagram is highly recommended (see Figure)</w:t>
            </w:r>
          </w:p>
        </w:tc>
        <w:tc>
          <w:tcPr>
            <w:tcW w:w="1260" w:type="dxa"/>
            <w:vAlign w:val="center"/>
          </w:tcPr>
          <w:p w14:paraId="217635AF" w14:textId="77777777" w:rsidR="00DB5A36" w:rsidRDefault="002A7083">
            <w:r>
              <w:rPr>
                <w:sz w:val="14"/>
              </w:rPr>
              <w:t>pp. 21-23</w:t>
            </w:r>
          </w:p>
        </w:tc>
      </w:tr>
      <w:tr w:rsidR="00DB5A36" w14:paraId="57689489" w14:textId="41D5B0DF">
        <w:trPr>
          <w:trHeight w:val="548"/>
        </w:trPr>
        <w:tc>
          <w:tcPr>
            <w:tcW w:w="2405" w:type="dxa"/>
            <w:shd w:val="clear" w:color="auto" w:fill="auto"/>
          </w:tcPr>
          <w:p w14:paraId="7F3E4C69" w14:textId="77777777" w:rsidR="00DB5A36" w:rsidRDefault="002A7083">
            <w:pPr>
              <w:rPr>
                <w:rFonts w:ascii="Calibri" w:eastAsia="Calibri" w:hAnsi="Calibri" w:cs="Calibri"/>
                <w:sz w:val="20"/>
                <w:szCs w:val="20"/>
              </w:rPr>
            </w:pPr>
            <w:r>
              <w:rPr>
                <w:rFonts w:ascii="Calibri" w:eastAsia="Calibri" w:hAnsi="Calibri" w:cs="Calibri"/>
                <w:sz w:val="20"/>
                <w:szCs w:val="20"/>
              </w:rPr>
              <w:t>Sample size</w:t>
            </w:r>
          </w:p>
        </w:tc>
        <w:tc>
          <w:tcPr>
            <w:tcW w:w="567" w:type="dxa"/>
            <w:shd w:val="clear" w:color="auto" w:fill="auto"/>
          </w:tcPr>
          <w:p w14:paraId="140662B1"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19</w:t>
            </w:r>
          </w:p>
        </w:tc>
        <w:tc>
          <w:tcPr>
            <w:tcW w:w="8723" w:type="dxa"/>
            <w:shd w:val="clear" w:color="auto" w:fill="auto"/>
          </w:tcPr>
          <w:p w14:paraId="5404CE3B"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vAlign w:val="center"/>
          </w:tcPr>
          <w:p w14:paraId="4EF642A8" w14:textId="77777777" w:rsidR="00DB5A36" w:rsidRDefault="002A7083">
            <w:r>
              <w:rPr>
                <w:sz w:val="14"/>
              </w:rPr>
              <w:t>pp. 23-24</w:t>
            </w:r>
          </w:p>
        </w:tc>
      </w:tr>
      <w:tr w:rsidR="00DB5A36" w14:paraId="3C0CD129" w14:textId="1E359093">
        <w:trPr>
          <w:trHeight w:val="272"/>
        </w:trPr>
        <w:tc>
          <w:tcPr>
            <w:tcW w:w="2405" w:type="dxa"/>
            <w:shd w:val="clear" w:color="auto" w:fill="auto"/>
          </w:tcPr>
          <w:p w14:paraId="62172336" w14:textId="77777777" w:rsidR="00DB5A36" w:rsidRDefault="002A7083">
            <w:pPr>
              <w:rPr>
                <w:rFonts w:ascii="Calibri" w:eastAsia="Calibri" w:hAnsi="Calibri" w:cs="Calibri"/>
                <w:sz w:val="20"/>
                <w:szCs w:val="20"/>
              </w:rPr>
            </w:pPr>
            <w:r>
              <w:rPr>
                <w:rFonts w:ascii="Calibri" w:eastAsia="Calibri" w:hAnsi="Calibri" w:cs="Calibri"/>
                <w:sz w:val="20"/>
                <w:szCs w:val="20"/>
              </w:rPr>
              <w:t>Recruitment</w:t>
            </w:r>
          </w:p>
        </w:tc>
        <w:tc>
          <w:tcPr>
            <w:tcW w:w="567" w:type="dxa"/>
            <w:shd w:val="clear" w:color="auto" w:fill="auto"/>
          </w:tcPr>
          <w:p w14:paraId="2CAEA77C"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20</w:t>
            </w:r>
          </w:p>
        </w:tc>
        <w:tc>
          <w:tcPr>
            <w:tcW w:w="8723" w:type="dxa"/>
            <w:shd w:val="clear" w:color="auto" w:fill="auto"/>
          </w:tcPr>
          <w:p w14:paraId="435C03DB" w14:textId="77777777" w:rsidR="00DB5A36" w:rsidRDefault="002A7083">
            <w:pPr>
              <w:rPr>
                <w:rFonts w:ascii="Calibri" w:eastAsia="Calibri" w:hAnsi="Calibri" w:cs="Calibri"/>
                <w:sz w:val="20"/>
                <w:szCs w:val="20"/>
              </w:rPr>
            </w:pPr>
            <w:r>
              <w:rPr>
                <w:rFonts w:ascii="Calibri" w:eastAsia="Calibri" w:hAnsi="Calibri" w:cs="Calibri"/>
                <w:sz w:val="20"/>
                <w:szCs w:val="20"/>
              </w:rPr>
              <w:t>Strategies for achieving adequate participant enrolment to reach target sample size</w:t>
            </w:r>
          </w:p>
        </w:tc>
        <w:tc>
          <w:tcPr>
            <w:tcW w:w="1260" w:type="dxa"/>
            <w:vAlign w:val="center"/>
          </w:tcPr>
          <w:p w14:paraId="5867F6D4" w14:textId="77777777" w:rsidR="00DB5A36" w:rsidRDefault="002A7083">
            <w:r>
              <w:rPr>
                <w:sz w:val="14"/>
              </w:rPr>
              <w:t xml:space="preserve">pp. </w:t>
            </w:r>
            <w:r>
              <w:rPr>
                <w:sz w:val="14"/>
              </w:rPr>
              <w:t>11-12, 24</w:t>
            </w:r>
          </w:p>
        </w:tc>
      </w:tr>
      <w:tr w:rsidR="00DB5A36" w14:paraId="4BA7F96C" w14:textId="54610D68">
        <w:trPr>
          <w:trHeight w:val="276"/>
        </w:trPr>
        <w:tc>
          <w:tcPr>
            <w:tcW w:w="11695" w:type="dxa"/>
            <w:gridSpan w:val="3"/>
            <w:shd w:val="clear" w:color="auto" w:fill="B4C6E7"/>
          </w:tcPr>
          <w:p w14:paraId="52C0DB40" w14:textId="77777777" w:rsidR="00DB5A36" w:rsidRDefault="002A7083">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DB5A36" w:rsidRDefault="00DB5A36">
            <w:pPr>
              <w:rPr>
                <w:rFonts w:ascii="Calibri" w:eastAsia="Calibri" w:hAnsi="Calibri" w:cs="Calibri"/>
                <w:b/>
                <w:sz w:val="20"/>
                <w:szCs w:val="20"/>
              </w:rPr>
            </w:pPr>
          </w:p>
        </w:tc>
      </w:tr>
      <w:tr w:rsidR="00DB5A36" w14:paraId="64FAC2B5" w14:textId="4720E909">
        <w:trPr>
          <w:trHeight w:val="276"/>
        </w:trPr>
        <w:tc>
          <w:tcPr>
            <w:tcW w:w="2405" w:type="dxa"/>
            <w:shd w:val="clear" w:color="auto" w:fill="auto"/>
          </w:tcPr>
          <w:p w14:paraId="06186F8B" w14:textId="79DD8750" w:rsidR="00DB5A36" w:rsidRDefault="002A7083">
            <w:pPr>
              <w:rPr>
                <w:rFonts w:ascii="Calibri" w:eastAsia="Calibri" w:hAnsi="Calibri" w:cs="Calibri"/>
                <w:sz w:val="20"/>
                <w:szCs w:val="20"/>
              </w:rPr>
            </w:pPr>
            <w:r>
              <w:rPr>
                <w:rFonts w:ascii="Calibri" w:eastAsia="Calibri" w:hAnsi="Calibri" w:cs="Calibri"/>
                <w:sz w:val="20"/>
                <w:szCs w:val="20"/>
              </w:rPr>
              <w:t>Randomisation:</w:t>
            </w:r>
          </w:p>
        </w:tc>
        <w:tc>
          <w:tcPr>
            <w:tcW w:w="567" w:type="dxa"/>
            <w:shd w:val="clear" w:color="auto" w:fill="auto"/>
          </w:tcPr>
          <w:p w14:paraId="727BC9A9"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 </w:t>
            </w:r>
          </w:p>
        </w:tc>
        <w:tc>
          <w:tcPr>
            <w:tcW w:w="8723" w:type="dxa"/>
            <w:shd w:val="clear" w:color="auto" w:fill="auto"/>
          </w:tcPr>
          <w:p w14:paraId="11F45202" w14:textId="77777777" w:rsidR="00DB5A36" w:rsidRDefault="002A7083">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DB5A36" w:rsidRDefault="00DB5A36">
            <w:pPr>
              <w:rPr>
                <w:rFonts w:ascii="Calibri" w:eastAsia="Calibri" w:hAnsi="Calibri" w:cs="Calibri"/>
                <w:sz w:val="20"/>
                <w:szCs w:val="20"/>
              </w:rPr>
            </w:pPr>
          </w:p>
        </w:tc>
      </w:tr>
      <w:tr w:rsidR="00DB5A36" w14:paraId="64DFACCC" w14:textId="0895E59A">
        <w:trPr>
          <w:trHeight w:val="274"/>
        </w:trPr>
        <w:tc>
          <w:tcPr>
            <w:tcW w:w="2405" w:type="dxa"/>
            <w:vMerge w:val="restart"/>
            <w:shd w:val="clear" w:color="auto" w:fill="auto"/>
          </w:tcPr>
          <w:p w14:paraId="030C8B80" w14:textId="6787F869" w:rsidR="00DB5A36" w:rsidRDefault="002A7083">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DB5A36" w:rsidRDefault="002A7083">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shd w:val="clear" w:color="auto" w:fill="auto"/>
          </w:tcPr>
          <w:p w14:paraId="0C187A58"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shd w:val="clear" w:color="auto" w:fill="auto"/>
          </w:tcPr>
          <w:p w14:paraId="221A4542"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vAlign w:val="center"/>
          </w:tcPr>
          <w:p w14:paraId="27750E04" w14:textId="77777777" w:rsidR="00DB5A36" w:rsidRDefault="002A7083">
            <w:r>
              <w:rPr>
                <w:sz w:val="14"/>
              </w:rPr>
              <w:t>p. 24</w:t>
            </w:r>
          </w:p>
        </w:tc>
      </w:tr>
      <w:tr w:rsidR="00DB5A36" w14:paraId="20A72CAD" w14:textId="0C593707">
        <w:trPr>
          <w:trHeight w:val="274"/>
        </w:trPr>
        <w:tc>
          <w:tcPr>
            <w:tcW w:w="2405" w:type="dxa"/>
            <w:vMerge/>
            <w:shd w:val="clear" w:color="auto" w:fill="auto"/>
          </w:tcPr>
          <w:p w14:paraId="73F4F44F" w14:textId="77777777" w:rsidR="00DB5A36" w:rsidRDefault="00DB5A36">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shd w:val="clear" w:color="auto" w:fill="auto"/>
          </w:tcPr>
          <w:p w14:paraId="174D719D" w14:textId="77777777" w:rsidR="00DB5A36" w:rsidRDefault="002A7083">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shd w:val="clear" w:color="auto" w:fill="auto"/>
          </w:tcPr>
          <w:p w14:paraId="110C51B4" w14:textId="429CF442" w:rsidR="00DB5A36" w:rsidRDefault="002A7083">
            <w:pPr>
              <w:rPr>
                <w:rFonts w:ascii="Calibri" w:eastAsia="Calibri" w:hAnsi="Calibri" w:cs="Calibri"/>
                <w:sz w:val="20"/>
                <w:szCs w:val="20"/>
              </w:rPr>
            </w:pPr>
            <w:r>
              <w:rPr>
                <w:rFonts w:ascii="Calibri" w:eastAsia="Calibri" w:hAnsi="Calibri" w:cs="Calibri"/>
                <w:sz w:val="20"/>
                <w:szCs w:val="20"/>
              </w:rPr>
              <w:t xml:space="preserve">Type of randomisation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 participants or assign interventions</w:t>
            </w:r>
          </w:p>
        </w:tc>
        <w:tc>
          <w:tcPr>
            <w:tcW w:w="1260" w:type="dxa"/>
            <w:vAlign w:val="center"/>
          </w:tcPr>
          <w:p w14:paraId="50A7719D" w14:textId="77777777" w:rsidR="00DB5A36" w:rsidRDefault="002A7083">
            <w:r>
              <w:rPr>
                <w:sz w:val="14"/>
              </w:rPr>
              <w:t>p. 24</w:t>
            </w:r>
          </w:p>
        </w:tc>
      </w:tr>
      <w:tr w:rsidR="00DB5A36" w14:paraId="7E9BE88E" w14:textId="114D8AD6">
        <w:trPr>
          <w:trHeight w:val="274"/>
        </w:trPr>
        <w:tc>
          <w:tcPr>
            <w:tcW w:w="2405" w:type="dxa"/>
            <w:shd w:val="clear" w:color="auto" w:fill="auto"/>
          </w:tcPr>
          <w:p w14:paraId="017C8605" w14:textId="77777777" w:rsidR="00DB5A36" w:rsidRDefault="002A7083">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DB5A36" w:rsidRDefault="002A7083">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shd w:val="clear" w:color="auto" w:fill="auto"/>
          </w:tcPr>
          <w:p w14:paraId="18CC94BD"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22</w:t>
            </w:r>
          </w:p>
        </w:tc>
        <w:tc>
          <w:tcPr>
            <w:tcW w:w="8723" w:type="dxa"/>
            <w:shd w:val="clear" w:color="auto" w:fill="auto"/>
          </w:tcPr>
          <w:p w14:paraId="7B72CFD4"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vAlign w:val="center"/>
          </w:tcPr>
          <w:p w14:paraId="42BE7CC9" w14:textId="77777777" w:rsidR="00DB5A36" w:rsidRDefault="002A7083">
            <w:r>
              <w:rPr>
                <w:sz w:val="14"/>
              </w:rPr>
              <w:t>pp. 24-25</w:t>
            </w:r>
          </w:p>
        </w:tc>
      </w:tr>
      <w:tr w:rsidR="00DB5A36" w14:paraId="012B4059" w14:textId="6DB2BA79">
        <w:trPr>
          <w:trHeight w:val="148"/>
        </w:trPr>
        <w:tc>
          <w:tcPr>
            <w:tcW w:w="2405" w:type="dxa"/>
            <w:shd w:val="clear" w:color="auto" w:fill="auto"/>
          </w:tcPr>
          <w:p w14:paraId="3E358932" w14:textId="6B4977A4" w:rsidR="00DB5A36" w:rsidRDefault="002A7083">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DB5A36" w:rsidRDefault="00DB5A36">
            <w:pPr>
              <w:ind w:left="64"/>
              <w:rPr>
                <w:rFonts w:ascii="Calibri" w:eastAsia="Calibri" w:hAnsi="Calibri" w:cs="Calibri"/>
                <w:sz w:val="20"/>
                <w:szCs w:val="20"/>
              </w:rPr>
            </w:pPr>
          </w:p>
        </w:tc>
        <w:tc>
          <w:tcPr>
            <w:tcW w:w="567" w:type="dxa"/>
            <w:shd w:val="clear" w:color="auto" w:fill="auto"/>
          </w:tcPr>
          <w:p w14:paraId="0A8F0DF9"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23</w:t>
            </w:r>
          </w:p>
        </w:tc>
        <w:tc>
          <w:tcPr>
            <w:tcW w:w="8723" w:type="dxa"/>
            <w:shd w:val="clear" w:color="auto" w:fill="auto"/>
          </w:tcPr>
          <w:p w14:paraId="2D17B298" w14:textId="1FDE4872" w:rsidR="00DB5A36" w:rsidRDefault="002A7083">
            <w:pPr>
              <w:rPr>
                <w:rFonts w:ascii="Calibri" w:eastAsia="Calibri" w:hAnsi="Calibri" w:cs="Calibri"/>
                <w:sz w:val="20"/>
                <w:szCs w:val="20"/>
              </w:rPr>
            </w:pPr>
            <w:r>
              <w:rPr>
                <w:rFonts w:ascii="Calibri" w:eastAsia="Calibri" w:hAnsi="Calibri" w:cs="Calibri"/>
                <w:sz w:val="20"/>
                <w:szCs w:val="20"/>
              </w:rPr>
              <w:t>Whether the personnel who will enrol and those who will assign participants to the interventions will have access to the random allocation sequence</w:t>
            </w:r>
          </w:p>
        </w:tc>
        <w:tc>
          <w:tcPr>
            <w:tcW w:w="1260" w:type="dxa"/>
            <w:vAlign w:val="center"/>
          </w:tcPr>
          <w:p w14:paraId="20C60250" w14:textId="77777777" w:rsidR="00DB5A36" w:rsidRDefault="002A7083">
            <w:r>
              <w:rPr>
                <w:sz w:val="14"/>
              </w:rPr>
              <w:t>pp. 24-25</w:t>
            </w:r>
          </w:p>
        </w:tc>
      </w:tr>
      <w:tr w:rsidR="00DB5A36" w14:paraId="75FDC96E" w14:textId="6EF1DC31">
        <w:trPr>
          <w:trHeight w:val="300"/>
        </w:trPr>
        <w:tc>
          <w:tcPr>
            <w:tcW w:w="2405" w:type="dxa"/>
            <w:vMerge w:val="restart"/>
            <w:shd w:val="clear" w:color="auto" w:fill="auto"/>
          </w:tcPr>
          <w:p w14:paraId="7350429D" w14:textId="5E22843A" w:rsidR="00DB5A36" w:rsidRDefault="002A7083">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DB5A36" w:rsidRDefault="00DB5A36">
            <w:pPr>
              <w:rPr>
                <w:rFonts w:ascii="Calibri" w:eastAsia="Calibri" w:hAnsi="Calibri" w:cs="Calibri"/>
                <w:sz w:val="20"/>
                <w:szCs w:val="20"/>
              </w:rPr>
            </w:pPr>
          </w:p>
        </w:tc>
        <w:tc>
          <w:tcPr>
            <w:tcW w:w="567" w:type="dxa"/>
            <w:shd w:val="clear" w:color="auto" w:fill="auto"/>
          </w:tcPr>
          <w:p w14:paraId="6865A96F"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24a</w:t>
            </w:r>
          </w:p>
        </w:tc>
        <w:tc>
          <w:tcPr>
            <w:tcW w:w="8723" w:type="dxa"/>
            <w:shd w:val="clear" w:color="auto" w:fill="auto"/>
          </w:tcPr>
          <w:p w14:paraId="1F21FD44"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Who will be blinded after assignment to </w:t>
            </w:r>
            <w:r>
              <w:rPr>
                <w:rFonts w:ascii="Calibri" w:eastAsia="Calibri" w:hAnsi="Calibri" w:cs="Calibri"/>
                <w:sz w:val="20"/>
                <w:szCs w:val="20"/>
              </w:rPr>
              <w:t>interventions (e.g., participants, care providers, outcome assessors, data analysts)</w:t>
            </w:r>
          </w:p>
        </w:tc>
        <w:tc>
          <w:tcPr>
            <w:tcW w:w="1260" w:type="dxa"/>
            <w:vAlign w:val="center"/>
          </w:tcPr>
          <w:p w14:paraId="675381FD" w14:textId="77777777" w:rsidR="00DB5A36" w:rsidRDefault="002A7083">
            <w:r>
              <w:rPr>
                <w:sz w:val="14"/>
              </w:rPr>
              <w:t>p. 25</w:t>
            </w:r>
          </w:p>
        </w:tc>
      </w:tr>
      <w:tr w:rsidR="00DB5A36" w14:paraId="536C42CD" w14:textId="42B94FCE">
        <w:trPr>
          <w:trHeight w:val="300"/>
        </w:trPr>
        <w:tc>
          <w:tcPr>
            <w:tcW w:w="2405" w:type="dxa"/>
            <w:vMerge/>
            <w:shd w:val="clear" w:color="auto" w:fill="auto"/>
          </w:tcPr>
          <w:p w14:paraId="242575DA"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C26ED75"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24b</w:t>
            </w:r>
          </w:p>
        </w:tc>
        <w:tc>
          <w:tcPr>
            <w:tcW w:w="8723" w:type="dxa"/>
            <w:shd w:val="clear" w:color="auto" w:fill="auto"/>
          </w:tcPr>
          <w:p w14:paraId="0C70835D" w14:textId="77777777" w:rsidR="00DB5A36" w:rsidRDefault="002A7083">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vAlign w:val="center"/>
          </w:tcPr>
          <w:p w14:paraId="09AEB954" w14:textId="77777777" w:rsidR="00DB5A36" w:rsidRDefault="002A7083">
            <w:r>
              <w:rPr>
                <w:sz w:val="14"/>
              </w:rPr>
              <w:t>pp. 12-13, 25</w:t>
            </w:r>
          </w:p>
        </w:tc>
      </w:tr>
      <w:tr w:rsidR="00DB5A36" w14:paraId="6CA39C55" w14:textId="1A1F498D">
        <w:trPr>
          <w:trHeight w:val="463"/>
        </w:trPr>
        <w:tc>
          <w:tcPr>
            <w:tcW w:w="2405" w:type="dxa"/>
            <w:vMerge/>
            <w:shd w:val="clear" w:color="auto" w:fill="auto"/>
          </w:tcPr>
          <w:p w14:paraId="7B4B9F44"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F29EA04" w14:textId="77777777" w:rsidR="00DB5A36" w:rsidRDefault="002A7083">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shd w:val="clear" w:color="auto" w:fill="auto"/>
          </w:tcPr>
          <w:p w14:paraId="26036E1A"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If blinded, circumstances under which </w:t>
            </w:r>
            <w:r>
              <w:rPr>
                <w:rFonts w:ascii="Calibri" w:eastAsia="Calibri" w:hAnsi="Calibri" w:cs="Calibri"/>
                <w:sz w:val="20"/>
                <w:szCs w:val="20"/>
              </w:rPr>
              <w:t>unblinding is permissible, and procedure for revealing a participant’s allocated intervention during the trial</w:t>
            </w:r>
          </w:p>
        </w:tc>
        <w:tc>
          <w:tcPr>
            <w:tcW w:w="1260" w:type="dxa"/>
            <w:vAlign w:val="center"/>
          </w:tcPr>
          <w:p w14:paraId="0F088D02" w14:textId="77777777" w:rsidR="00DB5A36" w:rsidRDefault="002A7083">
            <w:r>
              <w:rPr>
                <w:sz w:val="14"/>
              </w:rPr>
              <w:t>Partially reported: p. 25 (analysis-stage group-code reveal stated; in-trial unblinding circumstances/procedure not specified)</w:t>
            </w:r>
          </w:p>
        </w:tc>
      </w:tr>
      <w:tr w:rsidR="00DB5A36" w14:paraId="3C140AAD" w14:textId="0E3F5B20">
        <w:trPr>
          <w:trHeight w:val="276"/>
        </w:trPr>
        <w:tc>
          <w:tcPr>
            <w:tcW w:w="11695" w:type="dxa"/>
            <w:gridSpan w:val="3"/>
            <w:shd w:val="clear" w:color="auto" w:fill="B4C6E7"/>
          </w:tcPr>
          <w:p w14:paraId="5BB14E41" w14:textId="77777777" w:rsidR="00DB5A36" w:rsidRDefault="002A7083">
            <w:pPr>
              <w:rPr>
                <w:rFonts w:ascii="Calibri" w:eastAsia="Calibri" w:hAnsi="Calibri" w:cs="Calibri"/>
                <w:b/>
                <w:sz w:val="20"/>
                <w:szCs w:val="20"/>
              </w:rPr>
            </w:pPr>
            <w:r>
              <w:rPr>
                <w:rFonts w:ascii="Calibri" w:eastAsia="Calibri" w:hAnsi="Calibri" w:cs="Calibri"/>
                <w:b/>
                <w:sz w:val="20"/>
                <w:szCs w:val="20"/>
              </w:rPr>
              <w:t xml:space="preserve">Methods: Data </w:t>
            </w:r>
            <w:r>
              <w:rPr>
                <w:rFonts w:ascii="Calibri" w:eastAsia="Calibri" w:hAnsi="Calibri" w:cs="Calibri"/>
                <w:b/>
                <w:sz w:val="20"/>
                <w:szCs w:val="20"/>
              </w:rPr>
              <w:t>collection, management, and analysis</w:t>
            </w:r>
          </w:p>
        </w:tc>
        <w:tc>
          <w:tcPr>
            <w:tcW w:w="1260" w:type="dxa"/>
            <w:shd w:val="clear" w:color="auto" w:fill="B4C6E7"/>
          </w:tcPr>
          <w:p w14:paraId="2F97949F" w14:textId="77777777" w:rsidR="00DB5A36" w:rsidRDefault="00DB5A36">
            <w:pPr>
              <w:rPr>
                <w:rFonts w:ascii="Calibri" w:eastAsia="Calibri" w:hAnsi="Calibri" w:cs="Calibri"/>
                <w:b/>
                <w:sz w:val="20"/>
                <w:szCs w:val="20"/>
              </w:rPr>
            </w:pPr>
          </w:p>
        </w:tc>
      </w:tr>
      <w:tr w:rsidR="00DB5A36" w14:paraId="12AAF050" w14:textId="652D61DD">
        <w:trPr>
          <w:trHeight w:val="762"/>
        </w:trPr>
        <w:tc>
          <w:tcPr>
            <w:tcW w:w="2405" w:type="dxa"/>
            <w:vMerge w:val="restart"/>
            <w:shd w:val="clear" w:color="auto" w:fill="auto"/>
          </w:tcPr>
          <w:p w14:paraId="67EA5A60" w14:textId="77777777" w:rsidR="00DB5A36" w:rsidRDefault="002A7083">
            <w:pPr>
              <w:rPr>
                <w:rFonts w:ascii="Calibri" w:eastAsia="Calibri" w:hAnsi="Calibri" w:cs="Calibri"/>
                <w:sz w:val="20"/>
                <w:szCs w:val="20"/>
              </w:rPr>
            </w:pPr>
            <w:r>
              <w:rPr>
                <w:rFonts w:ascii="Calibri" w:eastAsia="Calibri" w:hAnsi="Calibri" w:cs="Calibri"/>
                <w:sz w:val="20"/>
                <w:szCs w:val="20"/>
              </w:rPr>
              <w:t>Data collection methods</w:t>
            </w:r>
          </w:p>
        </w:tc>
        <w:tc>
          <w:tcPr>
            <w:tcW w:w="567" w:type="dxa"/>
            <w:shd w:val="clear" w:color="auto" w:fill="auto"/>
          </w:tcPr>
          <w:p w14:paraId="2499F250"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25a</w:t>
            </w:r>
          </w:p>
        </w:tc>
        <w:tc>
          <w:tcPr>
            <w:tcW w:w="8723" w:type="dxa"/>
            <w:shd w:val="clear" w:color="auto" w:fill="auto"/>
          </w:tcPr>
          <w:p w14:paraId="40F1ADF2"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Plans for assessment and collection of trial data, including any related processes to promote data quality (e.g., duplicate measurements, training of assessors) and a description of </w:t>
            </w:r>
            <w:r>
              <w:rPr>
                <w:rFonts w:ascii="Calibri" w:eastAsia="Calibri" w:hAnsi="Calibri" w:cs="Calibri"/>
                <w:sz w:val="20"/>
                <w:szCs w:val="20"/>
              </w:rPr>
              <w:t>trial instruments (e.g., questionnaires, laboratory tests) along with their reliability and validity, if known. Reference to where data collection forms can be accessed, if not in the protocol</w:t>
            </w:r>
          </w:p>
        </w:tc>
        <w:tc>
          <w:tcPr>
            <w:tcW w:w="1260" w:type="dxa"/>
            <w:vAlign w:val="center"/>
          </w:tcPr>
          <w:p w14:paraId="56162FC3" w14:textId="77777777" w:rsidR="00DB5A36" w:rsidRDefault="002A7083">
            <w:r>
              <w:rPr>
                <w:sz w:val="14"/>
              </w:rPr>
              <w:t>pp. 14-20, 26</w:t>
            </w:r>
          </w:p>
        </w:tc>
      </w:tr>
      <w:tr w:rsidR="00DB5A36" w14:paraId="3DC70F88" w14:textId="218493C0">
        <w:trPr>
          <w:trHeight w:val="416"/>
        </w:trPr>
        <w:tc>
          <w:tcPr>
            <w:tcW w:w="2405" w:type="dxa"/>
            <w:vMerge/>
            <w:shd w:val="clear" w:color="auto" w:fill="auto"/>
          </w:tcPr>
          <w:p w14:paraId="42D1E6E8"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99434D1"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25b</w:t>
            </w:r>
          </w:p>
        </w:tc>
        <w:tc>
          <w:tcPr>
            <w:tcW w:w="8723" w:type="dxa"/>
            <w:shd w:val="clear" w:color="auto" w:fill="auto"/>
          </w:tcPr>
          <w:p w14:paraId="15BAE3EF" w14:textId="77777777" w:rsidR="00DB5A36" w:rsidRDefault="002A7083">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vAlign w:val="center"/>
          </w:tcPr>
          <w:p w14:paraId="2C3321DC" w14:textId="77777777" w:rsidR="00DB5A36" w:rsidRDefault="002A7083">
            <w:r>
              <w:rPr>
                <w:sz w:val="14"/>
              </w:rPr>
              <w:t xml:space="preserve">Partially reported: pp. 21-22, 24 (follow-up schedule and over-recruitment </w:t>
            </w:r>
            <w:r>
              <w:rPr>
                <w:sz w:val="14"/>
              </w:rPr>
              <w:lastRenderedPageBreak/>
              <w:t>described; retention procedures and data collection after discontinuation/deviation not fully specified)</w:t>
            </w:r>
          </w:p>
        </w:tc>
      </w:tr>
      <w:tr w:rsidR="00DB5A36" w14:paraId="64A69930" w14:textId="037257F0">
        <w:trPr>
          <w:trHeight w:val="447"/>
        </w:trPr>
        <w:tc>
          <w:tcPr>
            <w:tcW w:w="2405" w:type="dxa"/>
            <w:shd w:val="clear" w:color="auto" w:fill="auto"/>
          </w:tcPr>
          <w:p w14:paraId="18ABA7BB" w14:textId="77777777" w:rsidR="00DB5A36" w:rsidRDefault="002A7083">
            <w:pPr>
              <w:rPr>
                <w:rFonts w:ascii="Calibri" w:eastAsia="Calibri" w:hAnsi="Calibri" w:cs="Calibri"/>
                <w:sz w:val="20"/>
                <w:szCs w:val="20"/>
              </w:rPr>
            </w:pPr>
            <w:r>
              <w:rPr>
                <w:rFonts w:ascii="Calibri" w:eastAsia="Calibri" w:hAnsi="Calibri" w:cs="Calibri"/>
                <w:sz w:val="20"/>
                <w:szCs w:val="20"/>
              </w:rPr>
              <w:lastRenderedPageBreak/>
              <w:t>Data management</w:t>
            </w:r>
          </w:p>
        </w:tc>
        <w:tc>
          <w:tcPr>
            <w:tcW w:w="567" w:type="dxa"/>
            <w:shd w:val="clear" w:color="auto" w:fill="auto"/>
          </w:tcPr>
          <w:p w14:paraId="0C4E63D0"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26</w:t>
            </w:r>
          </w:p>
        </w:tc>
        <w:tc>
          <w:tcPr>
            <w:tcW w:w="8723" w:type="dxa"/>
            <w:shd w:val="clear" w:color="auto" w:fill="auto"/>
          </w:tcPr>
          <w:p w14:paraId="3657E2DA"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Plans for data entry, coding, security, and storage, including any related processes to promote data quality (e.g., double data entry; range checks for data </w:t>
            </w:r>
            <w:r>
              <w:rPr>
                <w:rFonts w:ascii="Calibri" w:eastAsia="Calibri" w:hAnsi="Calibri" w:cs="Calibri"/>
                <w:sz w:val="20"/>
                <w:szCs w:val="20"/>
              </w:rPr>
              <w:t>values). Reference to where details of data management procedures can be accessed, if not in the protocol</w:t>
            </w:r>
          </w:p>
        </w:tc>
        <w:tc>
          <w:tcPr>
            <w:tcW w:w="1260" w:type="dxa"/>
            <w:vAlign w:val="center"/>
          </w:tcPr>
          <w:p w14:paraId="40A6BC7B" w14:textId="77777777" w:rsidR="00DB5A36" w:rsidRDefault="002A7083">
            <w:r>
              <w:rPr>
                <w:sz w:val="14"/>
              </w:rPr>
              <w:t>pp. 27-28, 32</w:t>
            </w:r>
          </w:p>
        </w:tc>
      </w:tr>
      <w:tr w:rsidR="00DB5A36" w14:paraId="0EF72544" w14:textId="3F8F7FB8">
        <w:trPr>
          <w:trHeight w:val="347"/>
        </w:trPr>
        <w:tc>
          <w:tcPr>
            <w:tcW w:w="2405" w:type="dxa"/>
            <w:vMerge w:val="restart"/>
            <w:shd w:val="clear" w:color="auto" w:fill="auto"/>
          </w:tcPr>
          <w:p w14:paraId="664FB807" w14:textId="77777777" w:rsidR="00DB5A36" w:rsidRDefault="002A7083">
            <w:pPr>
              <w:rPr>
                <w:rFonts w:ascii="Calibri" w:eastAsia="Calibri" w:hAnsi="Calibri" w:cs="Calibri"/>
                <w:sz w:val="20"/>
                <w:szCs w:val="20"/>
              </w:rPr>
            </w:pPr>
            <w:r>
              <w:rPr>
                <w:rFonts w:ascii="Calibri" w:eastAsia="Calibri" w:hAnsi="Calibri" w:cs="Calibri"/>
                <w:sz w:val="20"/>
                <w:szCs w:val="20"/>
              </w:rPr>
              <w:t>Statistical methods</w:t>
            </w:r>
          </w:p>
        </w:tc>
        <w:tc>
          <w:tcPr>
            <w:tcW w:w="567" w:type="dxa"/>
            <w:shd w:val="clear" w:color="auto" w:fill="auto"/>
          </w:tcPr>
          <w:p w14:paraId="1B53CC79"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27a</w:t>
            </w:r>
          </w:p>
        </w:tc>
        <w:tc>
          <w:tcPr>
            <w:tcW w:w="8723" w:type="dxa"/>
            <w:shd w:val="clear" w:color="auto" w:fill="auto"/>
          </w:tcPr>
          <w:p w14:paraId="78D7EEF5"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vAlign w:val="center"/>
          </w:tcPr>
          <w:p w14:paraId="57998011" w14:textId="77777777" w:rsidR="00DB5A36" w:rsidRDefault="002A7083">
            <w:r>
              <w:rPr>
                <w:sz w:val="14"/>
              </w:rPr>
              <w:t>Partially reported: pp. 28-29 (methods for primary and secondary outcomes reported; harms analysis not separately specified)</w:t>
            </w:r>
          </w:p>
        </w:tc>
      </w:tr>
      <w:tr w:rsidR="00DB5A36" w14:paraId="4923AD0E" w14:textId="131AF4F0">
        <w:trPr>
          <w:trHeight w:val="424"/>
        </w:trPr>
        <w:tc>
          <w:tcPr>
            <w:tcW w:w="2405" w:type="dxa"/>
            <w:vMerge/>
            <w:shd w:val="clear" w:color="auto" w:fill="auto"/>
          </w:tcPr>
          <w:p w14:paraId="3A5D69B6"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CAD33F3"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27b</w:t>
            </w:r>
          </w:p>
        </w:tc>
        <w:tc>
          <w:tcPr>
            <w:tcW w:w="8723" w:type="dxa"/>
            <w:shd w:val="clear" w:color="auto" w:fill="auto"/>
          </w:tcPr>
          <w:p w14:paraId="0BAEBA09" w14:textId="1A536CE8" w:rsidR="00DB5A36" w:rsidRDefault="002A7083">
            <w:pPr>
              <w:rPr>
                <w:rFonts w:ascii="Calibri" w:eastAsia="Calibri" w:hAnsi="Calibri" w:cs="Calibri"/>
                <w:sz w:val="20"/>
                <w:szCs w:val="20"/>
              </w:rPr>
            </w:pPr>
            <w:r>
              <w:rPr>
                <w:rFonts w:ascii="Calibri" w:eastAsia="Calibri" w:hAnsi="Calibri" w:cs="Calibri"/>
                <w:color w:val="000000"/>
                <w:sz w:val="20"/>
                <w:szCs w:val="20"/>
              </w:rPr>
              <w:t xml:space="preserve">Definition of who will be </w:t>
            </w:r>
            <w:r>
              <w:rPr>
                <w:rFonts w:ascii="Calibri" w:eastAsia="Calibri" w:hAnsi="Calibri" w:cs="Calibri"/>
                <w:color w:val="000000"/>
                <w:sz w:val="20"/>
                <w:szCs w:val="20"/>
              </w:rPr>
              <w:t>included in each analysis (e.g., all randomised participants), and in which group</w:t>
            </w:r>
          </w:p>
        </w:tc>
        <w:tc>
          <w:tcPr>
            <w:tcW w:w="1260" w:type="dxa"/>
            <w:vAlign w:val="center"/>
          </w:tcPr>
          <w:p w14:paraId="36D2EDA9" w14:textId="77777777" w:rsidR="00DB5A36" w:rsidRDefault="002A7083">
            <w:r>
              <w:rPr>
                <w:sz w:val="14"/>
              </w:rPr>
              <w:t>pp. 24, 28</w:t>
            </w:r>
          </w:p>
        </w:tc>
      </w:tr>
      <w:tr w:rsidR="00DB5A36" w14:paraId="3CA8711C" w14:textId="28D9105C">
        <w:trPr>
          <w:trHeight w:val="306"/>
        </w:trPr>
        <w:tc>
          <w:tcPr>
            <w:tcW w:w="2405" w:type="dxa"/>
            <w:vMerge/>
            <w:shd w:val="clear" w:color="auto" w:fill="auto"/>
          </w:tcPr>
          <w:p w14:paraId="78B2DE5B"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10934F6"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27c</w:t>
            </w:r>
          </w:p>
        </w:tc>
        <w:tc>
          <w:tcPr>
            <w:tcW w:w="8723" w:type="dxa"/>
            <w:shd w:val="clear" w:color="auto" w:fill="auto"/>
          </w:tcPr>
          <w:p w14:paraId="5941640F" w14:textId="77777777" w:rsidR="00DB5A36" w:rsidRDefault="002A7083">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vAlign w:val="center"/>
          </w:tcPr>
          <w:p w14:paraId="54F42BEF" w14:textId="77777777" w:rsidR="00DB5A36" w:rsidRDefault="002A7083">
            <w:r>
              <w:rPr>
                <w:sz w:val="14"/>
              </w:rPr>
              <w:t>p. 29</w:t>
            </w:r>
          </w:p>
        </w:tc>
      </w:tr>
      <w:tr w:rsidR="00DB5A36" w14:paraId="72B524F3" w14:textId="2A19EFB0">
        <w:trPr>
          <w:trHeight w:val="306"/>
        </w:trPr>
        <w:tc>
          <w:tcPr>
            <w:tcW w:w="2405" w:type="dxa"/>
            <w:vMerge/>
            <w:shd w:val="clear" w:color="auto" w:fill="auto"/>
          </w:tcPr>
          <w:p w14:paraId="2508266D"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4B6E29D" w14:textId="77777777" w:rsidR="00DB5A36" w:rsidRDefault="002A7083">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shd w:val="clear" w:color="auto" w:fill="auto"/>
          </w:tcPr>
          <w:p w14:paraId="372071A9" w14:textId="77777777" w:rsidR="00DB5A36" w:rsidRDefault="002A7083">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vAlign w:val="center"/>
          </w:tcPr>
          <w:p w14:paraId="36464ADD" w14:textId="77777777" w:rsidR="00DB5A36" w:rsidRDefault="002A7083">
            <w:r>
              <w:rPr>
                <w:sz w:val="14"/>
              </w:rPr>
              <w:t>pp. 28-29</w:t>
            </w:r>
          </w:p>
        </w:tc>
      </w:tr>
      <w:tr w:rsidR="00DB5A36" w14:paraId="7AC4192E" w14:textId="4CE7200A">
        <w:trPr>
          <w:trHeight w:val="276"/>
        </w:trPr>
        <w:tc>
          <w:tcPr>
            <w:tcW w:w="11695" w:type="dxa"/>
            <w:gridSpan w:val="3"/>
            <w:shd w:val="clear" w:color="auto" w:fill="B4C6E7"/>
          </w:tcPr>
          <w:p w14:paraId="2A578633" w14:textId="77777777" w:rsidR="00DB5A36" w:rsidRDefault="002A7083">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DB5A36" w:rsidRDefault="00DB5A36">
            <w:pPr>
              <w:rPr>
                <w:rFonts w:ascii="Calibri" w:eastAsia="Calibri" w:hAnsi="Calibri" w:cs="Calibri"/>
                <w:b/>
                <w:sz w:val="20"/>
                <w:szCs w:val="20"/>
              </w:rPr>
            </w:pPr>
          </w:p>
        </w:tc>
      </w:tr>
      <w:tr w:rsidR="00DB5A36" w14:paraId="0ECBCEC3" w14:textId="72814133">
        <w:trPr>
          <w:trHeight w:val="722"/>
        </w:trPr>
        <w:tc>
          <w:tcPr>
            <w:tcW w:w="2405" w:type="dxa"/>
            <w:vMerge w:val="restart"/>
            <w:shd w:val="clear" w:color="auto" w:fill="auto"/>
          </w:tcPr>
          <w:p w14:paraId="500704ED" w14:textId="77777777" w:rsidR="00DB5A36" w:rsidRDefault="002A7083">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shd w:val="clear" w:color="auto" w:fill="auto"/>
          </w:tcPr>
          <w:p w14:paraId="3854E4D2"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28a</w:t>
            </w:r>
          </w:p>
        </w:tc>
        <w:tc>
          <w:tcPr>
            <w:tcW w:w="8723" w:type="dxa"/>
            <w:shd w:val="clear" w:color="auto" w:fill="auto"/>
          </w:tcPr>
          <w:p w14:paraId="2BDB1545"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vAlign w:val="center"/>
          </w:tcPr>
          <w:p w14:paraId="41B2CE5C" w14:textId="77777777" w:rsidR="00DB5A36" w:rsidRDefault="002A7083">
            <w:r>
              <w:rPr>
                <w:sz w:val="14"/>
              </w:rPr>
              <w:t>Not reported</w:t>
            </w:r>
          </w:p>
        </w:tc>
      </w:tr>
      <w:tr w:rsidR="00DB5A36" w14:paraId="10CBAFC2" w14:textId="52041C83">
        <w:trPr>
          <w:trHeight w:val="463"/>
        </w:trPr>
        <w:tc>
          <w:tcPr>
            <w:tcW w:w="2405" w:type="dxa"/>
            <w:vMerge/>
            <w:shd w:val="clear" w:color="auto" w:fill="auto"/>
          </w:tcPr>
          <w:p w14:paraId="3BC7C863"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A5F449E"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28b</w:t>
            </w:r>
          </w:p>
        </w:tc>
        <w:tc>
          <w:tcPr>
            <w:tcW w:w="8723" w:type="dxa"/>
            <w:shd w:val="clear" w:color="auto" w:fill="auto"/>
          </w:tcPr>
          <w:p w14:paraId="33D86C9E"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Explanation of any interim analyses and stopping guidelines, including who will have access to these interim results and make the final decision to </w:t>
            </w:r>
            <w:r>
              <w:rPr>
                <w:rFonts w:ascii="Calibri" w:eastAsia="Calibri" w:hAnsi="Calibri" w:cs="Calibri"/>
                <w:sz w:val="20"/>
                <w:szCs w:val="20"/>
              </w:rPr>
              <w:t>terminate the trial</w:t>
            </w:r>
          </w:p>
        </w:tc>
        <w:tc>
          <w:tcPr>
            <w:tcW w:w="1260" w:type="dxa"/>
            <w:vAlign w:val="center"/>
          </w:tcPr>
          <w:p w14:paraId="03A3839B" w14:textId="77777777" w:rsidR="00DB5A36" w:rsidRDefault="002A7083">
            <w:r>
              <w:rPr>
                <w:sz w:val="14"/>
              </w:rPr>
              <w:t>Not reported</w:t>
            </w:r>
          </w:p>
        </w:tc>
      </w:tr>
      <w:tr w:rsidR="00DB5A36" w14:paraId="5504626E" w14:textId="1B8A87B2">
        <w:trPr>
          <w:trHeight w:val="233"/>
        </w:trPr>
        <w:tc>
          <w:tcPr>
            <w:tcW w:w="2405" w:type="dxa"/>
            <w:shd w:val="clear" w:color="auto" w:fill="auto"/>
          </w:tcPr>
          <w:p w14:paraId="71226E74" w14:textId="77777777" w:rsidR="00DB5A36" w:rsidRDefault="002A7083">
            <w:pPr>
              <w:rPr>
                <w:rFonts w:ascii="Calibri" w:eastAsia="Calibri" w:hAnsi="Calibri" w:cs="Calibri"/>
                <w:sz w:val="20"/>
                <w:szCs w:val="20"/>
              </w:rPr>
            </w:pPr>
            <w:r>
              <w:rPr>
                <w:rFonts w:ascii="Calibri" w:eastAsia="Calibri" w:hAnsi="Calibri" w:cs="Calibri"/>
                <w:sz w:val="20"/>
                <w:szCs w:val="20"/>
              </w:rPr>
              <w:t>Trial monitoring</w:t>
            </w:r>
          </w:p>
        </w:tc>
        <w:tc>
          <w:tcPr>
            <w:tcW w:w="567" w:type="dxa"/>
            <w:shd w:val="clear" w:color="auto" w:fill="auto"/>
          </w:tcPr>
          <w:p w14:paraId="50F45532" w14:textId="77777777" w:rsidR="00DB5A36" w:rsidRDefault="002A7083">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shd w:val="clear" w:color="auto" w:fill="auto"/>
          </w:tcPr>
          <w:p w14:paraId="48753F26" w14:textId="77777777" w:rsidR="00DB5A36" w:rsidRDefault="002A7083">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vAlign w:val="center"/>
          </w:tcPr>
          <w:p w14:paraId="32FC7F2A" w14:textId="77777777" w:rsidR="00DB5A36" w:rsidRDefault="002A7083">
            <w:r>
              <w:rPr>
                <w:sz w:val="14"/>
              </w:rPr>
              <w:t xml:space="preserve">Partially reported: pp. 24, 26 (recruitment monitoring and data-quality checks mentioned; formal </w:t>
            </w:r>
            <w:r>
              <w:rPr>
                <w:sz w:val="14"/>
              </w:rPr>
              <w:t>trial-conduct monitoring frequency/procedures not specified)</w:t>
            </w:r>
          </w:p>
        </w:tc>
      </w:tr>
      <w:tr w:rsidR="00DB5A36" w14:paraId="6B44D13F" w14:textId="6E939250">
        <w:trPr>
          <w:trHeight w:val="276"/>
        </w:trPr>
        <w:tc>
          <w:tcPr>
            <w:tcW w:w="11695" w:type="dxa"/>
            <w:gridSpan w:val="3"/>
            <w:shd w:val="clear" w:color="auto" w:fill="B4C6E7"/>
          </w:tcPr>
          <w:p w14:paraId="2440F6B2" w14:textId="77777777" w:rsidR="00DB5A36" w:rsidRDefault="002A7083">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DB5A36" w:rsidRDefault="00DB5A36">
            <w:pPr>
              <w:rPr>
                <w:rFonts w:ascii="Calibri" w:eastAsia="Calibri" w:hAnsi="Calibri" w:cs="Calibri"/>
                <w:b/>
                <w:sz w:val="20"/>
                <w:szCs w:val="20"/>
              </w:rPr>
            </w:pPr>
          </w:p>
        </w:tc>
      </w:tr>
      <w:tr w:rsidR="00DB5A36" w14:paraId="1AF0F713" w14:textId="57C2F717">
        <w:trPr>
          <w:trHeight w:val="274"/>
        </w:trPr>
        <w:tc>
          <w:tcPr>
            <w:tcW w:w="2405" w:type="dxa"/>
            <w:shd w:val="clear" w:color="auto" w:fill="auto"/>
          </w:tcPr>
          <w:p w14:paraId="4A1C3BC6" w14:textId="77777777" w:rsidR="00DB5A36" w:rsidRDefault="002A7083">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shd w:val="clear" w:color="auto" w:fill="auto"/>
          </w:tcPr>
          <w:p w14:paraId="382DE556"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30</w:t>
            </w:r>
          </w:p>
        </w:tc>
        <w:tc>
          <w:tcPr>
            <w:tcW w:w="8723" w:type="dxa"/>
            <w:shd w:val="clear" w:color="auto" w:fill="auto"/>
          </w:tcPr>
          <w:p w14:paraId="53C3D5E1" w14:textId="77777777" w:rsidR="00DB5A36" w:rsidRDefault="002A7083">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vAlign w:val="center"/>
          </w:tcPr>
          <w:p w14:paraId="1BA74E65" w14:textId="77777777" w:rsidR="00DB5A36" w:rsidRDefault="002A7083">
            <w:r>
              <w:rPr>
                <w:sz w:val="14"/>
              </w:rPr>
              <w:t>p. 32</w:t>
            </w:r>
          </w:p>
        </w:tc>
      </w:tr>
      <w:tr w:rsidR="00DB5A36" w14:paraId="1AD65FAB" w14:textId="01150888">
        <w:trPr>
          <w:trHeight w:val="427"/>
        </w:trPr>
        <w:tc>
          <w:tcPr>
            <w:tcW w:w="2405" w:type="dxa"/>
            <w:shd w:val="clear" w:color="auto" w:fill="auto"/>
          </w:tcPr>
          <w:p w14:paraId="294361AE" w14:textId="77777777" w:rsidR="00DB5A36" w:rsidRDefault="002A7083">
            <w:pPr>
              <w:rPr>
                <w:rFonts w:ascii="Calibri" w:eastAsia="Calibri" w:hAnsi="Calibri" w:cs="Calibri"/>
                <w:sz w:val="20"/>
                <w:szCs w:val="20"/>
              </w:rPr>
            </w:pPr>
            <w:r>
              <w:rPr>
                <w:rFonts w:ascii="Calibri" w:eastAsia="Calibri" w:hAnsi="Calibri" w:cs="Calibri"/>
                <w:sz w:val="20"/>
                <w:szCs w:val="20"/>
              </w:rPr>
              <w:t>Protocol amendments</w:t>
            </w:r>
          </w:p>
        </w:tc>
        <w:tc>
          <w:tcPr>
            <w:tcW w:w="567" w:type="dxa"/>
            <w:shd w:val="clear" w:color="auto" w:fill="auto"/>
          </w:tcPr>
          <w:p w14:paraId="19071885"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31</w:t>
            </w:r>
          </w:p>
        </w:tc>
        <w:tc>
          <w:tcPr>
            <w:tcW w:w="8723" w:type="dxa"/>
            <w:shd w:val="clear" w:color="auto" w:fill="auto"/>
          </w:tcPr>
          <w:p w14:paraId="404464A8"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vAlign w:val="center"/>
          </w:tcPr>
          <w:p w14:paraId="7C772DE3" w14:textId="77777777" w:rsidR="00DB5A36" w:rsidRDefault="002A7083">
            <w:r>
              <w:rPr>
                <w:sz w:val="14"/>
              </w:rPr>
              <w:t>Not reported</w:t>
            </w:r>
          </w:p>
        </w:tc>
      </w:tr>
      <w:tr w:rsidR="00DB5A36" w14:paraId="237A0F60" w14:textId="38C12E53">
        <w:trPr>
          <w:trHeight w:val="301"/>
        </w:trPr>
        <w:tc>
          <w:tcPr>
            <w:tcW w:w="2405" w:type="dxa"/>
            <w:vMerge w:val="restart"/>
            <w:shd w:val="clear" w:color="auto" w:fill="auto"/>
          </w:tcPr>
          <w:p w14:paraId="2D20E668" w14:textId="77777777" w:rsidR="00DB5A36" w:rsidRDefault="002A7083">
            <w:pPr>
              <w:rPr>
                <w:rFonts w:ascii="Calibri" w:eastAsia="Calibri" w:hAnsi="Calibri" w:cs="Calibri"/>
                <w:sz w:val="20"/>
                <w:szCs w:val="20"/>
              </w:rPr>
            </w:pPr>
            <w:r>
              <w:rPr>
                <w:rFonts w:ascii="Calibri" w:eastAsia="Calibri" w:hAnsi="Calibri" w:cs="Calibri"/>
                <w:sz w:val="20"/>
                <w:szCs w:val="20"/>
              </w:rPr>
              <w:lastRenderedPageBreak/>
              <w:t>Consent or assent</w:t>
            </w:r>
          </w:p>
        </w:tc>
        <w:tc>
          <w:tcPr>
            <w:tcW w:w="567" w:type="dxa"/>
            <w:shd w:val="clear" w:color="auto" w:fill="auto"/>
          </w:tcPr>
          <w:p w14:paraId="623401F7"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32a</w:t>
            </w:r>
          </w:p>
        </w:tc>
        <w:tc>
          <w:tcPr>
            <w:tcW w:w="8723" w:type="dxa"/>
            <w:shd w:val="clear" w:color="auto" w:fill="auto"/>
          </w:tcPr>
          <w:p w14:paraId="003C46F0" w14:textId="6127DECA" w:rsidR="00DB5A36" w:rsidRDefault="002A7083">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authorised proxies, and how </w:t>
            </w:r>
          </w:p>
        </w:tc>
        <w:tc>
          <w:tcPr>
            <w:tcW w:w="1260" w:type="dxa"/>
            <w:vAlign w:val="center"/>
          </w:tcPr>
          <w:p w14:paraId="03285C53" w14:textId="77777777" w:rsidR="00DB5A36" w:rsidRDefault="002A7083">
            <w:r>
              <w:rPr>
                <w:sz w:val="14"/>
              </w:rPr>
              <w:t>pp. 11-12, 32</w:t>
            </w:r>
          </w:p>
        </w:tc>
      </w:tr>
      <w:tr w:rsidR="00DB5A36" w14:paraId="1015F0BE" w14:textId="35868D4A">
        <w:trPr>
          <w:trHeight w:val="185"/>
        </w:trPr>
        <w:tc>
          <w:tcPr>
            <w:tcW w:w="2405" w:type="dxa"/>
            <w:vMerge/>
            <w:shd w:val="clear" w:color="auto" w:fill="auto"/>
          </w:tcPr>
          <w:p w14:paraId="1CAC9378" w14:textId="77777777" w:rsidR="00DB5A36" w:rsidRDefault="00DB5A36">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3A2304C"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32b</w:t>
            </w:r>
          </w:p>
        </w:tc>
        <w:tc>
          <w:tcPr>
            <w:tcW w:w="8723" w:type="dxa"/>
            <w:shd w:val="clear" w:color="auto" w:fill="auto"/>
          </w:tcPr>
          <w:p w14:paraId="202394F3"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Additional consent provisions for collection and use of participant data and biological specimens in ancillary studies, if </w:t>
            </w:r>
            <w:r>
              <w:rPr>
                <w:rFonts w:ascii="Calibri" w:eastAsia="Calibri" w:hAnsi="Calibri" w:cs="Calibri"/>
                <w:sz w:val="20"/>
                <w:szCs w:val="20"/>
              </w:rPr>
              <w:t>applicable</w:t>
            </w:r>
          </w:p>
        </w:tc>
        <w:tc>
          <w:tcPr>
            <w:tcW w:w="1260" w:type="dxa"/>
            <w:vAlign w:val="center"/>
          </w:tcPr>
          <w:p w14:paraId="3E6A7D32" w14:textId="77777777" w:rsidR="00DB5A36" w:rsidRDefault="002A7083">
            <w:r>
              <w:rPr>
                <w:sz w:val="14"/>
              </w:rPr>
              <w:t>Partially reported: p. 32 (data availability and consent constraints noted; ancillary-study or biological-specimen provisions not specified)</w:t>
            </w:r>
          </w:p>
        </w:tc>
      </w:tr>
      <w:tr w:rsidR="00DB5A36" w14:paraId="6E4E8610" w14:textId="0E6C8493">
        <w:trPr>
          <w:trHeight w:val="480"/>
        </w:trPr>
        <w:tc>
          <w:tcPr>
            <w:tcW w:w="2405" w:type="dxa"/>
            <w:shd w:val="clear" w:color="auto" w:fill="auto"/>
          </w:tcPr>
          <w:p w14:paraId="34C160EC" w14:textId="77777777" w:rsidR="00DB5A36" w:rsidRDefault="002A7083">
            <w:pPr>
              <w:rPr>
                <w:rFonts w:ascii="Calibri" w:eastAsia="Calibri" w:hAnsi="Calibri" w:cs="Calibri"/>
                <w:sz w:val="20"/>
                <w:szCs w:val="20"/>
              </w:rPr>
            </w:pPr>
            <w:r>
              <w:rPr>
                <w:rFonts w:ascii="Calibri" w:eastAsia="Calibri" w:hAnsi="Calibri" w:cs="Calibri"/>
                <w:sz w:val="20"/>
                <w:szCs w:val="20"/>
              </w:rPr>
              <w:t>Confidentiality</w:t>
            </w:r>
          </w:p>
        </w:tc>
        <w:tc>
          <w:tcPr>
            <w:tcW w:w="567" w:type="dxa"/>
            <w:shd w:val="clear" w:color="auto" w:fill="auto"/>
          </w:tcPr>
          <w:p w14:paraId="79B0048A"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33</w:t>
            </w:r>
          </w:p>
        </w:tc>
        <w:tc>
          <w:tcPr>
            <w:tcW w:w="8723" w:type="dxa"/>
            <w:shd w:val="clear" w:color="auto" w:fill="auto"/>
          </w:tcPr>
          <w:p w14:paraId="70AB14EC" w14:textId="77777777" w:rsidR="00DB5A36" w:rsidRDefault="002A7083">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in order to protect confidentiality before, during, and after the trial</w:t>
            </w:r>
          </w:p>
        </w:tc>
        <w:tc>
          <w:tcPr>
            <w:tcW w:w="1260" w:type="dxa"/>
            <w:vAlign w:val="center"/>
          </w:tcPr>
          <w:p w14:paraId="1651C4FB" w14:textId="77777777" w:rsidR="00DB5A36" w:rsidRDefault="002A7083">
            <w:r>
              <w:rPr>
                <w:sz w:val="14"/>
              </w:rPr>
              <w:t>pp. 27-28, 32</w:t>
            </w:r>
          </w:p>
        </w:tc>
      </w:tr>
      <w:tr w:rsidR="00DB5A36" w14:paraId="5787D876" w14:textId="0C1273C6">
        <w:trPr>
          <w:trHeight w:val="361"/>
        </w:trPr>
        <w:tc>
          <w:tcPr>
            <w:tcW w:w="2405" w:type="dxa"/>
            <w:shd w:val="clear" w:color="auto" w:fill="auto"/>
          </w:tcPr>
          <w:p w14:paraId="5579F60B" w14:textId="77777777" w:rsidR="00DB5A36" w:rsidRDefault="002A7083">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shd w:val="clear" w:color="auto" w:fill="auto"/>
          </w:tcPr>
          <w:p w14:paraId="42E0E2EE" w14:textId="77777777" w:rsidR="00DB5A36" w:rsidRDefault="002A7083">
            <w:pPr>
              <w:jc w:val="center"/>
              <w:rPr>
                <w:rFonts w:ascii="Calibri" w:eastAsia="Calibri" w:hAnsi="Calibri" w:cs="Calibri"/>
                <w:sz w:val="20"/>
                <w:szCs w:val="20"/>
              </w:rPr>
            </w:pPr>
            <w:r>
              <w:rPr>
                <w:rFonts w:ascii="Calibri" w:eastAsia="Calibri" w:hAnsi="Calibri" w:cs="Calibri"/>
                <w:sz w:val="20"/>
                <w:szCs w:val="20"/>
              </w:rPr>
              <w:t>34</w:t>
            </w:r>
          </w:p>
        </w:tc>
        <w:tc>
          <w:tcPr>
            <w:tcW w:w="8723" w:type="dxa"/>
            <w:shd w:val="clear" w:color="auto" w:fill="auto"/>
          </w:tcPr>
          <w:p w14:paraId="486EA39F" w14:textId="77777777" w:rsidR="00DB5A36" w:rsidRDefault="002A7083">
            <w:pPr>
              <w:rPr>
                <w:rFonts w:ascii="Calibri" w:eastAsia="Calibri" w:hAnsi="Calibri" w:cs="Calibri"/>
                <w:sz w:val="20"/>
                <w:szCs w:val="20"/>
              </w:rPr>
            </w:pPr>
            <w:r>
              <w:rPr>
                <w:rFonts w:ascii="Calibri" w:eastAsia="Calibri" w:hAnsi="Calibri" w:cs="Calibri"/>
                <w:sz w:val="20"/>
                <w:szCs w:val="20"/>
              </w:rPr>
              <w:t xml:space="preserve">Provisions, if any, for </w:t>
            </w:r>
            <w:r>
              <w:rPr>
                <w:rFonts w:ascii="Calibri" w:eastAsia="Calibri" w:hAnsi="Calibri" w:cs="Calibri"/>
                <w:sz w:val="20"/>
                <w:szCs w:val="20"/>
              </w:rPr>
              <w:t>ancillary and post-trial care, and for compensation to those who suffer harm from trial participation</w:t>
            </w:r>
          </w:p>
        </w:tc>
        <w:tc>
          <w:tcPr>
            <w:tcW w:w="1260" w:type="dxa"/>
            <w:vAlign w:val="center"/>
          </w:tcPr>
          <w:p w14:paraId="59FE852F" w14:textId="77777777" w:rsidR="00DB5A36" w:rsidRDefault="002A7083">
            <w:r>
              <w:rPr>
                <w:sz w:val="14"/>
              </w:rPr>
              <w:t>Partially reported: p. 21 (signposting and distress management described; post-trial care and compensation provisions not specified)</w:t>
            </w:r>
          </w:p>
        </w:tc>
      </w:tr>
    </w:tbl>
    <w:p w14:paraId="30AB0EAB" w14:textId="6366BBB5" w:rsidR="00DB5A36" w:rsidRDefault="00DB5A36">
      <w:pPr>
        <w:rPr>
          <w:rFonts w:ascii="Calibri" w:eastAsia="Calibri" w:hAnsi="Calibri" w:cs="Calibri"/>
        </w:rPr>
      </w:pPr>
    </w:p>
    <w:p w14:paraId="54C08E11" w14:textId="2F591B9E" w:rsidR="00DB5A36" w:rsidRDefault="002A7083">
      <w:pPr>
        <w:pStyle w:val="TableNote"/>
        <w:tabs>
          <w:tab w:val="left" w:pos="4830"/>
        </w:tabs>
        <w:spacing w:before="80" w:line="240" w:lineRule="auto"/>
        <w:rPr>
          <w:rFonts w:asciiTheme="majorHAnsi" w:hAnsiTheme="majorHAnsi" w:cstheme="majorHAnsi"/>
          <w:sz w:val="20"/>
        </w:rPr>
      </w:pPr>
      <w:r>
        <w:rPr>
          <w:rFonts w:asciiTheme="majorHAnsi" w:hAnsiTheme="majorHAnsi" w:cstheme="majorHAnsi"/>
          <w:sz w:val="20"/>
        </w:rPr>
        <w:t xml:space="preserve">*We strongly recommend reading this checklist in conjunction with the SPIRIT 2025 Explanation and Elaboration and the SPIRIT 2025 Expanded Checklist for important clarifications on all the items. We also recommend reading relevant SPIRIT extensions. See </w:t>
      </w:r>
      <w:hyperlink r:id="rId8" w:history="1">
        <w:r>
          <w:rPr>
            <w:rStyle w:val="Hyperlink"/>
            <w:rFonts w:asciiTheme="majorHAnsi" w:eastAsia="Arial" w:hAnsiTheme="majorHAnsi" w:cstheme="majorHAnsi"/>
            <w:sz w:val="20"/>
          </w:rPr>
          <w:t>www.consort-spirit.org</w:t>
        </w:r>
      </w:hyperlink>
    </w:p>
    <w:p w14:paraId="7A16F352" w14:textId="77777777" w:rsidR="00DB5A36" w:rsidRDefault="00DB5A36">
      <w:pPr>
        <w:rPr>
          <w:rFonts w:asciiTheme="majorHAnsi" w:hAnsiTheme="majorHAnsi" w:cstheme="majorHAnsi"/>
          <w:sz w:val="20"/>
          <w:szCs w:val="20"/>
        </w:rPr>
      </w:pPr>
    </w:p>
    <w:p w14:paraId="5D818620" w14:textId="77777777" w:rsidR="00DB5A36" w:rsidRDefault="002A7083">
      <w:pPr>
        <w:pStyle w:val="TableNote"/>
        <w:tabs>
          <w:tab w:val="left" w:pos="4830"/>
        </w:tabs>
        <w:spacing w:before="80" w:line="240" w:lineRule="auto"/>
        <w:rPr>
          <w:rFonts w:asciiTheme="majorHAnsi" w:hAnsiTheme="majorHAnsi" w:cstheme="majorHAnsi"/>
          <w:sz w:val="20"/>
        </w:rPr>
      </w:pPr>
      <w:r>
        <w:rPr>
          <w:rFonts w:asciiTheme="majorHAnsi" w:hAnsiTheme="majorHAnsi" w:cstheme="majorHAnsi"/>
          <w:sz w:val="20"/>
        </w:rPr>
        <w:t xml:space="preserve">Citation: Chan A-W, </w:t>
      </w:r>
      <w:proofErr w:type="spellStart"/>
      <w:r>
        <w:rPr>
          <w:rFonts w:asciiTheme="majorHAnsi" w:hAnsiTheme="majorHAnsi" w:cstheme="majorHAnsi"/>
          <w:sz w:val="20"/>
        </w:rPr>
        <w:t>Boutron</w:t>
      </w:r>
      <w:proofErr w:type="spellEnd"/>
      <w:r>
        <w:rPr>
          <w:rFonts w:asciiTheme="majorHAnsi" w:hAnsiTheme="majorHAnsi" w:cstheme="majorHAnsi"/>
          <w:sz w:val="20"/>
        </w:rPr>
        <w:t xml:space="preserve"> I, Hopewell S, Moher D, Schulz KF, et al. SPIRIT 2025 statement: updated guideline for protocols of randomised trials. BMJ 2025;</w:t>
      </w:r>
      <w:proofErr w:type="gramStart"/>
      <w:r>
        <w:rPr>
          <w:rFonts w:asciiTheme="majorHAnsi" w:hAnsiTheme="majorHAnsi" w:cstheme="majorHAnsi"/>
          <w:sz w:val="20"/>
        </w:rPr>
        <w:t>389:e</w:t>
      </w:r>
      <w:proofErr w:type="gramEnd"/>
      <w:r>
        <w:rPr>
          <w:rFonts w:asciiTheme="majorHAnsi" w:hAnsiTheme="majorHAnsi" w:cstheme="majorHAnsi"/>
          <w:sz w:val="20"/>
        </w:rPr>
        <w:t>081477.</w:t>
      </w:r>
      <w:r>
        <w:rPr>
          <w:rFonts w:asciiTheme="majorHAnsi" w:hAnsiTheme="majorHAnsi" w:cstheme="majorHAnsi"/>
        </w:rPr>
        <w:t xml:space="preserve"> </w:t>
      </w:r>
      <w:hyperlink r:id="rId9" w:history="1">
        <w:r>
          <w:rPr>
            <w:rStyle w:val="Hyperlink"/>
            <w:rFonts w:asciiTheme="majorHAnsi" w:hAnsiTheme="majorHAnsi" w:cstheme="majorHAnsi"/>
            <w:sz w:val="20"/>
          </w:rPr>
          <w:t>https://dx.doi.org/10.1136/bmj-2024-081477</w:t>
        </w:r>
      </w:hyperlink>
    </w:p>
    <w:p w14:paraId="4D0364D9" w14:textId="77777777" w:rsidR="00DB5A36" w:rsidRDefault="00DB5A36">
      <w:pPr>
        <w:pStyle w:val="TableNote"/>
        <w:tabs>
          <w:tab w:val="left" w:pos="4830"/>
        </w:tabs>
        <w:spacing w:before="80" w:line="240" w:lineRule="auto"/>
        <w:rPr>
          <w:rFonts w:asciiTheme="majorHAnsi" w:hAnsiTheme="majorHAnsi" w:cstheme="majorHAnsi"/>
          <w:sz w:val="20"/>
        </w:rPr>
      </w:pPr>
    </w:p>
    <w:p w14:paraId="1640AFE7" w14:textId="77777777" w:rsidR="00DB5A36" w:rsidRDefault="002A7083">
      <w:pPr>
        <w:pStyle w:val="TableNote"/>
        <w:tabs>
          <w:tab w:val="left" w:pos="4830"/>
        </w:tabs>
        <w:spacing w:before="80" w:line="240" w:lineRule="auto"/>
        <w:rPr>
          <w:rFonts w:asciiTheme="majorHAnsi" w:hAnsiTheme="majorHAnsi" w:cstheme="majorHAnsi"/>
          <w:sz w:val="20"/>
        </w:rPr>
      </w:pPr>
      <w:r>
        <w:rPr>
          <w:rFonts w:asciiTheme="majorHAnsi" w:hAnsiTheme="majorHAnsi" w:cstheme="majorHAnsi"/>
          <w:sz w:val="20"/>
        </w:rPr>
        <w:t>© 2025 Chan A-W et al. This is an Open Access article distributed under the terms of the Creative Commons Attribution License (</w:t>
      </w:r>
      <w:hyperlink r:id="rId10" w:history="1">
        <w:r>
          <w:rPr>
            <w:rStyle w:val="Hyperlink"/>
            <w:rFonts w:asciiTheme="majorHAnsi" w:eastAsia="Arial" w:hAnsiTheme="majorHAnsi" w:cstheme="majorHAnsi"/>
            <w:sz w:val="20"/>
          </w:rPr>
          <w:t>https://creativecommons.org/licenses/by/4.0/</w:t>
        </w:r>
      </w:hyperlink>
      <w:r>
        <w:rPr>
          <w:rFonts w:asciiTheme="majorHAnsi" w:hAnsiTheme="majorHAnsi" w:cstheme="majorHAnsi"/>
          <w:sz w:val="20"/>
        </w:rPr>
        <w:t>), which permits unrestricted use, distribution, and reproduction in any medium, provided the original work is properly cited.</w:t>
      </w:r>
    </w:p>
    <w:p w14:paraId="4AA8E6F1" w14:textId="77777777" w:rsidR="00DB5A36" w:rsidRDefault="00DB5A36"/>
    <w:p w14:paraId="773C0609" w14:textId="77777777" w:rsidR="00DB5A36" w:rsidRDefault="00DB5A36">
      <w:pPr>
        <w:rPr>
          <w:rFonts w:ascii="Calibri" w:eastAsia="Calibri" w:hAnsi="Calibri" w:cs="Calibri"/>
        </w:rPr>
      </w:pPr>
    </w:p>
    <w:p w14:paraId="2E18E6AB" w14:textId="77777777" w:rsidR="00DB5A36" w:rsidRDefault="002A7083">
      <w:r>
        <w:rPr>
          <w:sz w:val="16"/>
        </w:rPr>
        <w:t xml:space="preserve">Completion note: page references are based on the rendered page numbers of BRGS_Ameded_Final_1st_round_STTT_Study_Protocol_Article_LK.docx. Items marked as not reported or partially reported should be amended in the </w:t>
      </w:r>
      <w:r>
        <w:rPr>
          <w:sz w:val="16"/>
        </w:rPr>
        <w:t>protocol before submission if required by the journal or registry.</w:t>
      </w:r>
    </w:p>
    <w:sectPr w:rsidR="00DB5A3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B3981" w14:textId="77777777" w:rsidR="00DB5A36" w:rsidRDefault="002A7083">
      <w:r>
        <w:separator/>
      </w:r>
    </w:p>
  </w:endnote>
  <w:endnote w:type="continuationSeparator" w:id="0">
    <w:p w14:paraId="1F55A360" w14:textId="77777777" w:rsidR="00DB5A36" w:rsidRDefault="002A7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11DF" w14:textId="0BE623BB" w:rsidR="00DB5A36" w:rsidRDefault="002A7083">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DB5A36" w:rsidRDefault="002A7083">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1B98D" w14:textId="77777777" w:rsidR="00DB5A36" w:rsidRDefault="002A7083">
      <w:r>
        <w:separator/>
      </w:r>
    </w:p>
  </w:footnote>
  <w:footnote w:type="continuationSeparator" w:id="0">
    <w:p w14:paraId="7380AB82" w14:textId="77777777" w:rsidR="00DB5A36" w:rsidRDefault="002A7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EA21" w14:textId="77777777" w:rsidR="00DB5A36" w:rsidRDefault="00DB5A36">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863CC"/>
    <w:rsid w:val="000A67D6"/>
    <w:rsid w:val="000B133A"/>
    <w:rsid w:val="000C57FA"/>
    <w:rsid w:val="000C6C5B"/>
    <w:rsid w:val="001046FD"/>
    <w:rsid w:val="00123910"/>
    <w:rsid w:val="00165F77"/>
    <w:rsid w:val="0016602B"/>
    <w:rsid w:val="0018139A"/>
    <w:rsid w:val="001A321E"/>
    <w:rsid w:val="001B6CEE"/>
    <w:rsid w:val="001C3D72"/>
    <w:rsid w:val="001D3422"/>
    <w:rsid w:val="001D5A27"/>
    <w:rsid w:val="002162F0"/>
    <w:rsid w:val="00217195"/>
    <w:rsid w:val="002A7083"/>
    <w:rsid w:val="002D34D0"/>
    <w:rsid w:val="00301B0C"/>
    <w:rsid w:val="00305F2C"/>
    <w:rsid w:val="00307632"/>
    <w:rsid w:val="00307850"/>
    <w:rsid w:val="0031325B"/>
    <w:rsid w:val="00321DA5"/>
    <w:rsid w:val="00333E02"/>
    <w:rsid w:val="00356D9F"/>
    <w:rsid w:val="00364BE0"/>
    <w:rsid w:val="00373234"/>
    <w:rsid w:val="00383414"/>
    <w:rsid w:val="003C0959"/>
    <w:rsid w:val="003C2518"/>
    <w:rsid w:val="003F4875"/>
    <w:rsid w:val="0040780B"/>
    <w:rsid w:val="00471FA0"/>
    <w:rsid w:val="00495902"/>
    <w:rsid w:val="00497D30"/>
    <w:rsid w:val="004D526C"/>
    <w:rsid w:val="00503C08"/>
    <w:rsid w:val="005137AD"/>
    <w:rsid w:val="0051715B"/>
    <w:rsid w:val="00531AAB"/>
    <w:rsid w:val="0055708A"/>
    <w:rsid w:val="005A7081"/>
    <w:rsid w:val="005B562C"/>
    <w:rsid w:val="005C6DC1"/>
    <w:rsid w:val="005F4A53"/>
    <w:rsid w:val="006453E0"/>
    <w:rsid w:val="00646AF7"/>
    <w:rsid w:val="00687ABF"/>
    <w:rsid w:val="00693F42"/>
    <w:rsid w:val="006A5AEC"/>
    <w:rsid w:val="006C2950"/>
    <w:rsid w:val="006C66B2"/>
    <w:rsid w:val="006D0DA4"/>
    <w:rsid w:val="00702F65"/>
    <w:rsid w:val="007301B7"/>
    <w:rsid w:val="00750743"/>
    <w:rsid w:val="00767EA8"/>
    <w:rsid w:val="00773168"/>
    <w:rsid w:val="007941AE"/>
    <w:rsid w:val="007B2CD7"/>
    <w:rsid w:val="007C5D5E"/>
    <w:rsid w:val="0081074A"/>
    <w:rsid w:val="00815D12"/>
    <w:rsid w:val="00834CD7"/>
    <w:rsid w:val="008D6C5C"/>
    <w:rsid w:val="008E5C3A"/>
    <w:rsid w:val="008E6DF2"/>
    <w:rsid w:val="008E73A3"/>
    <w:rsid w:val="008F48BC"/>
    <w:rsid w:val="00903FDA"/>
    <w:rsid w:val="009347D0"/>
    <w:rsid w:val="00995F28"/>
    <w:rsid w:val="009B6976"/>
    <w:rsid w:val="009E01AC"/>
    <w:rsid w:val="009F1024"/>
    <w:rsid w:val="009F67E7"/>
    <w:rsid w:val="00A22E1C"/>
    <w:rsid w:val="00A518AE"/>
    <w:rsid w:val="00A5591F"/>
    <w:rsid w:val="00A729D1"/>
    <w:rsid w:val="00A73BE7"/>
    <w:rsid w:val="00A826DA"/>
    <w:rsid w:val="00AA0079"/>
    <w:rsid w:val="00AA0E24"/>
    <w:rsid w:val="00AA17D7"/>
    <w:rsid w:val="00AA6B0F"/>
    <w:rsid w:val="00AA7974"/>
    <w:rsid w:val="00AD7495"/>
    <w:rsid w:val="00B164CF"/>
    <w:rsid w:val="00B4380E"/>
    <w:rsid w:val="00B5587F"/>
    <w:rsid w:val="00B6061B"/>
    <w:rsid w:val="00B614E3"/>
    <w:rsid w:val="00B754A5"/>
    <w:rsid w:val="00BA0176"/>
    <w:rsid w:val="00BA099A"/>
    <w:rsid w:val="00BB7ADC"/>
    <w:rsid w:val="00BF52A7"/>
    <w:rsid w:val="00C0122E"/>
    <w:rsid w:val="00C34BD9"/>
    <w:rsid w:val="00C510F0"/>
    <w:rsid w:val="00C65022"/>
    <w:rsid w:val="00C6601A"/>
    <w:rsid w:val="00C67928"/>
    <w:rsid w:val="00C7013C"/>
    <w:rsid w:val="00D017AA"/>
    <w:rsid w:val="00D46DB4"/>
    <w:rsid w:val="00D5186C"/>
    <w:rsid w:val="00D56875"/>
    <w:rsid w:val="00DB2CA8"/>
    <w:rsid w:val="00DB5A36"/>
    <w:rsid w:val="00DD051C"/>
    <w:rsid w:val="00E03B67"/>
    <w:rsid w:val="00E20844"/>
    <w:rsid w:val="00E419AC"/>
    <w:rsid w:val="00E72D7E"/>
    <w:rsid w:val="00E75DCF"/>
    <w:rsid w:val="00E82690"/>
    <w:rsid w:val="00E94F88"/>
    <w:rsid w:val="00EA0A90"/>
    <w:rsid w:val="00EA484E"/>
    <w:rsid w:val="00EA70D8"/>
    <w:rsid w:val="00EC0E77"/>
    <w:rsid w:val="00F156E4"/>
    <w:rsid w:val="00F23792"/>
    <w:rsid w:val="00F53EE1"/>
    <w:rsid w:val="00F732D4"/>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1582</Words>
  <Characters>10460</Characters>
  <Application>Microsoft Office Word</Application>
  <DocSecurity>0</DocSecurity>
  <Lines>153</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Sigsworth</dc:creator>
  <cp:lastModifiedBy>Benjamin Robert George Sigsworth</cp:lastModifiedBy>
  <cp:revision>4</cp:revision>
  <cp:lastPrinted>2024-10-10T08:35:00Z</cp:lastPrinted>
  <dcterms:created xsi:type="dcterms:W3CDTF">2026-06-24T10:31:00Z</dcterms:created>
  <dcterms:modified xsi:type="dcterms:W3CDTF">2026-06-26T14:11:00Z</dcterms:modified>
</cp:coreProperties>
</file>