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40D19">
      <w:pPr>
        <w:keepNext w:val="0"/>
        <w:keepLines w:val="0"/>
        <w:widowControl/>
        <w:suppressLineNumbers w:val="0"/>
        <w:ind w:left="959" w:leftChars="228" w:hanging="480" w:hangingChars="200"/>
        <w:jc w:val="left"/>
        <w:rPr>
          <w:rFonts w:hint="default" w:ascii="Times New Roman" w:hAnsi="Times New Roman" w:eastAsia="AdvOT34fe1490.B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AdvOT34fe1490.B" w:cs="Times New Roman"/>
          <w:color w:val="000000"/>
          <w:kern w:val="0"/>
          <w:sz w:val="24"/>
          <w:szCs w:val="24"/>
          <w:lang w:val="en-US" w:eastAsia="zh-CN" w:bidi="ar"/>
        </w:rPr>
        <w:t>Table1.</w:t>
      </w:r>
      <w:r>
        <w:rPr>
          <w:rFonts w:hint="default" w:ascii="Times New Roman" w:hAnsi="Times New Roman" w:eastAsia="AdvOT34fe1490.B" w:cs="Times New Roman"/>
          <w:color w:val="000000"/>
          <w:kern w:val="0"/>
          <w:sz w:val="24"/>
          <w:szCs w:val="24"/>
          <w:lang w:val="en-US" w:eastAsia="zh-CN" w:bidi="ar"/>
        </w:rPr>
        <w:t xml:space="preserve">Comparison of clinical features and outcomes between the derivation cohort and </w:t>
      </w:r>
    </w:p>
    <w:p w14:paraId="51B86ACE">
      <w:pPr>
        <w:keepNext w:val="0"/>
        <w:keepLines w:val="0"/>
        <w:widowControl/>
        <w:suppressLineNumbers w:val="0"/>
        <w:ind w:left="958" w:leftChars="456" w:firstLine="240" w:firstLineChars="100"/>
        <w:jc w:val="left"/>
        <w:rPr>
          <w:rFonts w:hint="default" w:ascii="Times New Roman" w:hAnsi="Times New Roman" w:eastAsia="AdvOT34fe1490.B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34fe1490.B" w:cs="Times New Roman"/>
          <w:color w:val="000000"/>
          <w:kern w:val="0"/>
          <w:sz w:val="24"/>
          <w:szCs w:val="24"/>
          <w:lang w:val="en-US" w:eastAsia="zh-CN" w:bidi="ar"/>
        </w:rPr>
        <w:t>different external validation cohorts</w:t>
      </w:r>
    </w:p>
    <w:tbl>
      <w:tblPr>
        <w:tblStyle w:val="2"/>
        <w:tblpPr w:leftFromText="180" w:rightFromText="180" w:vertAnchor="text" w:horzAnchor="page" w:tblpX="1547" w:tblpY="302"/>
        <w:tblOverlap w:val="never"/>
        <w:tblW w:w="96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2084"/>
        <w:gridCol w:w="1964"/>
        <w:gridCol w:w="2097"/>
        <w:gridCol w:w="1008"/>
      </w:tblGrid>
      <w:tr w14:paraId="135A1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66A29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0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4F135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 (n = 11595)</w:t>
            </w:r>
          </w:p>
        </w:tc>
        <w:tc>
          <w:tcPr>
            <w:tcW w:w="19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6AE0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Derivation cohort (MIMIC-IV)</w:t>
            </w:r>
          </w:p>
          <w:p w14:paraId="0ED308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(n = 7063)</w:t>
            </w:r>
          </w:p>
        </w:tc>
        <w:tc>
          <w:tcPr>
            <w:tcW w:w="209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3599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Validation cohort (eICU-CRD)</w:t>
            </w:r>
          </w:p>
          <w:p w14:paraId="67EDD7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(n = 4532)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5A95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</w:tr>
      <w:tr w14:paraId="4716C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053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Age, years </w:t>
            </w:r>
          </w:p>
        </w:tc>
        <w:tc>
          <w:tcPr>
            <w:tcW w:w="20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2AA8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70.7 ± 12.4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AEB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71.5 ± 12.2</w:t>
            </w:r>
          </w:p>
        </w:tc>
        <w:tc>
          <w:tcPr>
            <w:tcW w:w="209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810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69.3 ± 12.5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652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7BA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F0DB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E17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9294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A9BA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D91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7B8BE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E3FD8D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7EF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6267 (54.0)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613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3928 (55.6)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6AD2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2339 (51.6)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29D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432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10691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41C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5328 (46.0)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2F39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3135 (44.4)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A91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2193 (48.4)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03D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C1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23E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Race,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C824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CFC3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DB0B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A56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416B2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C0C84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D20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7711 (66.5)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98C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4449 (63)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062A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3262 (72)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2D7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42B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52B3E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Black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A7DC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2240 (19.3)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3AD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1275 (18.1)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812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 (21.3)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B33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85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15ECB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323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1644 (14.2)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D47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 (19)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84B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 (6.7)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2AF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D06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63CB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Norepinephrine,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DE21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B793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B4DD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D0F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2728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3C058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8EA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9668 (83.4)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0C56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5349 (75.7)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B94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4319 (95.3)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BFC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C99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667D6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B66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1927 (16.6)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3B9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1714 (24.3)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FA9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 (4.7)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96B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F8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74A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Dopamine,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6DE6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F522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1645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1D2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2A68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3EC18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3A0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11338 (97.8)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D01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6831 (96.7)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25B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4507 (99.4)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088C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613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1505B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C40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 ( 2.2)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111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 (3.3)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708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 (0.6)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0E986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E58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1FA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Epinephrine,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8A42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5AF3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3004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08F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ED93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3D736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B00F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11235 (96.9)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D5A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6728 (95.3)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016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4507 (99.4)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236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ACC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E6367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986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 ( 3.1)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F79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 (4.7)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FABB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 (0.6)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420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939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3A9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Phenylephrine,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9A3F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9FD1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6A09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A7D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DC21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86EAA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6CE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11005 (94.9)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4BC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6540 (92.6)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DB25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4465 (98.5)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FBC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FA7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F07628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4F9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 ( 5.1)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90D6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 (7.4)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3952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 (1.5)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C27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7E9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333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Vasopressin,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12A8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6A41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2873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CAE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39BB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A70BC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9E5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11064 (95.4)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01F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6545 (92.7)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367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4519 (99.7)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234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2F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2D93C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986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 ( 4.6)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3EDE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 (7.3)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A00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 (0.3)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C1D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41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37D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Vent,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D804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19DC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694E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62E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0A6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4E8AC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BD9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2936 (25.3)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CA8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 (14.8)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A35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1892 (41.7)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FF7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14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47C84E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590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8659 (74.7)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AC16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6019 (85.2)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26B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2640 (58.3)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45D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A6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5C9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Intubated,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9C2B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C07A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2D15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42C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3921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DEA3A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700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8872 (76.5)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D28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4944 (70)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68B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3928 (86.7)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A5C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D85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B5F05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D95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2723 (23.5)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E2F77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2119 (30)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06F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 (13.3)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F81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FEC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05E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COPD,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86A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9A9A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E404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9A8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2A5BD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18CF8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10BD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7962 (68.7)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6E8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4321 (61.2)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4C4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3641 (80.3)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FDC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B1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B05A3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0FF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3633 (31.3)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350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2742 (38.8)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3A7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 (19.7)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859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BA6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01D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C430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2CF0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3D43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C83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600F0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1B210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F3C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8953 (77.2)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666C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4527 (64.1)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827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4426 (97.7)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6A2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92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124682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BD4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2642 (22.8)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1A7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2536 (35.9)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CF2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 (2.3)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F5E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23E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74E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4A09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3CF5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551E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03B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62ED2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83E38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8EE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10970 (94.6)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BEB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6495 (92)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DAD1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4475 (98.7)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9195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C5A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5D0D1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9A9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 ( 5.4)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ADD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 (8)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04D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 (1.3)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8A4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36B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9618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HepF,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4F8F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AF07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BF16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500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77A41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2CA40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629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11355 (97.9)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65D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6878 (97.4)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457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4477 (98.8)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B27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A99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80D04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564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 ( 2.1)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9C6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 (2.6)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78AD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 (1.2)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A7C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079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916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Mortality, n (%)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6168E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FA87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9433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FAB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0.199</w:t>
            </w:r>
          </w:p>
        </w:tc>
      </w:tr>
      <w:tr w14:paraId="5B09E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A8739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E02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10219 (88.1)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C4C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 (87.8)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E65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4016 (88.6)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5609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EF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B01C0">
            <w:pPr>
              <w:keepNext w:val="0"/>
              <w:keepLines w:val="0"/>
              <w:widowControl/>
              <w:suppressLineNumbers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9DD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1376 (11.9)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449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 (12.2)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77A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 (11.4)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31B6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8A1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EDD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SOFA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702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 (2.0, 6.0)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FC99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 (1.0, 5.0)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E71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 (3.0, 8.0)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AF1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44F8C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DA6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APSIII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092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53.6 ± 24.6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6E7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54.5 ± 21.7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A65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52.2 ± 28.5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B38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5AF6C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80A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Temperature, ℃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879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36.6 ± 0.7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52C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36.8 ± 0.5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3EC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36.3 ± 0.9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9B2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FD6C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50D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RespiratoryRate,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breaths per minute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A50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 ± 10.0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934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19.8 ± 3.7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FBAB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26.7 ± 14.4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866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3D19D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375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Heart Rate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B3D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88.8 ± 23.3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FBB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83.3 ± 15.3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22C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97.4 ± 30.0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55EE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49555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7E8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SBP,mm Hg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EDD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120.6 ± 22.5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6AE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118.7 ± 17.7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EDB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123.7 ± 28.3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5A7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59FBC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338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FFC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14.1 ± 5.2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27B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15.8 ± 4.6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9D3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11.5 ± 4.9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6D4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7108F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84F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BUN,mg/dL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7A2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40.6 ± 26.6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3DB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41.3 ± 27.8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E218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39.6 ± 24.6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E438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62B5E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016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Calcium,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mg/dL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FD4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 ± 0.8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C66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 ± 0.8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D985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 ± 0.7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9A6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54148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FAF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Chloride,mmol/L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B73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101.2 ± 6.8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B13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101.6 ± 7.0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420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100.8 ± 6.5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DB6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66682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ACA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Creatinine, mg/dL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EC1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 (1.0, 2.6)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DBC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 (1.0, 2.6)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DF0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 (1.1, 2.6)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8DD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0.678</w:t>
            </w:r>
          </w:p>
        </w:tc>
      </w:tr>
      <w:tr w14:paraId="2FB45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96A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Haemoglobin,g/dL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09D8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 ± 2.2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26D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 ± 2.1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2B6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 ± 2.3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234B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16CE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700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MCH,p/g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34F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 ± 2.7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F70B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29.2 ± 2.8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832D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29.0 ± 2.7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67FA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</w:tr>
      <w:tr w14:paraId="3E21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1CE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MCHC,g/L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D62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32.2 ± 1.7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DBE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32.1 ± 1.8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D66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32.2 ± 1.5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C6E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F75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546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MCV,fL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6C9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90.5 ± 7.4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C50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90.9 ± 7.4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28C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90.0 ± 7.3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857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1E177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C8F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Platelet,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/L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004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214.2 ± 97.8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820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211.8 ± 96.8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0FB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218.0 ± 99.3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60D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4E5CF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1F5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Potassium,</w:t>
            </w:r>
            <w:r>
              <w:rPr>
                <w:rFonts w:hint="default" w:ascii="Times New Roman" w:hAnsi="Times New Roman" w:eastAsia="HelveticaNeueLTStd-Roman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mmol/L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79F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 ± 0.8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E0E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 ± 0.8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FF8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 ± 0.8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584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7789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7097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RBC,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/L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814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 ± 0.8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802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 ± 0.8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AEC2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 ± 0.8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F11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74A2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8E1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RDW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791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 ± 2.4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4E90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16.0 ± 2.4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376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16.2 ± 2.4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8FE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4CC9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671C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Sodium,</w:t>
            </w:r>
            <w:r>
              <w:rPr>
                <w:rFonts w:hint="default" w:ascii="Times New Roman" w:hAnsi="Times New Roman" w:eastAsia="HelveticaNeueLTStd-Roman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mmol/L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6AC5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137.7 ± 5.3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9CA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137.9 ± 5.4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FA8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137.5 ± 5.3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DD9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0066E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4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B1E9B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WBC,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×10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/L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62BA7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 (7.4, 13.7)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5BDF8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 (7.4, 14.0)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275BDF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 (7.4, 13.1)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7A2F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</w:tbl>
    <w:p w14:paraId="3C2A62B7">
      <w:pPr>
        <w:ind w:left="420" w:leftChars="20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AG, anion gap; AMI, acute myocardial infarction; APSIII, Acute Physiology Score III; BUN, blood urea nitrogen; CHF, congestive heart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failure; COPD, chronic obstructive pulmonary disease; eICU-CRD, eICU Collaborative Research Database; HepF, hepatic failure; MCH, mean corpuscular haemoglobin; MCHC, mean corpuscular haemoglobin concentration; MCV, mean corpuscular volume; MIMIC-IV, Medical Information Mart for Intensive Care; RBC, red blood cell; RDW, red blood cell distribution width; SBP, systolic blood pressure; SOFA, Sequential Organ Failure Assessment; W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</w:rPr>
        <w:t>C, whi</w:t>
      </w:r>
      <w:bookmarkStart w:id="0" w:name="_GoBack"/>
      <w:bookmarkEnd w:id="0"/>
      <w:r>
        <w:rPr>
          <w:rFonts w:hint="default" w:ascii="Times New Roman" w:hAnsi="Times New Roman" w:cs="Times New Roman"/>
        </w:rPr>
        <w:t xml:space="preserve">te </w:t>
      </w:r>
      <w:r>
        <w:rPr>
          <w:rFonts w:hint="default" w:ascii="Times New Roman" w:hAnsi="Times New Roman" w:cs="Times New Roman"/>
          <w:lang w:val="en-US" w:eastAsia="zh-CN"/>
        </w:rPr>
        <w:t xml:space="preserve">blood </w:t>
      </w:r>
      <w:r>
        <w:rPr>
          <w:rFonts w:hint="default" w:ascii="Times New Roman" w:hAnsi="Times New Roman" w:cs="Times New Roman"/>
        </w:rPr>
        <w:t>cell.</w:t>
      </w:r>
    </w:p>
    <w:sectPr>
      <w:pgSz w:w="11906" w:h="16838"/>
      <w:pgMar w:top="1440" w:right="1009" w:bottom="1440" w:left="10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OT34fe1490.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NeueLTStd-B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0B57"/>
    <w:rsid w:val="285B5006"/>
    <w:rsid w:val="408829FA"/>
    <w:rsid w:val="40CF7F7E"/>
    <w:rsid w:val="5F233605"/>
    <w:rsid w:val="6918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2026-06-10T07:49:53Z</dcterms:created>
  <dc:creator>ASUS</dc:creator>
  <cp:lastModifiedBy>smart</cp:lastModifiedBy>
  <dcterms:modified xsi:type="dcterms:W3CDTF">2026-06-10T08:21:41Z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eyJoZGlkIjoiYjkyZmNhZmMwYTRkMzdjNDc0ZDBiODA4ZTNmNjg2YzYiLCJ1c2VySWQiOiIyOTExMjIwMzcifQ==</vt:lpwstr>
  </property>
  <property fmtid="{D5CDD505-2E9C-101B-9397-08002B2CF9AE}" pid="4" name="ICV">
    <vt:lpwstr>BA48E640445C405B8DE2740E170ED416_12</vt:lpwstr>
  </property>
</Properties>
</file>