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2A46" w:rsidRPr="002C7554" w:rsidRDefault="00B96669">
      <w:pPr>
        <w:pStyle w:val="a8"/>
        <w:rPr>
          <w:rFonts w:ascii="Times New Roman" w:hAnsi="Times New Roman" w:cs="Times New Roman"/>
        </w:rPr>
      </w:pPr>
      <w:r w:rsidRPr="002C7554">
        <w:rPr>
          <w:rFonts w:ascii="Times New Roman" w:hAnsi="Times New Roman" w:cs="Times New Roman"/>
        </w:rPr>
        <w:t>Supplementary information</w:t>
      </w:r>
    </w:p>
    <w:p w:rsidR="00F02A46" w:rsidRPr="002C7554" w:rsidRDefault="00B96669">
      <w:pPr>
        <w:spacing w:after="200"/>
        <w:ind w:firstLine="0"/>
        <w:jc w:val="center"/>
        <w:rPr>
          <w:rFonts w:cs="Times New Roman"/>
        </w:rPr>
      </w:pPr>
      <w:r w:rsidRPr="002C7554">
        <w:rPr>
          <w:rFonts w:cs="Times New Roman"/>
          <w:i/>
          <w:color w:val="666666"/>
          <w:sz w:val="21"/>
        </w:rPr>
        <w:t>Who becomes replaceable? Generative AI and the discursive stratification of work</w:t>
      </w:r>
    </w:p>
    <w:p w:rsidR="00F02A46" w:rsidRPr="002C7554" w:rsidRDefault="00B96669">
      <w:pPr>
        <w:rPr>
          <w:rFonts w:cs="Times New Roman"/>
        </w:rPr>
      </w:pPr>
      <w:r w:rsidRPr="002C7554">
        <w:rPr>
          <w:rFonts w:cs="Times New Roman"/>
        </w:rPr>
        <w:t xml:space="preserve">This file provides extended documentation for corpus construction, annotation, classification, measures, statistical models, and robustness </w:t>
      </w:r>
      <w:r w:rsidRPr="002C7554">
        <w:rPr>
          <w:rFonts w:cs="Times New Roman"/>
        </w:rPr>
        <w:t>analyses. All supplementary numbering is independent of the main manuscript.</w:t>
      </w:r>
    </w:p>
    <w:p w:rsidR="00F02A46" w:rsidRPr="002C7554" w:rsidRDefault="00B96669">
      <w:pPr>
        <w:pStyle w:val="1"/>
        <w:rPr>
          <w:rFonts w:ascii="Times New Roman" w:hAnsi="Times New Roman" w:cs="Times New Roman"/>
        </w:rPr>
      </w:pPr>
      <w:r w:rsidRPr="002C7554">
        <w:rPr>
          <w:rFonts w:ascii="Times New Roman" w:hAnsi="Times New Roman" w:cs="Times New Roman"/>
        </w:rPr>
        <w:t>Supplementary Methods</w:t>
      </w:r>
    </w:p>
    <w:p w:rsidR="00F02A46" w:rsidRPr="002C7554" w:rsidRDefault="00B96669">
      <w:pPr>
        <w:pStyle w:val="21"/>
        <w:rPr>
          <w:rFonts w:ascii="Times New Roman" w:hAnsi="Times New Roman" w:cs="Times New Roman"/>
        </w:rPr>
      </w:pPr>
      <w:r w:rsidRPr="002C7554">
        <w:rPr>
          <w:rFonts w:ascii="Times New Roman" w:hAnsi="Times New Roman" w:cs="Times New Roman"/>
        </w:rPr>
        <w:t>Corpus retrieval and temporal coverage</w:t>
      </w:r>
    </w:p>
    <w:p w:rsidR="00F02A46" w:rsidRPr="002C7554" w:rsidRDefault="00B96669">
      <w:pPr>
        <w:rPr>
          <w:rFonts w:cs="Times New Roman"/>
        </w:rPr>
      </w:pPr>
      <w:r w:rsidRPr="002C7554">
        <w:rPr>
          <w:rFonts w:cs="Times New Roman"/>
        </w:rPr>
        <w:t>The news corpus was retrieved through ProQuest Text and Data Mining on 22 June 2026. Document type was restricted to n</w:t>
      </w:r>
      <w:r w:rsidRPr="002C7554">
        <w:rPr>
          <w:rFonts w:cs="Times New Roman"/>
        </w:rPr>
        <w:t>ewspapers and news, with no language restriction. The Boolean query was:</w:t>
      </w:r>
    </w:p>
    <w:p w:rsidR="00F02A46" w:rsidRPr="002C7554" w:rsidRDefault="00B96669">
      <w:pPr>
        <w:rPr>
          <w:rFonts w:cs="Times New Roman"/>
        </w:rPr>
      </w:pPr>
      <w:r w:rsidRPr="002C7554">
        <w:rPr>
          <w:rFonts w:cs="Times New Roman"/>
        </w:rPr>
        <w:t>("artificial intelligence" OR "generative AI" OR "generative artificial intelligence" OR "machine learning" OR "deep learning" OR ChatGPT OR "large language model*" OR LLM) AND (job O</w:t>
      </w:r>
      <w:r w:rsidRPr="002C7554">
        <w:rPr>
          <w:rFonts w:cs="Times New Roman"/>
        </w:rPr>
        <w:t>R jobs OR work OR worker* OR workforce OR employment OR occupation* OR profession* OR career* OR "labor market" OR "labour market" OR automation OR "future of work" OR layoff* OR reskill* OR upskill* OR "replace* worker*").</w:t>
      </w:r>
    </w:p>
    <w:p w:rsidR="00F02A46" w:rsidRPr="002C7554" w:rsidRDefault="00B96669">
      <w:pPr>
        <w:rPr>
          <w:rFonts w:cs="Times New Roman"/>
        </w:rPr>
      </w:pPr>
      <w:r w:rsidRPr="002C7554">
        <w:rPr>
          <w:rFonts w:cs="Times New Roman"/>
        </w:rPr>
        <w:t>The raw retrieval contained 446,</w:t>
      </w:r>
      <w:r w:rsidRPr="002C7554">
        <w:rPr>
          <w:rFonts w:cs="Times New Roman"/>
        </w:rPr>
        <w:t>417 articles. Although raw coverage extended from 1976 to 2026, the analysis used complete years in three theoretically defined periods: EARLY (2010-2017), PRE (2018-2021), and POST (2023-2025). The transition year 2022 was omitted from the primary compari</w:t>
      </w:r>
      <w:r w:rsidRPr="002C7554">
        <w:rPr>
          <w:rFonts w:cs="Times New Roman"/>
        </w:rPr>
        <w:t>son and included in boundary sensitivity analyses.</w:t>
      </w:r>
    </w:p>
    <w:p w:rsidR="00F02A46" w:rsidRPr="002C7554" w:rsidRDefault="00B96669">
      <w:pPr>
        <w:pStyle w:val="21"/>
        <w:rPr>
          <w:rFonts w:ascii="Times New Roman" w:hAnsi="Times New Roman" w:cs="Times New Roman"/>
        </w:rPr>
      </w:pPr>
      <w:r w:rsidRPr="002C7554">
        <w:rPr>
          <w:rFonts w:ascii="Times New Roman" w:hAnsi="Times New Roman" w:cs="Times New Roman"/>
        </w:rPr>
        <w:t>Occupation extraction, sense screening, and cluster balancing</w:t>
      </w:r>
    </w:p>
    <w:p w:rsidR="00F02A46" w:rsidRPr="002C7554" w:rsidRDefault="00B96669">
      <w:pPr>
        <w:rPr>
          <w:rFonts w:cs="Times New Roman"/>
        </w:rPr>
      </w:pPr>
      <w:r w:rsidRPr="002C7554">
        <w:rPr>
          <w:rFonts w:cs="Times New Roman"/>
        </w:rPr>
        <w:t xml:space="preserve">The extraction dictionary contained 45 occupation terms assigned to seven sectors. For every hit, the pipeline retained the target term and up </w:t>
      </w:r>
      <w:r w:rsidRPr="002C7554">
        <w:rPr>
          <w:rFonts w:cs="Times New Roman"/>
        </w:rPr>
        <w:t>to 25 words on each side, producing a maximum 51-word passage. The stored fields included document identifier, date, source title, occupation, sector, target term, left and right context, AI cue, word count, normalised cluster identifier, and screening fla</w:t>
      </w:r>
      <w:r w:rsidRPr="002C7554">
        <w:rPr>
          <w:rFonts w:cs="Times New Roman"/>
        </w:rPr>
        <w:t>gs.</w:t>
      </w:r>
    </w:p>
    <w:p w:rsidR="00F02A46" w:rsidRPr="002C7554" w:rsidRDefault="00B96669">
      <w:pPr>
        <w:rPr>
          <w:rFonts w:cs="Times New Roman"/>
        </w:rPr>
      </w:pPr>
      <w:r w:rsidRPr="002C7554">
        <w:rPr>
          <w:rFonts w:cs="Times New Roman"/>
        </w:rPr>
        <w:t>The principal analysis excluded passages flagged as likely non-occupational senses. Five terms - author, CEO, executive, manager, and banker - were additionally excluded from aggregate occupation comparisons because recurrent ambiguity or non-comparabi</w:t>
      </w:r>
      <w:r w:rsidRPr="002C7554">
        <w:rPr>
          <w:rFonts w:cs="Times New Roman"/>
        </w:rPr>
        <w:t xml:space="preserve">lity made their </w:t>
      </w:r>
      <w:r w:rsidRPr="002C7554">
        <w:rPr>
          <w:rFonts w:cs="Times New Roman"/>
        </w:rPr>
        <w:lastRenderedPageBreak/>
        <w:t>occupation-level output unstable. The complete dictionary and sector mapping appear in Supplementary Table S2.</w:t>
      </w:r>
    </w:p>
    <w:p w:rsidR="00F02A46" w:rsidRPr="002C7554" w:rsidRDefault="00B96669">
      <w:pPr>
        <w:rPr>
          <w:rFonts w:cs="Times New Roman"/>
        </w:rPr>
      </w:pPr>
      <w:r w:rsidRPr="002C7554">
        <w:rPr>
          <w:rFonts w:cs="Times New Roman"/>
        </w:rPr>
        <w:t>Syndication and repeated mentions can cause a single text to contribute many near-identical passages. The analytical unit was the</w:t>
      </w:r>
      <w:r w:rsidRPr="002C7554">
        <w:rPr>
          <w:rFonts w:cs="Times New Roman"/>
        </w:rPr>
        <w:t>refore balanced within era. Each normalised cluster-occupation combination contributed at most one passage per era. When multiple eligible passages remained, the retained passage was the first in ascending document-identifier order. The rule was determinis</w:t>
      </w:r>
      <w:r w:rsidRPr="002C7554">
        <w:rPr>
          <w:rFonts w:cs="Times New Roman"/>
        </w:rPr>
        <w:t>tic and produced 6,265 EARLY, 13,917 PRE, and 48,850 POST news units.</w:t>
      </w:r>
    </w:p>
    <w:p w:rsidR="00F02A46" w:rsidRPr="002C7554" w:rsidRDefault="00B96669">
      <w:pPr>
        <w:pStyle w:val="21"/>
        <w:rPr>
          <w:rFonts w:ascii="Times New Roman" w:hAnsi="Times New Roman" w:cs="Times New Roman"/>
        </w:rPr>
      </w:pPr>
      <w:r w:rsidRPr="002C7554">
        <w:rPr>
          <w:rFonts w:ascii="Times New Roman" w:hAnsi="Times New Roman" w:cs="Times New Roman"/>
        </w:rPr>
        <w:t>Annotation protocol and coding specifications</w:t>
      </w:r>
    </w:p>
    <w:p w:rsidR="00F02A46" w:rsidRPr="002C7554" w:rsidRDefault="00B96669">
      <w:pPr>
        <w:rPr>
          <w:rFonts w:cs="Times New Roman"/>
        </w:rPr>
      </w:pPr>
      <w:r w:rsidRPr="002C7554">
        <w:rPr>
          <w:rFonts w:cs="Times New Roman"/>
        </w:rPr>
        <w:t>Two coders independently assigned four-way frames to 602 news passages. Coding first established whether the target denoted an occupation an</w:t>
      </w:r>
      <w:r w:rsidRPr="002C7554">
        <w:rPr>
          <w:rFonts w:cs="Times New Roman"/>
        </w:rPr>
        <w:t xml:space="preserve">d whether the occupation was a target of AI-related change. If activated, coders distinguished augmentation, task automation, and replacement. The operational rules are in Supplementary Table S4. Examples in that table are schematic and are not quotations </w:t>
      </w:r>
      <w:r w:rsidRPr="002C7554">
        <w:rPr>
          <w:rFonts w:cs="Times New Roman"/>
        </w:rPr>
        <w:t>from the licensed corpora.</w:t>
      </w:r>
    </w:p>
    <w:p w:rsidR="00F02A46" w:rsidRPr="002C7554" w:rsidRDefault="00B96669">
      <w:pPr>
        <w:rPr>
          <w:rFonts w:cs="Times New Roman"/>
        </w:rPr>
      </w:pPr>
      <w:r w:rsidRPr="002C7554">
        <w:rPr>
          <w:rFonts w:cs="Times New Roman"/>
        </w:rPr>
        <w:t>The strict reference specification conservatively resolved the 143 coder disagreements by assigning the less activation- or replacement-intensive label. The lenient specification assigned the more intensive label. The strict spec</w:t>
      </w:r>
      <w:r w:rsidRPr="002C7554">
        <w:rPr>
          <w:rFonts w:cs="Times New Roman"/>
        </w:rPr>
        <w:t>ification was used for the primary classifier. These rules were selected to preserve disagreement rather than describe the labels as an expert-adjudicated ground truth.</w:t>
      </w:r>
    </w:p>
    <w:p w:rsidR="00F02A46" w:rsidRPr="002C7554" w:rsidRDefault="00B96669">
      <w:pPr>
        <w:rPr>
          <w:rFonts w:cs="Times New Roman"/>
        </w:rPr>
      </w:pPr>
      <w:r w:rsidRPr="002C7554">
        <w:rPr>
          <w:rFonts w:cs="Times New Roman"/>
        </w:rPr>
        <w:t>Human agreement was calculated with raw agreement and Cohen's kappa. Four-way agreement</w:t>
      </w:r>
      <w:r w:rsidRPr="002C7554">
        <w:rPr>
          <w:rFonts w:cs="Times New Roman"/>
        </w:rPr>
        <w:t xml:space="preserve"> captures the most demanding distinction. Gate agreement collapses augmentation, task automation, and replacement into a single activated category. Three-way agreement combines task automation and replacement into a replacement-oriented category. The confu</w:t>
      </w:r>
      <w:r w:rsidRPr="002C7554">
        <w:rPr>
          <w:rFonts w:cs="Times New Roman"/>
        </w:rPr>
        <w:t>sion matrix and label distributions are shown in Supplementary Table S5.</w:t>
      </w:r>
    </w:p>
    <w:p w:rsidR="00F02A46" w:rsidRPr="002C7554" w:rsidRDefault="00B96669">
      <w:pPr>
        <w:pStyle w:val="21"/>
        <w:rPr>
          <w:rFonts w:ascii="Times New Roman" w:hAnsi="Times New Roman" w:cs="Times New Roman"/>
        </w:rPr>
      </w:pPr>
      <w:r w:rsidRPr="002C7554">
        <w:rPr>
          <w:rFonts w:ascii="Times New Roman" w:hAnsi="Times New Roman" w:cs="Times New Roman"/>
        </w:rPr>
        <w:t>Classifier training and evaluation</w:t>
      </w:r>
    </w:p>
    <w:p w:rsidR="00F02A46" w:rsidRPr="002C7554" w:rsidRDefault="00B96669">
      <w:pPr>
        <w:rPr>
          <w:rFonts w:cs="Times New Roman"/>
        </w:rPr>
      </w:pPr>
      <w:r w:rsidRPr="002C7554">
        <w:rPr>
          <w:rFonts w:cs="Times New Roman"/>
        </w:rPr>
        <w:t xml:space="preserve">The base model was </w:t>
      </w:r>
      <w:r w:rsidRPr="002C7554">
        <w:rPr>
          <w:rFonts w:eastAsia="Courier New" w:cs="Times New Roman"/>
          <w:sz w:val="20"/>
        </w:rPr>
        <w:t>roberta-base</w:t>
      </w:r>
      <w:r w:rsidRPr="002C7554">
        <w:rPr>
          <w:rFonts w:cs="Times New Roman"/>
        </w:rPr>
        <w:t xml:space="preserve"> with a four-class sequence-classification head. Each input concatenated an occupation token, left context, a marked </w:t>
      </w:r>
      <w:r w:rsidRPr="002C7554">
        <w:rPr>
          <w:rFonts w:cs="Times New Roman"/>
        </w:rPr>
        <w:t xml:space="preserve">target term, and right context. Inputs were truncated at 192 word-piece tokens. A single 80/20 split was stratified by strict frame label with random seed 0. The split was not grouped by document or text cluster; near-duplicate passages may therefore make </w:t>
      </w:r>
      <w:r w:rsidRPr="002C7554">
        <w:rPr>
          <w:rFonts w:cs="Times New Roman"/>
        </w:rPr>
        <w:t>the held-out metrics optimistic.</w:t>
      </w:r>
    </w:p>
    <w:p w:rsidR="00F02A46" w:rsidRPr="002C7554" w:rsidRDefault="00B96669">
      <w:pPr>
        <w:rPr>
          <w:rFonts w:cs="Times New Roman"/>
        </w:rPr>
      </w:pPr>
      <w:r w:rsidRPr="002C7554">
        <w:rPr>
          <w:rFonts w:cs="Times New Roman"/>
        </w:rPr>
        <w:lastRenderedPageBreak/>
        <w:t>Within the training split, minority classes were oversampled to the majority-class count. The loss was class-weighted cross-entropy with weights inversely proportional to class frequency. Optimisation used AdamW, a linear l</w:t>
      </w:r>
      <w:r w:rsidRPr="002C7554">
        <w:rPr>
          <w:rFonts w:cs="Times New Roman"/>
        </w:rPr>
        <w:t>earning-rate schedule, learning rate 2 x 10^-5, training batch size 16, evaluation batch size 32, and five epochs. No early stopping or validation-based checkpoint selection was used; the final epoch was retained. A deployment model was then trained on all</w:t>
      </w:r>
      <w:r w:rsidRPr="002C7554">
        <w:rPr>
          <w:rFonts w:cs="Times New Roman"/>
        </w:rPr>
        <w:t xml:space="preserve"> 602 passages with identical settings.</w:t>
      </w:r>
    </w:p>
    <w:p w:rsidR="00F02A46" w:rsidRPr="002C7554" w:rsidRDefault="00B96669">
      <w:pPr>
        <w:rPr>
          <w:rFonts w:cs="Times New Roman"/>
        </w:rPr>
      </w:pPr>
      <w:r w:rsidRPr="002C7554">
        <w:rPr>
          <w:rFonts w:cs="Times New Roman"/>
        </w:rPr>
        <w:t>The reported ranges reflect repeated training under residual non-determinism at fixed seed. Software versions were Transformers 5.12.1, PyTorch 2.12.1, Datasets 5.0.0, Accelerate 1.14.0, scikit-learn 1.9.0, and Python</w:t>
      </w:r>
      <w:r w:rsidRPr="002C7554">
        <w:rPr>
          <w:rFonts w:cs="Times New Roman"/>
        </w:rPr>
        <w:t xml:space="preserve"> 3.13. No large-language-model-generated labels were retained. Supplementary Table S6 reports held-out performance.</w:t>
      </w:r>
    </w:p>
    <w:p w:rsidR="00F02A46" w:rsidRPr="002C7554" w:rsidRDefault="00B96669">
      <w:pPr>
        <w:pStyle w:val="21"/>
        <w:rPr>
          <w:rFonts w:ascii="Times New Roman" w:hAnsi="Times New Roman" w:cs="Times New Roman"/>
        </w:rPr>
      </w:pPr>
      <w:r w:rsidRPr="002C7554">
        <w:rPr>
          <w:rFonts w:ascii="Times New Roman" w:hAnsi="Times New Roman" w:cs="Times New Roman"/>
        </w:rPr>
        <w:t>Derived outcomes</w:t>
      </w:r>
    </w:p>
    <w:p w:rsidR="00F02A46" w:rsidRPr="002C7554" w:rsidRDefault="00B96669">
      <w:pPr>
        <w:rPr>
          <w:rFonts w:cs="Times New Roman"/>
        </w:rPr>
      </w:pPr>
      <w:r w:rsidRPr="002C7554">
        <w:rPr>
          <w:rFonts w:cs="Times New Roman"/>
        </w:rPr>
        <w:t>Activation equals one when the predicted frame is augmentation, task automation, or replacement. Replacement-oriented frami</w:t>
      </w:r>
      <w:r w:rsidRPr="002C7554">
        <w:rPr>
          <w:rFonts w:cs="Times New Roman"/>
        </w:rPr>
        <w:t>ng equals one for task automation or replacement and is defined only among activated passages. Replacement-only framing equals one for replacement and is also defined only among activated passages. The distinction prevents task-level compression from being</w:t>
      </w:r>
      <w:r w:rsidRPr="002C7554">
        <w:rPr>
          <w:rFonts w:cs="Times New Roman"/>
        </w:rPr>
        <w:t xml:space="preserve"> treated as equivalent to the claimed disappearance of a role.</w:t>
      </w:r>
    </w:p>
    <w:p w:rsidR="00F02A46" w:rsidRPr="002C7554" w:rsidRDefault="00B96669">
      <w:pPr>
        <w:pStyle w:val="21"/>
        <w:rPr>
          <w:rFonts w:ascii="Times New Roman" w:hAnsi="Times New Roman" w:cs="Times New Roman"/>
        </w:rPr>
      </w:pPr>
      <w:r w:rsidRPr="002C7554">
        <w:rPr>
          <w:rFonts w:ascii="Times New Roman" w:hAnsi="Times New Roman" w:cs="Times New Roman"/>
        </w:rPr>
        <w:t>Career-stage, prestige, task-structure, and generative-AI cues</w:t>
      </w:r>
    </w:p>
    <w:p w:rsidR="00F02A46" w:rsidRPr="002C7554" w:rsidRDefault="00B96669">
      <w:pPr>
        <w:rPr>
          <w:rFonts w:cs="Times New Roman"/>
        </w:rPr>
      </w:pPr>
      <w:r w:rsidRPr="002C7554">
        <w:rPr>
          <w:rFonts w:cs="Times New Roman"/>
        </w:rPr>
        <w:t xml:space="preserve">Career-stage cues were searched within five tokens of the occupation. Core low-stage cues included </w:t>
      </w:r>
      <w:r w:rsidRPr="002C7554">
        <w:rPr>
          <w:rFonts w:cs="Times New Roman"/>
          <w:i/>
        </w:rPr>
        <w:t>junior</w:t>
      </w:r>
      <w:r w:rsidRPr="002C7554">
        <w:rPr>
          <w:rFonts w:cs="Times New Roman"/>
        </w:rPr>
        <w:t xml:space="preserve">, </w:t>
      </w:r>
      <w:r w:rsidRPr="002C7554">
        <w:rPr>
          <w:rFonts w:cs="Times New Roman"/>
          <w:i/>
        </w:rPr>
        <w:t>entry-level</w:t>
      </w:r>
      <w:r w:rsidRPr="002C7554">
        <w:rPr>
          <w:rFonts w:cs="Times New Roman"/>
        </w:rPr>
        <w:t xml:space="preserve">, </w:t>
      </w:r>
      <w:r w:rsidRPr="002C7554">
        <w:rPr>
          <w:rFonts w:cs="Times New Roman"/>
          <w:i/>
        </w:rPr>
        <w:t>trainee</w:t>
      </w:r>
      <w:r w:rsidRPr="002C7554">
        <w:rPr>
          <w:rFonts w:cs="Times New Roman"/>
        </w:rPr>
        <w:t>, a</w:t>
      </w:r>
      <w:r w:rsidRPr="002C7554">
        <w:rPr>
          <w:rFonts w:cs="Times New Roman"/>
        </w:rPr>
        <w:t xml:space="preserve">nd </w:t>
      </w:r>
      <w:r w:rsidRPr="002C7554">
        <w:rPr>
          <w:rFonts w:cs="Times New Roman"/>
          <w:i/>
        </w:rPr>
        <w:t>intern</w:t>
      </w:r>
      <w:r w:rsidRPr="002C7554">
        <w:rPr>
          <w:rFonts w:cs="Times New Roman"/>
        </w:rPr>
        <w:t xml:space="preserve">; core high-stage cues included </w:t>
      </w:r>
      <w:r w:rsidRPr="002C7554">
        <w:rPr>
          <w:rFonts w:cs="Times New Roman"/>
          <w:i/>
        </w:rPr>
        <w:t>senior</w:t>
      </w:r>
      <w:r w:rsidRPr="002C7554">
        <w:rPr>
          <w:rFonts w:cs="Times New Roman"/>
        </w:rPr>
        <w:t xml:space="preserve">, </w:t>
      </w:r>
      <w:r w:rsidRPr="002C7554">
        <w:rPr>
          <w:rFonts w:cs="Times New Roman"/>
          <w:i/>
        </w:rPr>
        <w:t>lead</w:t>
      </w:r>
      <w:r w:rsidRPr="002C7554">
        <w:rPr>
          <w:rFonts w:cs="Times New Roman"/>
        </w:rPr>
        <w:t xml:space="preserve">, and </w:t>
      </w:r>
      <w:r w:rsidRPr="002C7554">
        <w:rPr>
          <w:rFonts w:cs="Times New Roman"/>
          <w:i/>
        </w:rPr>
        <w:t>principal</w:t>
      </w:r>
      <w:r w:rsidRPr="002C7554">
        <w:rPr>
          <w:rFonts w:cs="Times New Roman"/>
        </w:rPr>
        <w:t xml:space="preserve">. Ambiguous descriptors such as </w:t>
      </w:r>
      <w:r w:rsidRPr="002C7554">
        <w:rPr>
          <w:rFonts w:cs="Times New Roman"/>
          <w:i/>
        </w:rPr>
        <w:t>assistant</w:t>
      </w:r>
      <w:r w:rsidRPr="002C7554">
        <w:rPr>
          <w:rFonts w:cs="Times New Roman"/>
        </w:rPr>
        <w:t xml:space="preserve">, </w:t>
      </w:r>
      <w:r w:rsidRPr="002C7554">
        <w:rPr>
          <w:rFonts w:cs="Times New Roman"/>
          <w:i/>
        </w:rPr>
        <w:t>associate</w:t>
      </w:r>
      <w:r w:rsidRPr="002C7554">
        <w:rPr>
          <w:rFonts w:cs="Times New Roman"/>
        </w:rPr>
        <w:t xml:space="preserve">, </w:t>
      </w:r>
      <w:r w:rsidRPr="002C7554">
        <w:rPr>
          <w:rFonts w:cs="Times New Roman"/>
          <w:i/>
        </w:rPr>
        <w:t>manager</w:t>
      </w:r>
      <w:r w:rsidRPr="002C7554">
        <w:rPr>
          <w:rFonts w:cs="Times New Roman"/>
        </w:rPr>
        <w:t xml:space="preserve">, and </w:t>
      </w:r>
      <w:r w:rsidRPr="002C7554">
        <w:rPr>
          <w:rFonts w:cs="Times New Roman"/>
          <w:i/>
        </w:rPr>
        <w:t>executive</w:t>
      </w:r>
      <w:r w:rsidRPr="002C7554">
        <w:rPr>
          <w:rFonts w:cs="Times New Roman"/>
        </w:rPr>
        <w:t xml:space="preserve"> were not used in the formal measure. Exact machine-readable token patterns and inflection rules are included in</w:t>
      </w:r>
      <w:r w:rsidRPr="002C7554">
        <w:rPr>
          <w:rFonts w:cs="Times New Roman"/>
        </w:rPr>
        <w:t xml:space="preserve"> the replication package. Supplementary Table S3 reports the human-readable cue families.</w:t>
      </w:r>
    </w:p>
    <w:p w:rsidR="00F02A46" w:rsidRPr="002C7554" w:rsidRDefault="00B96669">
      <w:pPr>
        <w:rPr>
          <w:rFonts w:cs="Times New Roman"/>
        </w:rPr>
      </w:pPr>
      <w:r w:rsidRPr="002C7554">
        <w:rPr>
          <w:rFonts w:cs="Times New Roman"/>
        </w:rPr>
        <w:t xml:space="preserve">Prestige was measured independently with low-status descriptors such as </w:t>
      </w:r>
      <w:r w:rsidRPr="002C7554">
        <w:rPr>
          <w:rFonts w:cs="Times New Roman"/>
          <w:i/>
        </w:rPr>
        <w:t>aspiring</w:t>
      </w:r>
      <w:r w:rsidRPr="002C7554">
        <w:rPr>
          <w:rFonts w:cs="Times New Roman"/>
        </w:rPr>
        <w:t xml:space="preserve">, </w:t>
      </w:r>
      <w:r w:rsidRPr="002C7554">
        <w:rPr>
          <w:rFonts w:cs="Times New Roman"/>
          <w:i/>
        </w:rPr>
        <w:t>freelance</w:t>
      </w:r>
      <w:r w:rsidRPr="002C7554">
        <w:rPr>
          <w:rFonts w:cs="Times New Roman"/>
        </w:rPr>
        <w:t xml:space="preserve">, and </w:t>
      </w:r>
      <w:r w:rsidRPr="002C7554">
        <w:rPr>
          <w:rFonts w:cs="Times New Roman"/>
          <w:i/>
        </w:rPr>
        <w:t>amateur</w:t>
      </w:r>
      <w:r w:rsidRPr="002C7554">
        <w:rPr>
          <w:rFonts w:cs="Times New Roman"/>
        </w:rPr>
        <w:t xml:space="preserve">, and high-status descriptors such as </w:t>
      </w:r>
      <w:r w:rsidRPr="002C7554">
        <w:rPr>
          <w:rFonts w:cs="Times New Roman"/>
          <w:i/>
        </w:rPr>
        <w:t>acclaimed</w:t>
      </w:r>
      <w:r w:rsidRPr="002C7554">
        <w:rPr>
          <w:rFonts w:cs="Times New Roman"/>
        </w:rPr>
        <w:t xml:space="preserve">, </w:t>
      </w:r>
      <w:r w:rsidRPr="002C7554">
        <w:rPr>
          <w:rFonts w:cs="Times New Roman"/>
          <w:i/>
        </w:rPr>
        <w:t>elite</w:t>
      </w:r>
      <w:r w:rsidRPr="002C7554">
        <w:rPr>
          <w:rFonts w:cs="Times New Roman"/>
        </w:rPr>
        <w:t xml:space="preserve">, and </w:t>
      </w:r>
      <w:r w:rsidRPr="002C7554">
        <w:rPr>
          <w:rFonts w:cs="Times New Roman"/>
          <w:i/>
        </w:rPr>
        <w:t>re</w:t>
      </w:r>
      <w:r w:rsidRPr="002C7554">
        <w:rPr>
          <w:rFonts w:cs="Times New Roman"/>
          <w:i/>
        </w:rPr>
        <w:t>nowned</w:t>
      </w:r>
      <w:r w:rsidRPr="002C7554">
        <w:rPr>
          <w:rFonts w:cs="Times New Roman"/>
        </w:rPr>
        <w:t xml:space="preserve">. Task structure used routine descriptors such as </w:t>
      </w:r>
      <w:r w:rsidRPr="002C7554">
        <w:rPr>
          <w:rFonts w:cs="Times New Roman"/>
          <w:i/>
        </w:rPr>
        <w:t>routine</w:t>
      </w:r>
      <w:r w:rsidRPr="002C7554">
        <w:rPr>
          <w:rFonts w:cs="Times New Roman"/>
        </w:rPr>
        <w:t xml:space="preserve">, </w:t>
      </w:r>
      <w:r w:rsidRPr="002C7554">
        <w:rPr>
          <w:rFonts w:cs="Times New Roman"/>
          <w:i/>
        </w:rPr>
        <w:t>repetitive</w:t>
      </w:r>
      <w:r w:rsidRPr="002C7554">
        <w:rPr>
          <w:rFonts w:cs="Times New Roman"/>
        </w:rPr>
        <w:t xml:space="preserve">, </w:t>
      </w:r>
      <w:r w:rsidRPr="002C7554">
        <w:rPr>
          <w:rFonts w:cs="Times New Roman"/>
          <w:i/>
        </w:rPr>
        <w:t>standardised</w:t>
      </w:r>
      <w:r w:rsidRPr="002C7554">
        <w:rPr>
          <w:rFonts w:cs="Times New Roman"/>
        </w:rPr>
        <w:t xml:space="preserve">, and </w:t>
      </w:r>
      <w:r w:rsidRPr="002C7554">
        <w:rPr>
          <w:rFonts w:cs="Times New Roman"/>
          <w:i/>
        </w:rPr>
        <w:t>rule-bound</w:t>
      </w:r>
      <w:r w:rsidRPr="002C7554">
        <w:rPr>
          <w:rFonts w:cs="Times New Roman"/>
        </w:rPr>
        <w:t>, and expert descriptors referring to judgement or expertise. The stage and prestige systems overlapped in 23 passages.</w:t>
      </w:r>
    </w:p>
    <w:p w:rsidR="00F02A46" w:rsidRPr="002C7554" w:rsidRDefault="00B96669">
      <w:pPr>
        <w:rPr>
          <w:rFonts w:cs="Times New Roman"/>
        </w:rPr>
      </w:pPr>
      <w:r w:rsidRPr="002C7554">
        <w:rPr>
          <w:rFonts w:cs="Times New Roman"/>
        </w:rPr>
        <w:t xml:space="preserve">The explicit generative-AI </w:t>
      </w:r>
      <w:r w:rsidRPr="002C7554">
        <w:rPr>
          <w:rFonts w:cs="Times New Roman"/>
        </w:rPr>
        <w:t>indicator identified POST passages naming ChatGPT, GPT, LLM or large language model, or generative AI. It indicates explicit textual invocation and is not a measure of technological exposure.</w:t>
      </w:r>
    </w:p>
    <w:p w:rsidR="00F02A46" w:rsidRPr="002C7554" w:rsidRDefault="00B96669">
      <w:pPr>
        <w:pStyle w:val="21"/>
        <w:rPr>
          <w:rFonts w:ascii="Times New Roman" w:hAnsi="Times New Roman" w:cs="Times New Roman"/>
        </w:rPr>
      </w:pPr>
      <w:r w:rsidRPr="002C7554">
        <w:rPr>
          <w:rFonts w:ascii="Times New Roman" w:hAnsi="Times New Roman" w:cs="Times New Roman"/>
        </w:rPr>
        <w:lastRenderedPageBreak/>
        <w:t>Statistical specifications</w:t>
      </w:r>
    </w:p>
    <w:p w:rsidR="00F02A46" w:rsidRPr="002C7554" w:rsidRDefault="00B96669">
      <w:pPr>
        <w:rPr>
          <w:rFonts w:cs="Times New Roman"/>
        </w:rPr>
      </w:pPr>
      <w:r w:rsidRPr="002C7554">
        <w:rPr>
          <w:rFonts w:cs="Times New Roman"/>
        </w:rPr>
        <w:t xml:space="preserve">Linear probability models were used </w:t>
      </w:r>
      <w:r w:rsidRPr="002C7554">
        <w:rPr>
          <w:rFonts w:cs="Times New Roman"/>
        </w:rPr>
        <w:t>for binary outcomes. Coefficients are reported as proportions in tables and percentage points in prose. Tests were two-sided. Exact P values are reported at or above 0.001; smaller values are reported as P &lt; 0.001. Source-clustered standard errors were use</w:t>
      </w:r>
      <w:r w:rsidRPr="002C7554">
        <w:rPr>
          <w:rFonts w:cs="Times New Roman"/>
        </w:rPr>
        <w:t>d for domain-specific PRE-POST contrasts. Career-stage models used two-way clustering by source and normalised text cluster.</w:t>
      </w:r>
    </w:p>
    <w:p w:rsidR="00F02A46" w:rsidRPr="002C7554" w:rsidRDefault="00B96669">
      <w:pPr>
        <w:rPr>
          <w:rFonts w:cs="Times New Roman"/>
        </w:rPr>
      </w:pPr>
      <w:r w:rsidRPr="002C7554">
        <w:rPr>
          <w:rFonts w:cs="Times New Roman"/>
        </w:rPr>
        <w:t>The main stage specification included Junior, Junior x POST, occupation fixed effects, and calendar-year fixed effects. Conditional</w:t>
      </w:r>
      <w:r w:rsidRPr="002C7554">
        <w:rPr>
          <w:rFonts w:cs="Times New Roman"/>
        </w:rPr>
        <w:t xml:space="preserve"> frame models were estimated only among activated passages. The stronger within-cell model included occupation-by-year fixed effects and retained cells containing both career stages. Routine and prestige models replaced Junior with their respective low-cat</w:t>
      </w:r>
      <w:r w:rsidRPr="002C7554">
        <w:rPr>
          <w:rFonts w:cs="Times New Roman"/>
        </w:rPr>
        <w:t>egory indicator. Sector tests were adjusted with the Benjamini-Hochberg procedure.</w:t>
      </w:r>
    </w:p>
    <w:p w:rsidR="00F02A46" w:rsidRPr="002C7554" w:rsidRDefault="00B96669">
      <w:pPr>
        <w:rPr>
          <w:rFonts w:cs="Times New Roman"/>
        </w:rPr>
      </w:pPr>
      <w:r w:rsidRPr="002C7554">
        <w:rPr>
          <w:rFonts w:cs="Times New Roman"/>
        </w:rPr>
        <w:t>The shift-share decomposition used activated news units. For each occupation and era, s was the occupation's share of activated mentions and r its replacement-oriented rate.</w:t>
      </w:r>
      <w:r w:rsidRPr="002C7554">
        <w:rPr>
          <w:rFonts w:cs="Times New Roman"/>
        </w:rPr>
        <w:t xml:space="preserve"> Following the accounting identity defined in the Methods, the aggregate change was partitioned into a within-occupation term (PRE shares multiplied by rate changes), a compositional term (PRE rates multiplied by share changes), and their interaction. Occu</w:t>
      </w:r>
      <w:r w:rsidRPr="002C7554">
        <w:rPr>
          <w:rFonts w:cs="Times New Roman"/>
        </w:rPr>
        <w:t>pation-level components are reported in Supplementary Table S8 and visualised in Supplementary Fig. S3.</w:t>
      </w:r>
    </w:p>
    <w:p w:rsidR="00F02A46" w:rsidRPr="002C7554" w:rsidRDefault="00B96669">
      <w:pPr>
        <w:pStyle w:val="21"/>
        <w:rPr>
          <w:rFonts w:ascii="Times New Roman" w:hAnsi="Times New Roman" w:cs="Times New Roman"/>
        </w:rPr>
      </w:pPr>
      <w:r w:rsidRPr="002C7554">
        <w:rPr>
          <w:rFonts w:ascii="Times New Roman" w:hAnsi="Times New Roman" w:cs="Times New Roman"/>
        </w:rPr>
        <w:t>Cue masking</w:t>
      </w:r>
    </w:p>
    <w:p w:rsidR="00F02A46" w:rsidRPr="002C7554" w:rsidRDefault="00B96669">
      <w:pPr>
        <w:rPr>
          <w:rFonts w:cs="Times New Roman"/>
        </w:rPr>
      </w:pPr>
      <w:r w:rsidRPr="002C7554">
        <w:rPr>
          <w:rFonts w:cs="Times New Roman"/>
        </w:rPr>
        <w:t xml:space="preserve">To test lexical shortcutting, all career-stage and task-structure cue tokens were replaced with </w:t>
      </w:r>
      <w:r w:rsidRPr="002C7554">
        <w:rPr>
          <w:rFonts w:eastAsia="Courier New" w:cs="Times New Roman"/>
          <w:sz w:val="20"/>
        </w:rPr>
        <w:t>[MASK]</w:t>
      </w:r>
      <w:r w:rsidRPr="002C7554">
        <w:rPr>
          <w:rFonts w:cs="Times New Roman"/>
        </w:rPr>
        <w:t xml:space="preserve"> before inference with the saved deplo</w:t>
      </w:r>
      <w:r w:rsidRPr="002C7554">
        <w:rPr>
          <w:rFonts w:cs="Times New Roman"/>
        </w:rPr>
        <w:t>yment classifier. The regressions were then re-estimated using the masked predictions. Masking removes the direct cue while preserving the surrounding representation of AI's relation to the occupation.</w:t>
      </w:r>
    </w:p>
    <w:p w:rsidR="00F02A46" w:rsidRPr="002C7554" w:rsidRDefault="00B96669">
      <w:pPr>
        <w:pStyle w:val="21"/>
        <w:rPr>
          <w:rFonts w:ascii="Times New Roman" w:hAnsi="Times New Roman" w:cs="Times New Roman"/>
        </w:rPr>
      </w:pPr>
      <w:r w:rsidRPr="002C7554">
        <w:rPr>
          <w:rFonts w:ascii="Times New Roman" w:hAnsi="Times New Roman" w:cs="Times New Roman"/>
        </w:rPr>
        <w:t>Matched human replication</w:t>
      </w:r>
    </w:p>
    <w:p w:rsidR="00F02A46" w:rsidRPr="002C7554" w:rsidRDefault="00B96669">
      <w:pPr>
        <w:rPr>
          <w:rFonts w:cs="Times New Roman"/>
        </w:rPr>
      </w:pPr>
      <w:r w:rsidRPr="002C7554">
        <w:rPr>
          <w:rFonts w:cs="Times New Roman"/>
        </w:rPr>
        <w:t>The replication sample conta</w:t>
      </w:r>
      <w:r w:rsidRPr="002C7554">
        <w:rPr>
          <w:rFonts w:cs="Times New Roman"/>
        </w:rPr>
        <w:t>ined 204 junior-senior pairs matched on occupation and year. Stage cues, source, and year were masked, and the 408 passages were randomised. Two human coders labelled the passages independently and without the matching key. Strict labels were constructed u</w:t>
      </w:r>
      <w:r w:rsidRPr="002C7554">
        <w:rPr>
          <w:rFonts w:cs="Times New Roman"/>
        </w:rPr>
        <w:t>sing the same conservative rule as in the broad validation set. Exact McNemar tests compared discordant pairs for activation, replacement-oriented framing, and replacement-only framing.</w:t>
      </w:r>
    </w:p>
    <w:p w:rsidR="00F02A46" w:rsidRPr="002C7554" w:rsidRDefault="00B96669">
      <w:pPr>
        <w:pStyle w:val="1"/>
        <w:rPr>
          <w:rFonts w:ascii="Times New Roman" w:hAnsi="Times New Roman" w:cs="Times New Roman"/>
        </w:rPr>
      </w:pPr>
      <w:r w:rsidRPr="002C7554">
        <w:rPr>
          <w:rFonts w:ascii="Times New Roman" w:hAnsi="Times New Roman" w:cs="Times New Roman"/>
        </w:rPr>
        <w:lastRenderedPageBreak/>
        <w:t>Supplementary Tables</w:t>
      </w:r>
    </w:p>
    <w:p w:rsidR="00F02A46" w:rsidRPr="002C7554" w:rsidRDefault="00B96669">
      <w:pPr>
        <w:pStyle w:val="TableCaption"/>
        <w:rPr>
          <w:rFonts w:cs="Times New Roman"/>
        </w:rPr>
      </w:pPr>
      <w:r w:rsidRPr="002C7554">
        <w:rPr>
          <w:rFonts w:cs="Times New Roman"/>
        </w:rPr>
        <w:t>Supplementary Table S1. Corpus retrieval, queries</w:t>
      </w:r>
      <w:r w:rsidRPr="002C7554">
        <w:rPr>
          <w:rFonts w:cs="Times New Roman"/>
        </w:rPr>
        <w:t>, and temporal coverage</w:t>
      </w:r>
    </w:p>
    <w:tbl>
      <w:tblPr>
        <w:tblStyle w:val="af9"/>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1080"/>
        <w:gridCol w:w="3096"/>
        <w:gridCol w:w="4968"/>
      </w:tblGrid>
      <w:tr w:rsidR="00F02A46" w:rsidRPr="002C7554">
        <w:trPr>
          <w:cantSplit/>
          <w:tblHeader/>
          <w:jc w:val="center"/>
        </w:trPr>
        <w:tc>
          <w:tcPr>
            <w:tcW w:w="1080"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Corpus</w:t>
            </w:r>
          </w:p>
        </w:tc>
        <w:tc>
          <w:tcPr>
            <w:tcW w:w="3096"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Retrieval details</w:t>
            </w:r>
          </w:p>
        </w:tc>
        <w:tc>
          <w:tcPr>
            <w:tcW w:w="4968"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Search expression and filters</w:t>
            </w:r>
          </w:p>
        </w:tc>
      </w:tr>
      <w:tr w:rsidR="00F02A46" w:rsidRPr="002C7554">
        <w:trPr>
          <w:cantSplit/>
          <w:jc w:val="center"/>
        </w:trPr>
        <w:tc>
          <w:tcPr>
            <w:tcW w:w="108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5"/>
              </w:rPr>
              <w:t>News</w:t>
            </w:r>
          </w:p>
        </w:tc>
        <w:tc>
          <w:tcPr>
            <w:tcW w:w="309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ProQuest Text and Data Mining; retrieved 22 June 2026; document type restricted to newspapers and news; no language restriction; raw n = 446,417.</w:t>
            </w:r>
          </w:p>
        </w:tc>
        <w:tc>
          <w:tcPr>
            <w:tcW w:w="496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 xml:space="preserve">("artificial </w:t>
            </w:r>
            <w:r w:rsidRPr="002C7554">
              <w:rPr>
                <w:rFonts w:cs="Times New Roman"/>
                <w:sz w:val="15"/>
              </w:rPr>
              <w:t xml:space="preserve">intelligence" OR "generative AI" OR "generative artificial intelligence" OR "machine learning" OR "deep learning" OR ChatGPT OR "large language model*" OR LLM) AND (job OR jobs OR work OR worker* OR workforce OR employment OR occupation* OR profession* OR </w:t>
            </w:r>
            <w:r w:rsidRPr="002C7554">
              <w:rPr>
                <w:rFonts w:cs="Times New Roman"/>
                <w:sz w:val="15"/>
              </w:rPr>
              <w:t>career* OR "labor market" OR "labour market" OR automation OR "future of work" OR layoff* OR reskill* OR upskill* OR "replace* worker*").</w:t>
            </w:r>
          </w:p>
        </w:tc>
      </w:tr>
    </w:tbl>
    <w:p w:rsidR="00F02A46" w:rsidRPr="002C7554" w:rsidRDefault="00F02A46">
      <w:pPr>
        <w:spacing w:line="240" w:lineRule="auto"/>
        <w:ind w:firstLine="0"/>
        <w:rPr>
          <w:rFonts w:cs="Times New Roman"/>
        </w:rPr>
      </w:pPr>
    </w:p>
    <w:p w:rsidR="00F02A46" w:rsidRPr="002C7554" w:rsidRDefault="00B96669">
      <w:pPr>
        <w:pStyle w:val="TableNote"/>
        <w:rPr>
          <w:rFonts w:cs="Times New Roman"/>
        </w:rPr>
      </w:pPr>
      <w:r w:rsidRPr="002C7554">
        <w:rPr>
          <w:rFonts w:cs="Times New Roman"/>
          <w:i/>
        </w:rPr>
        <w:t xml:space="preserve">Note: </w:t>
      </w:r>
      <w:r w:rsidRPr="002C7554">
        <w:rPr>
          <w:rFonts w:cs="Times New Roman"/>
        </w:rPr>
        <w:t xml:space="preserve">The analytical periods are EARLY (2010-2017), PRE (2018-2021), and POST (2023-2025). The transition year 2022 </w:t>
      </w:r>
      <w:r w:rsidRPr="002C7554">
        <w:rPr>
          <w:rFonts w:cs="Times New Roman"/>
        </w:rPr>
        <w:t>is omitted from the primary comparison and reassigned in sensitivity analyses. Raw coverage extends beyond the analytical periods.</w:t>
      </w:r>
    </w:p>
    <w:p w:rsidR="00F02A46" w:rsidRPr="002C7554" w:rsidRDefault="00B96669">
      <w:pPr>
        <w:pStyle w:val="TableCaption"/>
        <w:rPr>
          <w:rFonts w:cs="Times New Roman"/>
        </w:rPr>
      </w:pPr>
      <w:r w:rsidRPr="002C7554">
        <w:rPr>
          <w:rFonts w:cs="Times New Roman"/>
        </w:rPr>
        <w:t>Supplementary Table S2. Occupation dictionary and sector mapping</w:t>
      </w:r>
    </w:p>
    <w:tbl>
      <w:tblPr>
        <w:tblStyle w:val="af9"/>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1656"/>
        <w:gridCol w:w="4824"/>
        <w:gridCol w:w="2664"/>
      </w:tblGrid>
      <w:tr w:rsidR="00F02A46" w:rsidRPr="002C7554">
        <w:trPr>
          <w:cantSplit/>
          <w:tblHeader/>
          <w:jc w:val="center"/>
        </w:trPr>
        <w:tc>
          <w:tcPr>
            <w:tcW w:w="1656"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Sector</w:t>
            </w:r>
          </w:p>
        </w:tc>
        <w:tc>
          <w:tcPr>
            <w:tcW w:w="4824"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Occupation terms</w:t>
            </w:r>
          </w:p>
        </w:tc>
        <w:tc>
          <w:tcPr>
            <w:tcW w:w="2664"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Main-analysis note</w:t>
            </w:r>
          </w:p>
        </w:tc>
      </w:tr>
      <w:tr w:rsidR="00F02A46" w:rsidRPr="002C7554">
        <w:trPr>
          <w:cantSplit/>
          <w:jc w:val="center"/>
        </w:trPr>
        <w:tc>
          <w:tcPr>
            <w:tcW w:w="165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Business/Finance</w:t>
            </w:r>
          </w:p>
        </w:tc>
        <w:tc>
          <w:tcPr>
            <w:tcW w:w="482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accountant; auditor; banker; broker; CEO; consultant; executive; manager</w:t>
            </w:r>
          </w:p>
        </w:tc>
        <w:tc>
          <w:tcPr>
            <w:tcW w:w="266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banker, CEO, executive, and manager excluded from main aggregate comparisons</w:t>
            </w:r>
          </w:p>
        </w:tc>
      </w:tr>
      <w:tr w:rsidR="00F02A46" w:rsidRPr="002C7554">
        <w:trPr>
          <w:cantSplit/>
          <w:jc w:val="center"/>
        </w:trPr>
        <w:tc>
          <w:tcPr>
            <w:tcW w:w="165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Creative/Media</w:t>
            </w:r>
          </w:p>
        </w:tc>
        <w:tc>
          <w:tcPr>
            <w:tcW w:w="482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actor; artist; author; designer; editor; journalist; musician; reporter; writer</w:t>
            </w:r>
          </w:p>
        </w:tc>
        <w:tc>
          <w:tcPr>
            <w:tcW w:w="266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 xml:space="preserve">author </w:t>
            </w:r>
            <w:r w:rsidRPr="002C7554">
              <w:rPr>
                <w:rFonts w:cs="Times New Roman"/>
                <w:sz w:val="16"/>
              </w:rPr>
              <w:t>excluded from main aggregate comparisons</w:t>
            </w:r>
          </w:p>
        </w:tc>
      </w:tr>
      <w:tr w:rsidR="00F02A46" w:rsidRPr="002C7554">
        <w:trPr>
          <w:cantSplit/>
          <w:jc w:val="center"/>
        </w:trPr>
        <w:tc>
          <w:tcPr>
            <w:tcW w:w="165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Education</w:t>
            </w:r>
          </w:p>
        </w:tc>
        <w:tc>
          <w:tcPr>
            <w:tcW w:w="482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academic; educator; instructor; lecturer; professor; teacher; tutor</w:t>
            </w:r>
          </w:p>
        </w:tc>
        <w:tc>
          <w:tcPr>
            <w:tcW w:w="266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retained</w:t>
            </w:r>
          </w:p>
        </w:tc>
      </w:tr>
      <w:tr w:rsidR="00F02A46" w:rsidRPr="002C7554">
        <w:trPr>
          <w:cantSplit/>
          <w:jc w:val="center"/>
        </w:trPr>
        <w:tc>
          <w:tcPr>
            <w:tcW w:w="165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Healthcare</w:t>
            </w:r>
          </w:p>
        </w:tc>
        <w:tc>
          <w:tcPr>
            <w:tcW w:w="482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doctor; nurse; physician; surgeon; therapist</w:t>
            </w:r>
          </w:p>
        </w:tc>
        <w:tc>
          <w:tcPr>
            <w:tcW w:w="266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retained</w:t>
            </w:r>
          </w:p>
        </w:tc>
      </w:tr>
      <w:tr w:rsidR="00F02A46" w:rsidRPr="002C7554">
        <w:trPr>
          <w:cantSplit/>
          <w:jc w:val="center"/>
        </w:trPr>
        <w:tc>
          <w:tcPr>
            <w:tcW w:w="165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Legal</w:t>
            </w:r>
          </w:p>
        </w:tc>
        <w:tc>
          <w:tcPr>
            <w:tcW w:w="482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attorney; counsel; judge; lawyer; prosecutor</w:t>
            </w:r>
          </w:p>
        </w:tc>
        <w:tc>
          <w:tcPr>
            <w:tcW w:w="266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retained</w:t>
            </w:r>
          </w:p>
        </w:tc>
      </w:tr>
      <w:tr w:rsidR="00F02A46" w:rsidRPr="002C7554">
        <w:trPr>
          <w:cantSplit/>
          <w:jc w:val="center"/>
        </w:trPr>
        <w:tc>
          <w:tcPr>
            <w:tcW w:w="165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Service/Manual</w:t>
            </w:r>
          </w:p>
        </w:tc>
        <w:tc>
          <w:tcPr>
            <w:tcW w:w="482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driver; electrician; factory worker; mechanic; plumber</w:t>
            </w:r>
          </w:p>
        </w:tc>
        <w:tc>
          <w:tcPr>
            <w:tcW w:w="266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retained</w:t>
            </w:r>
          </w:p>
        </w:tc>
      </w:tr>
      <w:tr w:rsidR="00F02A46" w:rsidRPr="002C7554">
        <w:trPr>
          <w:cantSplit/>
          <w:jc w:val="center"/>
        </w:trPr>
        <w:tc>
          <w:tcPr>
            <w:tcW w:w="165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Tech/Data</w:t>
            </w:r>
          </w:p>
        </w:tc>
        <w:tc>
          <w:tcPr>
            <w:tcW w:w="482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analyst; coder; data scientist; developer; engineer; programmer</w:t>
            </w:r>
          </w:p>
        </w:tc>
        <w:tc>
          <w:tcPr>
            <w:tcW w:w="266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retained</w:t>
            </w:r>
          </w:p>
        </w:tc>
      </w:tr>
    </w:tbl>
    <w:p w:rsidR="00F02A46" w:rsidRPr="002C7554" w:rsidRDefault="00F02A46">
      <w:pPr>
        <w:spacing w:line="240" w:lineRule="auto"/>
        <w:ind w:firstLine="0"/>
        <w:rPr>
          <w:rFonts w:cs="Times New Roman"/>
        </w:rPr>
      </w:pPr>
    </w:p>
    <w:p w:rsidR="00F02A46" w:rsidRPr="002C7554" w:rsidRDefault="00B96669">
      <w:pPr>
        <w:pStyle w:val="TableNote"/>
        <w:rPr>
          <w:rFonts w:cs="Times New Roman"/>
        </w:rPr>
      </w:pPr>
      <w:r w:rsidRPr="002C7554">
        <w:rPr>
          <w:rFonts w:cs="Times New Roman"/>
          <w:i/>
        </w:rPr>
        <w:t xml:space="preserve">Note: </w:t>
      </w:r>
      <w:r w:rsidRPr="002C7554">
        <w:rPr>
          <w:rFonts w:cs="Times New Roman"/>
        </w:rPr>
        <w:t xml:space="preserve">The dictionary contains 45 occupation terms. Inflection and matching patterns are </w:t>
      </w:r>
      <w:r w:rsidRPr="002C7554">
        <w:rPr>
          <w:rFonts w:cs="Times New Roman"/>
        </w:rPr>
        <w:t>supplied in the replication package. Passages flagged as likely non-occupational senses are excluded from principal comparisons.</w:t>
      </w:r>
    </w:p>
    <w:p w:rsidR="00F02A46" w:rsidRPr="002C7554" w:rsidRDefault="00B96669">
      <w:pPr>
        <w:pStyle w:val="TableCaption"/>
        <w:rPr>
          <w:rFonts w:cs="Times New Roman"/>
        </w:rPr>
      </w:pPr>
      <w:r w:rsidRPr="002C7554">
        <w:rPr>
          <w:rFonts w:cs="Times New Roman"/>
        </w:rPr>
        <w:t>Supplementary Table S3. Human-readable cue families</w:t>
      </w:r>
    </w:p>
    <w:tbl>
      <w:tblPr>
        <w:tblStyle w:val="af9"/>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1728"/>
        <w:gridCol w:w="2232"/>
        <w:gridCol w:w="2232"/>
        <w:gridCol w:w="2952"/>
      </w:tblGrid>
      <w:tr w:rsidR="00F02A46" w:rsidRPr="002C7554">
        <w:trPr>
          <w:cantSplit/>
          <w:tblHeader/>
          <w:jc w:val="center"/>
        </w:trPr>
        <w:tc>
          <w:tcPr>
            <w:tcW w:w="1728"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Construct</w:t>
            </w:r>
          </w:p>
        </w:tc>
        <w:tc>
          <w:tcPr>
            <w:tcW w:w="223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Low/category cues</w:t>
            </w:r>
          </w:p>
        </w:tc>
        <w:tc>
          <w:tcPr>
            <w:tcW w:w="223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High/contrast cues</w:t>
            </w:r>
          </w:p>
        </w:tc>
        <w:tc>
          <w:tcPr>
            <w:tcW w:w="295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Exclusions and interpretatio</w:t>
            </w:r>
            <w:r w:rsidRPr="002C7554">
              <w:rPr>
                <w:rFonts w:cs="Times New Roman"/>
                <w:b/>
                <w:sz w:val="15"/>
              </w:rPr>
              <w:t>n</w:t>
            </w:r>
          </w:p>
        </w:tc>
      </w:tr>
      <w:tr w:rsidR="00F02A46" w:rsidRPr="002C7554">
        <w:trPr>
          <w:cantSplit/>
          <w:jc w:val="center"/>
        </w:trPr>
        <w:tc>
          <w:tcPr>
            <w:tcW w:w="172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5"/>
              </w:rPr>
              <w:t>Formal career stage</w:t>
            </w:r>
          </w:p>
        </w:tc>
        <w:tc>
          <w:tcPr>
            <w:tcW w:w="223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junior; entry-level; trainee; intern</w:t>
            </w:r>
          </w:p>
        </w:tc>
        <w:tc>
          <w:tcPr>
            <w:tcW w:w="223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senior; lead; principal</w:t>
            </w:r>
          </w:p>
        </w:tc>
        <w:tc>
          <w:tcPr>
            <w:tcW w:w="295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Searched within five tokens of the occupation. assistant, associate, manager, and executive excluded because of ambiguity.</w:t>
            </w:r>
          </w:p>
        </w:tc>
      </w:tr>
      <w:tr w:rsidR="00F02A46" w:rsidRPr="002C7554">
        <w:trPr>
          <w:cantSplit/>
          <w:jc w:val="center"/>
        </w:trPr>
        <w:tc>
          <w:tcPr>
            <w:tcW w:w="172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5"/>
              </w:rPr>
              <w:t>Prestige / market status</w:t>
            </w:r>
          </w:p>
        </w:tc>
        <w:tc>
          <w:tcPr>
            <w:tcW w:w="223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 xml:space="preserve">aspiring; freelance; </w:t>
            </w:r>
            <w:r w:rsidRPr="002C7554">
              <w:rPr>
                <w:rFonts w:cs="Times New Roman"/>
                <w:sz w:val="15"/>
              </w:rPr>
              <w:t>amateur</w:t>
            </w:r>
          </w:p>
        </w:tc>
        <w:tc>
          <w:tcPr>
            <w:tcW w:w="223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acclaimed; elite; renowned</w:t>
            </w:r>
          </w:p>
        </w:tc>
        <w:tc>
          <w:tcPr>
            <w:tcW w:w="295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Measured separately from formal career stage; overlap = 23 mentions.</w:t>
            </w:r>
          </w:p>
        </w:tc>
      </w:tr>
      <w:tr w:rsidR="00F02A46" w:rsidRPr="002C7554">
        <w:trPr>
          <w:cantSplit/>
          <w:jc w:val="center"/>
        </w:trPr>
        <w:tc>
          <w:tcPr>
            <w:tcW w:w="172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5"/>
              </w:rPr>
              <w:t>Task structure</w:t>
            </w:r>
          </w:p>
        </w:tc>
        <w:tc>
          <w:tcPr>
            <w:tcW w:w="223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routine; repetitive; standardised; rule-bound; clerical</w:t>
            </w:r>
          </w:p>
        </w:tc>
        <w:tc>
          <w:tcPr>
            <w:tcW w:w="223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expert; expertise-intensive; judgement-intensive</w:t>
            </w:r>
          </w:p>
        </w:tc>
        <w:tc>
          <w:tcPr>
            <w:tcW w:w="295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Independent predictor axis; ter</w:t>
            </w:r>
            <w:r w:rsidRPr="002C7554">
              <w:rPr>
                <w:rFonts w:cs="Times New Roman"/>
                <w:sz w:val="15"/>
              </w:rPr>
              <w:t>ms that directly encode the outcome are not used to define task structure.</w:t>
            </w:r>
          </w:p>
        </w:tc>
      </w:tr>
      <w:tr w:rsidR="00F02A46" w:rsidRPr="002C7554">
        <w:trPr>
          <w:cantSplit/>
          <w:jc w:val="center"/>
        </w:trPr>
        <w:tc>
          <w:tcPr>
            <w:tcW w:w="172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5"/>
              </w:rPr>
              <w:t>Explicit generative AI</w:t>
            </w:r>
          </w:p>
        </w:tc>
        <w:tc>
          <w:tcPr>
            <w:tcW w:w="223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ChatGPT; GPT; generative AI; LLM; large language model</w:t>
            </w:r>
          </w:p>
        </w:tc>
        <w:tc>
          <w:tcPr>
            <w:tcW w:w="223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General-AI passage without an explicit generative cue</w:t>
            </w:r>
          </w:p>
        </w:tc>
        <w:tc>
          <w:tcPr>
            <w:tcW w:w="295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 xml:space="preserve">POST only; indicates explicit textual </w:t>
            </w:r>
            <w:r w:rsidRPr="002C7554">
              <w:rPr>
                <w:rFonts w:cs="Times New Roman"/>
                <w:sz w:val="15"/>
              </w:rPr>
              <w:t>invocation, not causal exposure.</w:t>
            </w:r>
          </w:p>
        </w:tc>
      </w:tr>
    </w:tbl>
    <w:p w:rsidR="00F02A46" w:rsidRPr="002C7554" w:rsidRDefault="00F02A46">
      <w:pPr>
        <w:spacing w:line="240" w:lineRule="auto"/>
        <w:ind w:firstLine="0"/>
        <w:rPr>
          <w:rFonts w:cs="Times New Roman"/>
        </w:rPr>
      </w:pPr>
    </w:p>
    <w:p w:rsidR="00F02A46" w:rsidRPr="002C7554" w:rsidRDefault="00B96669">
      <w:pPr>
        <w:pStyle w:val="TableNote"/>
        <w:rPr>
          <w:rFonts w:cs="Times New Roman"/>
        </w:rPr>
      </w:pPr>
      <w:r w:rsidRPr="002C7554">
        <w:rPr>
          <w:rFonts w:cs="Times New Roman"/>
          <w:i/>
        </w:rPr>
        <w:t xml:space="preserve">Note: </w:t>
      </w:r>
      <w:r w:rsidRPr="002C7554">
        <w:rPr>
          <w:rFonts w:cs="Times New Roman"/>
        </w:rPr>
        <w:t>The table reports representative human-readable cues. Exact token patterns, stems, inflections, and matching rules are included in the replication package and should be treated as the executable specification.</w:t>
      </w:r>
    </w:p>
    <w:p w:rsidR="00F02A46" w:rsidRPr="002C7554" w:rsidRDefault="00B96669">
      <w:pPr>
        <w:pStyle w:val="TableCaption"/>
        <w:rPr>
          <w:rFonts w:cs="Times New Roman"/>
        </w:rPr>
      </w:pPr>
      <w:r w:rsidRPr="002C7554">
        <w:rPr>
          <w:rFonts w:cs="Times New Roman"/>
        </w:rPr>
        <w:t>Supplementary Table S4. Coding decision rules and schematic examples</w:t>
      </w:r>
    </w:p>
    <w:tbl>
      <w:tblPr>
        <w:tblStyle w:val="af9"/>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1296"/>
        <w:gridCol w:w="3312"/>
        <w:gridCol w:w="2376"/>
        <w:gridCol w:w="2376"/>
      </w:tblGrid>
      <w:tr w:rsidR="00F02A46" w:rsidRPr="002C7554">
        <w:trPr>
          <w:cantSplit/>
          <w:tblHeader/>
          <w:jc w:val="center"/>
        </w:trPr>
        <w:tc>
          <w:tcPr>
            <w:tcW w:w="1296"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Label</w:t>
            </w:r>
          </w:p>
        </w:tc>
        <w:tc>
          <w:tcPr>
            <w:tcW w:w="331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Decision rule</w:t>
            </w:r>
          </w:p>
        </w:tc>
        <w:tc>
          <w:tcPr>
            <w:tcW w:w="2376"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Schematic positive example</w:t>
            </w:r>
          </w:p>
        </w:tc>
        <w:tc>
          <w:tcPr>
            <w:tcW w:w="2376"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Schematic exclusion / contrast</w:t>
            </w:r>
          </w:p>
        </w:tc>
      </w:tr>
      <w:tr w:rsidR="00F02A46" w:rsidRPr="002C7554">
        <w:trPr>
          <w:cantSplit/>
          <w:jc w:val="center"/>
        </w:trPr>
        <w:tc>
          <w:tcPr>
            <w:tcW w:w="129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5"/>
              </w:rPr>
              <w:t>Neutral</w:t>
            </w:r>
          </w:p>
        </w:tc>
        <w:tc>
          <w:tcPr>
            <w:tcW w:w="33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The passage does not represent the named occupation as a target of AI-related change.</w:t>
            </w:r>
          </w:p>
        </w:tc>
        <w:tc>
          <w:tcPr>
            <w:tcW w:w="237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"Researchers d</w:t>
            </w:r>
            <w:r w:rsidRPr="002C7554">
              <w:rPr>
                <w:rFonts w:cs="Times New Roman"/>
                <w:sz w:val="15"/>
              </w:rPr>
              <w:t>iscussed AI governance" when researcher is merely a source or actor.</w:t>
            </w:r>
          </w:p>
        </w:tc>
        <w:tc>
          <w:tcPr>
            <w:tcW w:w="237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A claim that AI changes how researchers perform their work is activated.</w:t>
            </w:r>
          </w:p>
        </w:tc>
      </w:tr>
      <w:tr w:rsidR="00F02A46" w:rsidRPr="002C7554">
        <w:trPr>
          <w:cantSplit/>
          <w:jc w:val="center"/>
        </w:trPr>
        <w:tc>
          <w:tcPr>
            <w:tcW w:w="129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5"/>
              </w:rPr>
              <w:lastRenderedPageBreak/>
              <w:t>Augmentation</w:t>
            </w:r>
          </w:p>
        </w:tc>
        <w:tc>
          <w:tcPr>
            <w:tcW w:w="33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 xml:space="preserve">AI assists, complements, increases capacity, or improves performance while retaining the worker or </w:t>
            </w:r>
            <w:r w:rsidRPr="002C7554">
              <w:rPr>
                <w:rFonts w:cs="Times New Roman"/>
                <w:sz w:val="15"/>
              </w:rPr>
              <w:t>role.</w:t>
            </w:r>
          </w:p>
        </w:tc>
        <w:tc>
          <w:tcPr>
            <w:tcW w:w="237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"AI helps nurses detect risks earlier."</w:t>
            </w:r>
          </w:p>
        </w:tc>
        <w:tc>
          <w:tcPr>
            <w:tcW w:w="237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AI carrying out a bounded nursing task without an assistance relation is task automation.</w:t>
            </w:r>
          </w:p>
        </w:tc>
      </w:tr>
      <w:tr w:rsidR="00F02A46" w:rsidRPr="002C7554">
        <w:trPr>
          <w:cantSplit/>
          <w:jc w:val="center"/>
        </w:trPr>
        <w:tc>
          <w:tcPr>
            <w:tcW w:w="129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5"/>
              </w:rPr>
              <w:t>Task automation</w:t>
            </w:r>
          </w:p>
        </w:tc>
        <w:tc>
          <w:tcPr>
            <w:tcW w:w="33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AI performs identifiable tasks or reduces task demand without explicitly eliminating the occupational r</w:t>
            </w:r>
            <w:r w:rsidRPr="002C7554">
              <w:rPr>
                <w:rFonts w:cs="Times New Roman"/>
                <w:sz w:val="15"/>
              </w:rPr>
              <w:t>ole.</w:t>
            </w:r>
          </w:p>
        </w:tc>
        <w:tc>
          <w:tcPr>
            <w:tcW w:w="237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"The system drafts routine reports previously prepared by analysts."</w:t>
            </w:r>
          </w:p>
        </w:tc>
        <w:tc>
          <w:tcPr>
            <w:tcW w:w="237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A claim that analysts or their positions are no longer needed is replacement.</w:t>
            </w:r>
          </w:p>
        </w:tc>
      </w:tr>
      <w:tr w:rsidR="00F02A46" w:rsidRPr="002C7554">
        <w:trPr>
          <w:cantSplit/>
          <w:jc w:val="center"/>
        </w:trPr>
        <w:tc>
          <w:tcPr>
            <w:tcW w:w="129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5"/>
              </w:rPr>
              <w:t>Replacement</w:t>
            </w:r>
          </w:p>
        </w:tc>
        <w:tc>
          <w:tcPr>
            <w:tcW w:w="33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AI substitutes for workers, reduces demand for the role, removes positions, or makes the ro</w:t>
            </w:r>
            <w:r w:rsidRPr="002C7554">
              <w:rPr>
                <w:rFonts w:cs="Times New Roman"/>
                <w:sz w:val="15"/>
              </w:rPr>
              <w:t>le unnecessary.</w:t>
            </w:r>
          </w:p>
        </w:tc>
        <w:tc>
          <w:tcPr>
            <w:tcW w:w="237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"The tool could eliminate entry-level translator positions."</w:t>
            </w:r>
          </w:p>
        </w:tc>
        <w:tc>
          <w:tcPr>
            <w:tcW w:w="237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A claim that translators use the tool to work faster is augmentation.</w:t>
            </w:r>
          </w:p>
        </w:tc>
      </w:tr>
    </w:tbl>
    <w:p w:rsidR="00F02A46" w:rsidRPr="002C7554" w:rsidRDefault="00F02A46">
      <w:pPr>
        <w:spacing w:line="240" w:lineRule="auto"/>
        <w:ind w:firstLine="0"/>
        <w:rPr>
          <w:rFonts w:cs="Times New Roman"/>
        </w:rPr>
      </w:pPr>
    </w:p>
    <w:p w:rsidR="00F02A46" w:rsidRPr="002C7554" w:rsidRDefault="00B96669">
      <w:pPr>
        <w:pStyle w:val="TableNote"/>
        <w:rPr>
          <w:rFonts w:cs="Times New Roman"/>
        </w:rPr>
      </w:pPr>
      <w:r w:rsidRPr="002C7554">
        <w:rPr>
          <w:rFonts w:cs="Times New Roman"/>
        </w:rPr>
        <w:t xml:space="preserve">Note: Examples are schematic and are not quotations from licensed news texts. Coding first established a </w:t>
      </w:r>
      <w:r w:rsidRPr="002C7554">
        <w:rPr>
          <w:rFonts w:cs="Times New Roman"/>
        </w:rPr>
        <w:t>valid occupational sense and then applied the activation gate before assigning an activated frame.</w:t>
      </w:r>
    </w:p>
    <w:p w:rsidR="00F02A46" w:rsidRPr="002C7554" w:rsidRDefault="00B96669">
      <w:pPr>
        <w:pStyle w:val="TableCaption"/>
        <w:rPr>
          <w:rFonts w:cs="Times New Roman"/>
        </w:rPr>
      </w:pPr>
      <w:r w:rsidRPr="002C7554">
        <w:rPr>
          <w:rFonts w:cs="Times New Roman"/>
        </w:rPr>
        <w:t>Supplementary Table S5. Broad validation-set agreement and label distributions (n = 602)</w:t>
      </w:r>
    </w:p>
    <w:tbl>
      <w:tblPr>
        <w:tblStyle w:val="af9"/>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2232"/>
        <w:gridCol w:w="1512"/>
        <w:gridCol w:w="1512"/>
        <w:gridCol w:w="3816"/>
      </w:tblGrid>
      <w:tr w:rsidR="00F02A46" w:rsidRPr="002C7554">
        <w:trPr>
          <w:cantSplit/>
          <w:tblHeader/>
          <w:jc w:val="center"/>
        </w:trPr>
        <w:tc>
          <w:tcPr>
            <w:tcW w:w="223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Reliability target</w:t>
            </w:r>
          </w:p>
        </w:tc>
        <w:tc>
          <w:tcPr>
            <w:tcW w:w="151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Raw agreement</w:t>
            </w:r>
          </w:p>
        </w:tc>
        <w:tc>
          <w:tcPr>
            <w:tcW w:w="151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Cohen's kappa</w:t>
            </w:r>
          </w:p>
        </w:tc>
        <w:tc>
          <w:tcPr>
            <w:tcW w:w="3816"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Interpretation</w:t>
            </w:r>
          </w:p>
        </w:tc>
      </w:tr>
      <w:tr w:rsidR="00F02A46" w:rsidRPr="002C7554">
        <w:trPr>
          <w:cantSplit/>
          <w:jc w:val="center"/>
        </w:trPr>
        <w:tc>
          <w:tcPr>
            <w:tcW w:w="223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Four-</w:t>
            </w:r>
            <w:r w:rsidRPr="002C7554">
              <w:rPr>
                <w:rFonts w:cs="Times New Roman"/>
                <w:b/>
                <w:sz w:val="16"/>
              </w:rPr>
              <w:t>way frame</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0.762</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0.561</w:t>
            </w:r>
          </w:p>
        </w:tc>
        <w:tc>
          <w:tcPr>
            <w:tcW w:w="381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Neutral / augmentation / task automation / replacement</w:t>
            </w:r>
          </w:p>
        </w:tc>
      </w:tr>
      <w:tr w:rsidR="00F02A46" w:rsidRPr="002C7554">
        <w:trPr>
          <w:cantSplit/>
          <w:jc w:val="center"/>
        </w:trPr>
        <w:tc>
          <w:tcPr>
            <w:tcW w:w="223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Activation gate</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0.852</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0.680</w:t>
            </w:r>
          </w:p>
        </w:tc>
        <w:tc>
          <w:tcPr>
            <w:tcW w:w="381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Neutral versus any activated frame</w:t>
            </w:r>
          </w:p>
        </w:tc>
      </w:tr>
      <w:tr w:rsidR="00F02A46" w:rsidRPr="002C7554">
        <w:trPr>
          <w:cantSplit/>
          <w:jc w:val="center"/>
        </w:trPr>
        <w:tc>
          <w:tcPr>
            <w:tcW w:w="223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Three-way frame</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0.814</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0.645</w:t>
            </w:r>
          </w:p>
        </w:tc>
        <w:tc>
          <w:tcPr>
            <w:tcW w:w="381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Task automation and replacement combined</w:t>
            </w:r>
          </w:p>
        </w:tc>
      </w:tr>
    </w:tbl>
    <w:p w:rsidR="00F02A46" w:rsidRPr="002C7554" w:rsidRDefault="00F02A46">
      <w:pPr>
        <w:spacing w:line="240" w:lineRule="auto"/>
        <w:ind w:firstLine="0"/>
        <w:rPr>
          <w:rFonts w:cs="Times New Roman"/>
        </w:rPr>
      </w:pPr>
    </w:p>
    <w:p w:rsidR="00F02A46" w:rsidRPr="002C7554" w:rsidRDefault="00B96669">
      <w:pPr>
        <w:pStyle w:val="TableCaption"/>
        <w:rPr>
          <w:rFonts w:cs="Times New Roman"/>
        </w:rPr>
      </w:pPr>
      <w:r w:rsidRPr="002C7554">
        <w:rPr>
          <w:rFonts w:cs="Times New Roman"/>
        </w:rPr>
        <w:t>Panel B. Label distributions</w:t>
      </w:r>
    </w:p>
    <w:tbl>
      <w:tblPr>
        <w:tblStyle w:val="af9"/>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2376"/>
        <w:gridCol w:w="1224"/>
        <w:gridCol w:w="1512"/>
        <w:gridCol w:w="1656"/>
        <w:gridCol w:w="1440"/>
        <w:gridCol w:w="1008"/>
      </w:tblGrid>
      <w:tr w:rsidR="00F02A46" w:rsidRPr="002C7554">
        <w:trPr>
          <w:cantSplit/>
          <w:tblHeader/>
          <w:jc w:val="center"/>
        </w:trPr>
        <w:tc>
          <w:tcPr>
            <w:tcW w:w="2376"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 xml:space="preserve">Specification </w:t>
            </w:r>
            <w:r w:rsidRPr="002C7554">
              <w:rPr>
                <w:rFonts w:cs="Times New Roman"/>
                <w:b/>
                <w:sz w:val="16"/>
              </w:rPr>
              <w:t>/ coder</w:t>
            </w:r>
          </w:p>
        </w:tc>
        <w:tc>
          <w:tcPr>
            <w:tcW w:w="1224"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Neutral</w:t>
            </w:r>
          </w:p>
        </w:tc>
        <w:tc>
          <w:tcPr>
            <w:tcW w:w="151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Augmentation</w:t>
            </w:r>
          </w:p>
        </w:tc>
        <w:tc>
          <w:tcPr>
            <w:tcW w:w="1656"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Task automation</w:t>
            </w:r>
          </w:p>
        </w:tc>
        <w:tc>
          <w:tcPr>
            <w:tcW w:w="1440"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Replacement</w:t>
            </w:r>
          </w:p>
        </w:tc>
        <w:tc>
          <w:tcPr>
            <w:tcW w:w="1008"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Total</w:t>
            </w:r>
          </w:p>
        </w:tc>
      </w:tr>
      <w:tr w:rsidR="00F02A46" w:rsidRPr="002C7554">
        <w:trPr>
          <w:cantSplit/>
          <w:jc w:val="center"/>
        </w:trPr>
        <w:tc>
          <w:tcPr>
            <w:tcW w:w="237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Coder 1</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416</w:t>
            </w:r>
          </w:p>
        </w:tc>
        <w:tc>
          <w:tcPr>
            <w:tcW w:w="151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80</w:t>
            </w:r>
          </w:p>
        </w:tc>
        <w:tc>
          <w:tcPr>
            <w:tcW w:w="165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56</w:t>
            </w:r>
          </w:p>
        </w:tc>
        <w:tc>
          <w:tcPr>
            <w:tcW w:w="144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50</w:t>
            </w:r>
          </w:p>
        </w:tc>
        <w:tc>
          <w:tcPr>
            <w:tcW w:w="100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602</w:t>
            </w:r>
          </w:p>
        </w:tc>
      </w:tr>
      <w:tr w:rsidR="00F02A46" w:rsidRPr="002C7554">
        <w:trPr>
          <w:cantSplit/>
          <w:jc w:val="center"/>
        </w:trPr>
        <w:tc>
          <w:tcPr>
            <w:tcW w:w="237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Coder 2</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361</w:t>
            </w:r>
          </w:p>
        </w:tc>
        <w:tc>
          <w:tcPr>
            <w:tcW w:w="151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126</w:t>
            </w:r>
          </w:p>
        </w:tc>
        <w:tc>
          <w:tcPr>
            <w:tcW w:w="165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40</w:t>
            </w:r>
          </w:p>
        </w:tc>
        <w:tc>
          <w:tcPr>
            <w:tcW w:w="144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75</w:t>
            </w:r>
          </w:p>
        </w:tc>
        <w:tc>
          <w:tcPr>
            <w:tcW w:w="100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602</w:t>
            </w:r>
          </w:p>
        </w:tc>
      </w:tr>
      <w:tr w:rsidR="00F02A46" w:rsidRPr="002C7554">
        <w:trPr>
          <w:cantSplit/>
          <w:jc w:val="center"/>
        </w:trPr>
        <w:tc>
          <w:tcPr>
            <w:tcW w:w="237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Strict reference</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433</w:t>
            </w:r>
          </w:p>
        </w:tc>
        <w:tc>
          <w:tcPr>
            <w:tcW w:w="151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79</w:t>
            </w:r>
          </w:p>
        </w:tc>
        <w:tc>
          <w:tcPr>
            <w:tcW w:w="165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45</w:t>
            </w:r>
          </w:p>
        </w:tc>
        <w:tc>
          <w:tcPr>
            <w:tcW w:w="144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45</w:t>
            </w:r>
          </w:p>
        </w:tc>
        <w:tc>
          <w:tcPr>
            <w:tcW w:w="100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602</w:t>
            </w:r>
          </w:p>
        </w:tc>
      </w:tr>
      <w:tr w:rsidR="00F02A46" w:rsidRPr="002C7554">
        <w:trPr>
          <w:cantSplit/>
          <w:jc w:val="center"/>
        </w:trPr>
        <w:tc>
          <w:tcPr>
            <w:tcW w:w="237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Lenient reference</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344</w:t>
            </w:r>
          </w:p>
        </w:tc>
        <w:tc>
          <w:tcPr>
            <w:tcW w:w="151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127</w:t>
            </w:r>
          </w:p>
        </w:tc>
        <w:tc>
          <w:tcPr>
            <w:tcW w:w="165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51</w:t>
            </w:r>
          </w:p>
        </w:tc>
        <w:tc>
          <w:tcPr>
            <w:tcW w:w="144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80</w:t>
            </w:r>
          </w:p>
        </w:tc>
        <w:tc>
          <w:tcPr>
            <w:tcW w:w="100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602</w:t>
            </w:r>
          </w:p>
        </w:tc>
      </w:tr>
    </w:tbl>
    <w:p w:rsidR="00F02A46" w:rsidRPr="002C7554" w:rsidRDefault="00F02A46">
      <w:pPr>
        <w:spacing w:line="240" w:lineRule="auto"/>
        <w:ind w:firstLine="0"/>
        <w:rPr>
          <w:rFonts w:cs="Times New Roman"/>
        </w:rPr>
      </w:pPr>
    </w:p>
    <w:p w:rsidR="00F02A46" w:rsidRPr="002C7554" w:rsidRDefault="00B96669">
      <w:pPr>
        <w:pStyle w:val="TableNote"/>
        <w:rPr>
          <w:rFonts w:cs="Times New Roman"/>
        </w:rPr>
      </w:pPr>
      <w:r w:rsidRPr="002C7554">
        <w:rPr>
          <w:rFonts w:cs="Times New Roman"/>
          <w:i/>
        </w:rPr>
        <w:t xml:space="preserve">Note: </w:t>
      </w:r>
      <w:r w:rsidRPr="002C7554">
        <w:rPr>
          <w:rFonts w:cs="Times New Roman"/>
        </w:rPr>
        <w:t xml:space="preserve">The two coders agreed on 459 passages and disagreed on 143. </w:t>
      </w:r>
      <w:r w:rsidRPr="002C7554">
        <w:rPr>
          <w:rFonts w:cs="Times New Roman"/>
        </w:rPr>
        <w:t>Strict and lenient labels are alternative conservative and inclusive disagreement specifications, not mathematical lower and upper bounds on population rates.</w:t>
      </w:r>
    </w:p>
    <w:p w:rsidR="00F02A46" w:rsidRPr="002C7554" w:rsidRDefault="00B96669">
      <w:pPr>
        <w:pStyle w:val="TableCaption"/>
        <w:rPr>
          <w:rFonts w:cs="Times New Roman"/>
        </w:rPr>
      </w:pPr>
      <w:r w:rsidRPr="002C7554">
        <w:rPr>
          <w:rFonts w:cs="Times New Roman"/>
        </w:rPr>
        <w:t>Supplementary Table S6. Held-out classifier performance against the strict reference specificatio</w:t>
      </w:r>
      <w:r w:rsidRPr="002C7554">
        <w:rPr>
          <w:rFonts w:cs="Times New Roman"/>
        </w:rPr>
        <w:t>n</w:t>
      </w:r>
    </w:p>
    <w:tbl>
      <w:tblPr>
        <w:tblStyle w:val="af9"/>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2232"/>
        <w:gridCol w:w="1512"/>
        <w:gridCol w:w="2088"/>
        <w:gridCol w:w="3168"/>
      </w:tblGrid>
      <w:tr w:rsidR="00F02A46" w:rsidRPr="002C7554">
        <w:trPr>
          <w:cantSplit/>
          <w:tblHeader/>
          <w:jc w:val="center"/>
        </w:trPr>
        <w:tc>
          <w:tcPr>
            <w:tcW w:w="223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Metric</w:t>
            </w:r>
          </w:p>
        </w:tc>
        <w:tc>
          <w:tcPr>
            <w:tcW w:w="151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Reported range</w:t>
            </w:r>
          </w:p>
        </w:tc>
        <w:tc>
          <w:tcPr>
            <w:tcW w:w="2088"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Evaluation set</w:t>
            </w:r>
          </w:p>
        </w:tc>
        <w:tc>
          <w:tcPr>
            <w:tcW w:w="3168"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Qualification</w:t>
            </w:r>
          </w:p>
        </w:tc>
      </w:tr>
      <w:tr w:rsidR="00F02A46" w:rsidRPr="002C7554">
        <w:trPr>
          <w:cantSplit/>
          <w:jc w:val="center"/>
        </w:trPr>
        <w:tc>
          <w:tcPr>
            <w:tcW w:w="223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Four-way Cohen kappa</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0.48-0.54</w:t>
            </w:r>
          </w:p>
        </w:tc>
        <w:tc>
          <w:tcPr>
            <w:tcW w:w="208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20% stratified holdout</w:t>
            </w:r>
          </w:p>
        </w:tc>
        <w:tc>
          <w:tcPr>
            <w:tcW w:w="316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Most demanding distinction</w:t>
            </w:r>
          </w:p>
        </w:tc>
      </w:tr>
      <w:tr w:rsidR="00F02A46" w:rsidRPr="002C7554">
        <w:trPr>
          <w:cantSplit/>
          <w:jc w:val="center"/>
        </w:trPr>
        <w:tc>
          <w:tcPr>
            <w:tcW w:w="223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Activation-gate Cohen kappa</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0.56-0.63</w:t>
            </w:r>
          </w:p>
        </w:tc>
        <w:tc>
          <w:tcPr>
            <w:tcW w:w="208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20% stratified holdout</w:t>
            </w:r>
          </w:p>
        </w:tc>
        <w:tc>
          <w:tcPr>
            <w:tcW w:w="316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Neutral versus activated</w:t>
            </w:r>
          </w:p>
        </w:tc>
      </w:tr>
      <w:tr w:rsidR="00F02A46" w:rsidRPr="002C7554">
        <w:trPr>
          <w:cantSplit/>
          <w:jc w:val="center"/>
        </w:trPr>
        <w:tc>
          <w:tcPr>
            <w:tcW w:w="223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Macro-F1</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0.57-0.61</w:t>
            </w:r>
          </w:p>
        </w:tc>
        <w:tc>
          <w:tcPr>
            <w:tcW w:w="208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20% stratified</w:t>
            </w:r>
            <w:r w:rsidRPr="002C7554">
              <w:rPr>
                <w:rFonts w:cs="Times New Roman"/>
                <w:sz w:val="16"/>
              </w:rPr>
              <w:t xml:space="preserve"> holdout</w:t>
            </w:r>
          </w:p>
        </w:tc>
        <w:tc>
          <w:tcPr>
            <w:tcW w:w="316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Unweighted mean across four labels</w:t>
            </w:r>
          </w:p>
        </w:tc>
      </w:tr>
    </w:tbl>
    <w:p w:rsidR="00F02A46" w:rsidRPr="002C7554" w:rsidRDefault="00F02A46">
      <w:pPr>
        <w:spacing w:line="240" w:lineRule="auto"/>
        <w:ind w:firstLine="0"/>
        <w:rPr>
          <w:rFonts w:cs="Times New Roman"/>
        </w:rPr>
      </w:pPr>
    </w:p>
    <w:p w:rsidR="00F02A46" w:rsidRPr="002C7554" w:rsidRDefault="00B96669">
      <w:pPr>
        <w:pStyle w:val="TableNote"/>
        <w:rPr>
          <w:rFonts w:cs="Times New Roman"/>
        </w:rPr>
      </w:pPr>
      <w:r w:rsidRPr="002C7554">
        <w:rPr>
          <w:rFonts w:cs="Times New Roman"/>
          <w:i/>
        </w:rPr>
        <w:t xml:space="preserve">Note: </w:t>
      </w:r>
      <w:r w:rsidRPr="002C7554">
        <w:rPr>
          <w:rFonts w:cs="Times New Roman"/>
        </w:rPr>
        <w:t>The split used random seed 0 and was stratified by label but not grouped by document or normalised text cluster. Ranges reflect residual training non-determinism at fixed seed. The deployment model was tr</w:t>
      </w:r>
      <w:r w:rsidRPr="002C7554">
        <w:rPr>
          <w:rFonts w:cs="Times New Roman"/>
        </w:rPr>
        <w:t>ained on all 602 passages.</w:t>
      </w:r>
    </w:p>
    <w:p w:rsidR="00F02A46" w:rsidRPr="002C7554" w:rsidRDefault="00B96669">
      <w:pPr>
        <w:pStyle w:val="TableCaption"/>
        <w:rPr>
          <w:rFonts w:cs="Times New Roman"/>
        </w:rPr>
      </w:pPr>
      <w:r w:rsidRPr="002C7554">
        <w:rPr>
          <w:rFonts w:cs="Times New Roman"/>
        </w:rPr>
        <w:t>Supplementary Table S7. Cluster-balanced news era counts and frame rates</w:t>
      </w:r>
    </w:p>
    <w:tbl>
      <w:tblPr>
        <w:tblStyle w:val="af9"/>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1152"/>
        <w:gridCol w:w="1080"/>
        <w:gridCol w:w="1224"/>
        <w:gridCol w:w="1224"/>
        <w:gridCol w:w="1512"/>
        <w:gridCol w:w="1584"/>
        <w:gridCol w:w="1584"/>
      </w:tblGrid>
      <w:tr w:rsidR="00F02A46" w:rsidRPr="002C7554">
        <w:trPr>
          <w:cantSplit/>
          <w:tblHeader/>
          <w:jc w:val="center"/>
        </w:trPr>
        <w:tc>
          <w:tcPr>
            <w:tcW w:w="115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Domain</w:t>
            </w:r>
          </w:p>
        </w:tc>
        <w:tc>
          <w:tcPr>
            <w:tcW w:w="1080"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Era</w:t>
            </w:r>
          </w:p>
        </w:tc>
        <w:tc>
          <w:tcPr>
            <w:tcW w:w="1224"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All units</w:t>
            </w:r>
          </w:p>
        </w:tc>
        <w:tc>
          <w:tcPr>
            <w:tcW w:w="1224"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Activated</w:t>
            </w:r>
          </w:p>
        </w:tc>
        <w:tc>
          <w:tcPr>
            <w:tcW w:w="151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Activation (%)</w:t>
            </w:r>
          </w:p>
        </w:tc>
        <w:tc>
          <w:tcPr>
            <w:tcW w:w="1584"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RF | activated (%)</w:t>
            </w:r>
          </w:p>
        </w:tc>
        <w:tc>
          <w:tcPr>
            <w:tcW w:w="1584"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RO | activated (%)</w:t>
            </w:r>
          </w:p>
        </w:tc>
      </w:tr>
      <w:tr w:rsidR="00F02A46" w:rsidRPr="002C7554">
        <w:trPr>
          <w:cantSplit/>
          <w:jc w:val="center"/>
        </w:trPr>
        <w:tc>
          <w:tcPr>
            <w:tcW w:w="115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News</w:t>
            </w:r>
          </w:p>
        </w:tc>
        <w:tc>
          <w:tcPr>
            <w:tcW w:w="108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EARLY</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6,265</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1,529</w:t>
            </w:r>
          </w:p>
        </w:tc>
        <w:tc>
          <w:tcPr>
            <w:tcW w:w="151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24.41</w:t>
            </w:r>
          </w:p>
        </w:tc>
        <w:tc>
          <w:tcPr>
            <w:tcW w:w="158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40.75</w:t>
            </w:r>
          </w:p>
        </w:tc>
        <w:tc>
          <w:tcPr>
            <w:tcW w:w="158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32.70</w:t>
            </w:r>
          </w:p>
        </w:tc>
      </w:tr>
      <w:tr w:rsidR="00F02A46" w:rsidRPr="002C7554">
        <w:trPr>
          <w:cantSplit/>
          <w:jc w:val="center"/>
        </w:trPr>
        <w:tc>
          <w:tcPr>
            <w:tcW w:w="115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News</w:t>
            </w:r>
          </w:p>
        </w:tc>
        <w:tc>
          <w:tcPr>
            <w:tcW w:w="108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PRE</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13,917</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3,295</w:t>
            </w:r>
          </w:p>
        </w:tc>
        <w:tc>
          <w:tcPr>
            <w:tcW w:w="151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23.68</w:t>
            </w:r>
          </w:p>
        </w:tc>
        <w:tc>
          <w:tcPr>
            <w:tcW w:w="158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23.64</w:t>
            </w:r>
          </w:p>
        </w:tc>
        <w:tc>
          <w:tcPr>
            <w:tcW w:w="158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15.11</w:t>
            </w:r>
          </w:p>
        </w:tc>
      </w:tr>
      <w:tr w:rsidR="00F02A46" w:rsidRPr="002C7554">
        <w:trPr>
          <w:cantSplit/>
          <w:jc w:val="center"/>
        </w:trPr>
        <w:tc>
          <w:tcPr>
            <w:tcW w:w="115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lastRenderedPageBreak/>
              <w:t>News</w:t>
            </w:r>
          </w:p>
        </w:tc>
        <w:tc>
          <w:tcPr>
            <w:tcW w:w="108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POST</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48,850</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13,513</w:t>
            </w:r>
          </w:p>
        </w:tc>
        <w:tc>
          <w:tcPr>
            <w:tcW w:w="151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27.66</w:t>
            </w:r>
          </w:p>
        </w:tc>
        <w:tc>
          <w:tcPr>
            <w:tcW w:w="158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26.43</w:t>
            </w:r>
          </w:p>
        </w:tc>
        <w:tc>
          <w:tcPr>
            <w:tcW w:w="158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13.91</w:t>
            </w:r>
          </w:p>
        </w:tc>
      </w:tr>
    </w:tbl>
    <w:p w:rsidR="00F02A46" w:rsidRPr="002C7554" w:rsidRDefault="00F02A46">
      <w:pPr>
        <w:spacing w:line="240" w:lineRule="auto"/>
        <w:ind w:firstLine="0"/>
        <w:rPr>
          <w:rFonts w:cs="Times New Roman"/>
        </w:rPr>
      </w:pPr>
    </w:p>
    <w:p w:rsidR="00F02A46" w:rsidRPr="002C7554" w:rsidRDefault="00B96669">
      <w:pPr>
        <w:pStyle w:val="TableNote"/>
        <w:rPr>
          <w:rFonts w:cs="Times New Roman"/>
        </w:rPr>
      </w:pPr>
      <w:r w:rsidRPr="002C7554">
        <w:rPr>
          <w:rFonts w:cs="Times New Roman"/>
        </w:rPr>
        <w:t>Note: RF = replacement-oriented framing (task automation or replacement). RO = replacement-only framing. Conditional rates use activated mentions as denominators.</w:t>
      </w:r>
    </w:p>
    <w:p w:rsidR="00F02A46" w:rsidRPr="002C7554" w:rsidRDefault="00F02A46">
      <w:pPr>
        <w:rPr>
          <w:rFonts w:cs="Times New Roman"/>
        </w:rPr>
        <w:sectPr w:rsidR="00F02A46" w:rsidRPr="002C7554">
          <w:headerReference w:type="default" r:id="rId8"/>
          <w:footerReference w:type="default" r:id="rId9"/>
          <w:pgSz w:w="12240" w:h="15840"/>
          <w:pgMar w:top="1224" w:right="1440" w:bottom="1152" w:left="1440" w:header="504" w:footer="504" w:gutter="0"/>
          <w:cols w:space="720"/>
          <w:docGrid w:linePitch="360"/>
        </w:sectPr>
      </w:pPr>
    </w:p>
    <w:p w:rsidR="00F02A46" w:rsidRPr="002C7554" w:rsidRDefault="00B96669">
      <w:pPr>
        <w:pStyle w:val="TableCaption"/>
        <w:rPr>
          <w:rFonts w:cs="Times New Roman"/>
        </w:rPr>
      </w:pPr>
      <w:r w:rsidRPr="002C7554">
        <w:rPr>
          <w:rFonts w:cs="Times New Roman"/>
        </w:rPr>
        <w:lastRenderedPageBreak/>
        <w:t>Supplementary Table S8. Occupation-level shift-share decomposition of PRE-POST replacement-oriented news framing</w:t>
      </w:r>
    </w:p>
    <w:tbl>
      <w:tblPr>
        <w:tblStyle w:val="af9"/>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1944"/>
        <w:gridCol w:w="1296"/>
        <w:gridCol w:w="1296"/>
        <w:gridCol w:w="1152"/>
        <w:gridCol w:w="1152"/>
        <w:gridCol w:w="1224"/>
        <w:gridCol w:w="1368"/>
        <w:gridCol w:w="1296"/>
        <w:gridCol w:w="1152"/>
      </w:tblGrid>
      <w:tr w:rsidR="00F02A46" w:rsidRPr="002C7554">
        <w:trPr>
          <w:cantSplit/>
          <w:tblHeader/>
          <w:jc w:val="center"/>
        </w:trPr>
        <w:tc>
          <w:tcPr>
            <w:tcW w:w="1944"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4"/>
              </w:rPr>
              <w:t>Occupation</w:t>
            </w:r>
          </w:p>
        </w:tc>
        <w:tc>
          <w:tcPr>
            <w:tcW w:w="1296"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4"/>
              </w:rPr>
              <w:t>PRE share (%)</w:t>
            </w:r>
          </w:p>
        </w:tc>
        <w:tc>
          <w:tcPr>
            <w:tcW w:w="1296"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4"/>
              </w:rPr>
              <w:t>POST share (%)</w:t>
            </w:r>
          </w:p>
        </w:tc>
        <w:tc>
          <w:tcPr>
            <w:tcW w:w="115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4"/>
              </w:rPr>
              <w:t>PRE RF (%)</w:t>
            </w:r>
          </w:p>
        </w:tc>
        <w:tc>
          <w:tcPr>
            <w:tcW w:w="115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4"/>
              </w:rPr>
              <w:t>POST RF (%)</w:t>
            </w:r>
          </w:p>
        </w:tc>
        <w:tc>
          <w:tcPr>
            <w:tcW w:w="1224"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4"/>
              </w:rPr>
              <w:t>Within (pp)</w:t>
            </w:r>
          </w:p>
        </w:tc>
        <w:tc>
          <w:tcPr>
            <w:tcW w:w="1368"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4"/>
              </w:rPr>
              <w:t>Composition (pp)</w:t>
            </w:r>
          </w:p>
        </w:tc>
        <w:tc>
          <w:tcPr>
            <w:tcW w:w="1296"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4"/>
              </w:rPr>
              <w:t>Interaction (pp)</w:t>
            </w:r>
          </w:p>
        </w:tc>
        <w:tc>
          <w:tcPr>
            <w:tcW w:w="115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4"/>
              </w:rPr>
              <w:t>Total (pp)</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Academic</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0.61</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1.33</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20.00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21.79</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+0.011</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+0.144</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+0.013</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+0.167</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Accountant</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2.31</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1.51</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59.21</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46.08</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-0.303</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-0.471</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+0.105</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-0.670</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Actor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1.61</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3.04</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47.17</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50.85</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+0.059</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+0.676</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+0.053</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+0.789</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Analyst</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2.06</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2.03</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30.88</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27.01</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-0.080</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-0.011</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+0.001</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-0.090</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Artist</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3.40</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6.49</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21.43</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29.99</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+0.291</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+0.663</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+0.265</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+1.219</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Attorney</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0.46</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0.40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6.67</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7.41</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+0.003</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-0.004</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-0.001</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Auditor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0.64</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0.29</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19.05</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25.64</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+0.042</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-0.066</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-0.023</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-0.047</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Broker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0.88</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0.47</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13.79</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20.31</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+0.057</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-0.056</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-0.026</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-0.025</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Coder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0.42</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1.80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57.14</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51.85</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-0.022</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+0.785</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-0.073</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+0.690</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Consultant</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1.49</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1.67</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28.57</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32.74</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+0.062</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+0.053</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+0.008</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+0.123</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Counsel</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0.18</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0.16</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16.67</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27.27</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+0.019</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-0.003</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-0.002</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+0.014</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Data Scientist</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1.18</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0.38</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7.69</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28.85</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+0.250</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-0.061</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-0.169</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+0.020</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Designer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1.76</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2.62</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18.97</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33.05</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+0.248</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+0.163</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+0.121</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+0.532</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Developer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6.13</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8.97</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7.92</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13.28</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+0.329</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+0.225</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+0.152</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+0.706</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Doctor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22.61</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9.38</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8.59</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8.76</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+0.038</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-1.137</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-0.023</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-1.121</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Driver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9.32</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2.78</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41.37</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36.44</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-0.460</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-2.703</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+0.322</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-2.840</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Editor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0.58</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1.29</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10.53</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24.14</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+0.078</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+0.075</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+0.097</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+0.250</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Educator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0.91</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2.19</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13.33</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11.49</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-0.017</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+0.171</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-0.024</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+0.130</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Electrician</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0.15</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0.27</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100.00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80.56</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-0.030</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+0.115</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-0.022</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+0.063</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Engineer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7.04</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7.47</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14.66</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20.02</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+0.378</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+0.063</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+0.023</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+0.464</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Factory Worker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0.91</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0.30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100.00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90.00</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-0.091</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-0.614</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+0.061</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-0.644</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Instructor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0.52</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0.43</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17.65</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18.97</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+0.007</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-0.015</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-0.001</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-0.010</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Journalist</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2.00</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10.20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42.42</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8.06</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-0.688</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+3.478</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-2.818</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-0.028</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Judge</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2.19</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1.09</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12.50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17.01</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+0.098</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-0.137</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-0.049</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-0.088</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Lawyer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5.13</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4.23</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32.54</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25.00</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-0.387</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-0.291</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+0.067</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-0.611</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Lecturer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0.18</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0.14</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16.67</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26.32</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+0.018</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-0.007</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-0.004</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+0.007</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Mechanic</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0.49</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0.29</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56.25</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51.28</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-0.024</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-0.111</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+0.010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-0.125</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Musician</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0.88</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1.76</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20.69</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36.97</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+0.143</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+0.182</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+0.144</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+0.469</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Nurse</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3.40</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1.70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10.71</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14.85</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+0.140</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-0.183</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-0.070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-0.112</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Physician</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4.28</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2.07</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3.55</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3.58</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+0.002</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-0.079</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-0.001</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-0.078</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lastRenderedPageBreak/>
              <w:t>Plumber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0.24</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0.44</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50.00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59.32</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+0.023</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+0.097</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+0.018</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+0.138</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Professor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0.24</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0.40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14.81</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+0.036</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+0.000</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+0.023</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+0.059</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Programmer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1.82</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2.52</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45.00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35.78</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-0.168</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+0.317</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-0.065</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+0.084</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Reporter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0.64</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2.75</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14.29</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4.84</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-0.060</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+0.302</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-0.200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+0.042</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Surgeon</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3.03</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0.87</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18.00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5.08</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-0.392</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-0.389</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+0.279</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-0.502</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Teacher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6.80</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6.78</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36.61</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32.64</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-0.270</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-0.006</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+0.001</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-0.275</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Therapist</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1.64</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1.78</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59.26</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61.83</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+0.042</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+0.086</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+0.004</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+0.132</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Tutor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0.97</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2.81</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75.00</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82.06</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+0.069</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+1.376</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+0.129</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+1.574</w:t>
            </w:r>
          </w:p>
        </w:tc>
      </w:tr>
      <w:tr w:rsidR="00F02A46" w:rsidRPr="002C7554">
        <w:trPr>
          <w:cantSplit/>
          <w:jc w:val="center"/>
        </w:trPr>
        <w:tc>
          <w:tcPr>
            <w:tcW w:w="194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4"/>
              </w:rPr>
              <w:t>Writer</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0.91</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4.89</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46.67</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57.58</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+0.099</w:t>
            </w:r>
          </w:p>
        </w:tc>
        <w:tc>
          <w:tcPr>
            <w:tcW w:w="136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+1.855</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+0.434</w:t>
            </w:r>
          </w:p>
        </w:tc>
        <w:tc>
          <w:tcPr>
            <w:tcW w:w="115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4"/>
              </w:rPr>
              <w:t>+2.388</w:t>
            </w:r>
          </w:p>
        </w:tc>
      </w:tr>
    </w:tbl>
    <w:p w:rsidR="00F02A46" w:rsidRPr="002C7554" w:rsidRDefault="00F02A46">
      <w:pPr>
        <w:spacing w:line="240" w:lineRule="auto"/>
        <w:ind w:firstLine="0"/>
        <w:rPr>
          <w:rFonts w:cs="Times New Roman"/>
        </w:rPr>
      </w:pPr>
    </w:p>
    <w:p w:rsidR="00F02A46" w:rsidRPr="002C7554" w:rsidRDefault="00B96669">
      <w:pPr>
        <w:pStyle w:val="TableNote"/>
        <w:rPr>
          <w:rFonts w:cs="Times New Roman"/>
        </w:rPr>
      </w:pPr>
      <w:r w:rsidRPr="002C7554">
        <w:rPr>
          <w:rFonts w:cs="Times New Roman"/>
          <w:i/>
        </w:rPr>
        <w:t xml:space="preserve">Note: </w:t>
      </w:r>
      <w:r w:rsidRPr="002C7554">
        <w:rPr>
          <w:rFonts w:cs="Times New Roman"/>
        </w:rPr>
        <w:t>Shares are occupation shares of activated news mentions. RF is the replacement-oriented rate among activated mentions.</w:t>
      </w:r>
      <w:r w:rsidRPr="002C7554">
        <w:rPr>
          <w:rFonts w:cs="Times New Roman"/>
        </w:rPr>
        <w:t xml:space="preserve"> Summed components are within = -0.448 pp, composition = +4.482 pp, interaction = -1.240 pp, and total = +2.794 pp; minor differences arise from displayed rounding.</w:t>
      </w:r>
    </w:p>
    <w:p w:rsidR="00F02A46" w:rsidRPr="002C7554" w:rsidRDefault="00F02A46">
      <w:pPr>
        <w:rPr>
          <w:rFonts w:cs="Times New Roman"/>
        </w:rPr>
        <w:sectPr w:rsidR="00F02A46" w:rsidRPr="002C7554">
          <w:pgSz w:w="15840" w:h="12240" w:orient="landscape"/>
          <w:pgMar w:top="936" w:right="936" w:bottom="936" w:left="936" w:header="432" w:footer="432" w:gutter="0"/>
          <w:cols w:space="720"/>
          <w:docGrid w:linePitch="360"/>
        </w:sectPr>
      </w:pPr>
    </w:p>
    <w:p w:rsidR="00F02A46" w:rsidRPr="002C7554" w:rsidRDefault="00B96669">
      <w:pPr>
        <w:pStyle w:val="TableCaption"/>
        <w:rPr>
          <w:rFonts w:cs="Times New Roman"/>
        </w:rPr>
      </w:pPr>
      <w:r w:rsidRPr="002C7554">
        <w:rPr>
          <w:rFonts w:cs="Times New Roman"/>
        </w:rPr>
        <w:lastRenderedPageBreak/>
        <w:t>Supplementary Table S9. Career-stage, alternative-axis, and robustnes</w:t>
      </w:r>
      <w:r w:rsidRPr="002C7554">
        <w:rPr>
          <w:rFonts w:cs="Times New Roman"/>
        </w:rPr>
        <w:t>s estimates</w:t>
      </w:r>
    </w:p>
    <w:tbl>
      <w:tblPr>
        <w:tblStyle w:val="af9"/>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1728"/>
        <w:gridCol w:w="1512"/>
        <w:gridCol w:w="1728"/>
        <w:gridCol w:w="1008"/>
        <w:gridCol w:w="792"/>
        <w:gridCol w:w="864"/>
        <w:gridCol w:w="1800"/>
      </w:tblGrid>
      <w:tr w:rsidR="00F02A46" w:rsidRPr="002C7554">
        <w:trPr>
          <w:cantSplit/>
          <w:tblHeader/>
          <w:jc w:val="center"/>
        </w:trPr>
        <w:tc>
          <w:tcPr>
            <w:tcW w:w="1728"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Analysis</w:t>
            </w:r>
          </w:p>
        </w:tc>
        <w:tc>
          <w:tcPr>
            <w:tcW w:w="151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Outcome</w:t>
            </w:r>
          </w:p>
        </w:tc>
        <w:tc>
          <w:tcPr>
            <w:tcW w:w="1728"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Focal coefficient</w:t>
            </w:r>
          </w:p>
        </w:tc>
        <w:tc>
          <w:tcPr>
            <w:tcW w:w="1008"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Estimate</w:t>
            </w:r>
          </w:p>
        </w:tc>
        <w:tc>
          <w:tcPr>
            <w:tcW w:w="79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SE</w:t>
            </w:r>
          </w:p>
        </w:tc>
        <w:tc>
          <w:tcPr>
            <w:tcW w:w="864"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P</w:t>
            </w:r>
          </w:p>
        </w:tc>
        <w:tc>
          <w:tcPr>
            <w:tcW w:w="1800"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n / support</w:t>
            </w:r>
          </w:p>
        </w:tc>
      </w:tr>
      <w:tr w:rsidR="00F02A46" w:rsidRPr="002C7554">
        <w:trPr>
          <w:cantSplit/>
          <w:jc w:val="center"/>
        </w:trPr>
        <w:tc>
          <w:tcPr>
            <w:tcW w:w="172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Primary</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Activation</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Junior x POST</w:t>
            </w:r>
          </w:p>
        </w:tc>
        <w:tc>
          <w:tcPr>
            <w:tcW w:w="100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+0.200</w:t>
            </w:r>
          </w:p>
        </w:tc>
        <w:tc>
          <w:tcPr>
            <w:tcW w:w="79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0.094</w:t>
            </w:r>
          </w:p>
        </w:tc>
        <w:tc>
          <w:tcPr>
            <w:tcW w:w="86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0.032</w:t>
            </w:r>
          </w:p>
        </w:tc>
        <w:tc>
          <w:tcPr>
            <w:tcW w:w="18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2,971</w:t>
            </w:r>
          </w:p>
        </w:tc>
      </w:tr>
      <w:tr w:rsidR="00F02A46" w:rsidRPr="002C7554">
        <w:trPr>
          <w:cantSplit/>
          <w:jc w:val="center"/>
        </w:trPr>
        <w:tc>
          <w:tcPr>
            <w:tcW w:w="172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Primary</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RF | activated</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Junior level</w:t>
            </w:r>
          </w:p>
        </w:tc>
        <w:tc>
          <w:tcPr>
            <w:tcW w:w="100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+0.404</w:t>
            </w:r>
          </w:p>
        </w:tc>
        <w:tc>
          <w:tcPr>
            <w:tcW w:w="79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0.199</w:t>
            </w:r>
          </w:p>
        </w:tc>
        <w:tc>
          <w:tcPr>
            <w:tcW w:w="86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0.042</w:t>
            </w:r>
          </w:p>
        </w:tc>
        <w:tc>
          <w:tcPr>
            <w:tcW w:w="18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399</w:t>
            </w:r>
          </w:p>
        </w:tc>
      </w:tr>
      <w:tr w:rsidR="00F02A46" w:rsidRPr="002C7554">
        <w:trPr>
          <w:cantSplit/>
          <w:jc w:val="center"/>
        </w:trPr>
        <w:tc>
          <w:tcPr>
            <w:tcW w:w="172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Primary</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RO | activated</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Junior level</w:t>
            </w:r>
          </w:p>
        </w:tc>
        <w:tc>
          <w:tcPr>
            <w:tcW w:w="100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+0.565</w:t>
            </w:r>
          </w:p>
        </w:tc>
        <w:tc>
          <w:tcPr>
            <w:tcW w:w="79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0.172</w:t>
            </w:r>
          </w:p>
        </w:tc>
        <w:tc>
          <w:tcPr>
            <w:tcW w:w="86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0.001</w:t>
            </w:r>
          </w:p>
        </w:tc>
        <w:tc>
          <w:tcPr>
            <w:tcW w:w="18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399</w:t>
            </w:r>
          </w:p>
        </w:tc>
      </w:tr>
      <w:tr w:rsidR="00F02A46" w:rsidRPr="002C7554">
        <w:trPr>
          <w:cantSplit/>
          <w:jc w:val="center"/>
        </w:trPr>
        <w:tc>
          <w:tcPr>
            <w:tcW w:w="172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Cue</w:t>
            </w:r>
            <w:r w:rsidRPr="002C7554">
              <w:rPr>
                <w:rFonts w:cs="Times New Roman"/>
                <w:sz w:val="15"/>
              </w:rPr>
              <w:t xml:space="preserve"> masking</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Activation</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Junior x POST</w:t>
            </w:r>
          </w:p>
        </w:tc>
        <w:tc>
          <w:tcPr>
            <w:tcW w:w="100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+0.213</w:t>
            </w:r>
          </w:p>
        </w:tc>
        <w:tc>
          <w:tcPr>
            <w:tcW w:w="79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0.090</w:t>
            </w:r>
          </w:p>
        </w:tc>
        <w:tc>
          <w:tcPr>
            <w:tcW w:w="86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0.018</w:t>
            </w:r>
          </w:p>
        </w:tc>
        <w:tc>
          <w:tcPr>
            <w:tcW w:w="18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2,971</w:t>
            </w:r>
          </w:p>
        </w:tc>
      </w:tr>
      <w:tr w:rsidR="00F02A46" w:rsidRPr="002C7554">
        <w:trPr>
          <w:cantSplit/>
          <w:jc w:val="center"/>
        </w:trPr>
        <w:tc>
          <w:tcPr>
            <w:tcW w:w="172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Cue masking</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RF | activated</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Junior level</w:t>
            </w:r>
          </w:p>
        </w:tc>
        <w:tc>
          <w:tcPr>
            <w:tcW w:w="100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+0.593</w:t>
            </w:r>
          </w:p>
        </w:tc>
        <w:tc>
          <w:tcPr>
            <w:tcW w:w="79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0.206</w:t>
            </w:r>
          </w:p>
        </w:tc>
        <w:tc>
          <w:tcPr>
            <w:tcW w:w="86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0.004</w:t>
            </w:r>
          </w:p>
        </w:tc>
        <w:tc>
          <w:tcPr>
            <w:tcW w:w="18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399</w:t>
            </w:r>
          </w:p>
        </w:tc>
      </w:tr>
      <w:tr w:rsidR="00F02A46" w:rsidRPr="002C7554">
        <w:trPr>
          <w:cantSplit/>
          <w:jc w:val="center"/>
        </w:trPr>
        <w:tc>
          <w:tcPr>
            <w:tcW w:w="172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Cue masking</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RO | activated</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Junior level</w:t>
            </w:r>
          </w:p>
        </w:tc>
        <w:tc>
          <w:tcPr>
            <w:tcW w:w="100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+0.680</w:t>
            </w:r>
          </w:p>
        </w:tc>
        <w:tc>
          <w:tcPr>
            <w:tcW w:w="79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0.200</w:t>
            </w:r>
          </w:p>
        </w:tc>
        <w:tc>
          <w:tcPr>
            <w:tcW w:w="86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0.001</w:t>
            </w:r>
          </w:p>
        </w:tc>
        <w:tc>
          <w:tcPr>
            <w:tcW w:w="18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399</w:t>
            </w:r>
          </w:p>
        </w:tc>
      </w:tr>
      <w:tr w:rsidR="00F02A46" w:rsidRPr="002C7554">
        <w:trPr>
          <w:cantSplit/>
          <w:jc w:val="center"/>
        </w:trPr>
        <w:tc>
          <w:tcPr>
            <w:tcW w:w="172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Routine axis</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Activation</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Routine x POST</w:t>
            </w:r>
          </w:p>
        </w:tc>
        <w:tc>
          <w:tcPr>
            <w:tcW w:w="100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-0.208</w:t>
            </w:r>
          </w:p>
        </w:tc>
        <w:tc>
          <w:tcPr>
            <w:tcW w:w="79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w:t>
            </w:r>
          </w:p>
        </w:tc>
        <w:tc>
          <w:tcPr>
            <w:tcW w:w="86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0.009</w:t>
            </w:r>
          </w:p>
        </w:tc>
        <w:tc>
          <w:tcPr>
            <w:tcW w:w="18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 xml:space="preserve">routine 719; </w:t>
            </w:r>
            <w:r w:rsidRPr="002C7554">
              <w:rPr>
                <w:rFonts w:cs="Times New Roman"/>
                <w:sz w:val="15"/>
              </w:rPr>
              <w:t>expert 305</w:t>
            </w:r>
          </w:p>
        </w:tc>
      </w:tr>
      <w:tr w:rsidR="00F02A46" w:rsidRPr="002C7554">
        <w:trPr>
          <w:cantSplit/>
          <w:jc w:val="center"/>
        </w:trPr>
        <w:tc>
          <w:tcPr>
            <w:tcW w:w="172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Routine axis</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RO | activated</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Routine level</w:t>
            </w:r>
          </w:p>
        </w:tc>
        <w:tc>
          <w:tcPr>
            <w:tcW w:w="100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+0.341</w:t>
            </w:r>
          </w:p>
        </w:tc>
        <w:tc>
          <w:tcPr>
            <w:tcW w:w="79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w:t>
            </w:r>
          </w:p>
        </w:tc>
        <w:tc>
          <w:tcPr>
            <w:tcW w:w="86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&lt;0.001</w:t>
            </w:r>
          </w:p>
        </w:tc>
        <w:tc>
          <w:tcPr>
            <w:tcW w:w="18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activated subset</w:t>
            </w:r>
          </w:p>
        </w:tc>
      </w:tr>
      <w:tr w:rsidR="00F02A46" w:rsidRPr="002C7554">
        <w:trPr>
          <w:cantSplit/>
          <w:jc w:val="center"/>
        </w:trPr>
        <w:tc>
          <w:tcPr>
            <w:tcW w:w="172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Prestige axis</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Activation</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Low status x POST</w:t>
            </w:r>
          </w:p>
        </w:tc>
        <w:tc>
          <w:tcPr>
            <w:tcW w:w="100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+0.011</w:t>
            </w:r>
          </w:p>
        </w:tc>
        <w:tc>
          <w:tcPr>
            <w:tcW w:w="79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w:t>
            </w:r>
          </w:p>
        </w:tc>
        <w:tc>
          <w:tcPr>
            <w:tcW w:w="86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0.820</w:t>
            </w:r>
          </w:p>
        </w:tc>
        <w:tc>
          <w:tcPr>
            <w:tcW w:w="18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overlap with stage = 23</w:t>
            </w:r>
          </w:p>
        </w:tc>
      </w:tr>
      <w:tr w:rsidR="00F02A46" w:rsidRPr="002C7554">
        <w:trPr>
          <w:cantSplit/>
          <w:jc w:val="center"/>
        </w:trPr>
        <w:tc>
          <w:tcPr>
            <w:tcW w:w="172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Occupation x year FE</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Activation</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Junior x POST</w:t>
            </w:r>
          </w:p>
        </w:tc>
        <w:tc>
          <w:tcPr>
            <w:tcW w:w="100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+0.304</w:t>
            </w:r>
          </w:p>
        </w:tc>
        <w:tc>
          <w:tcPr>
            <w:tcW w:w="79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w:t>
            </w:r>
          </w:p>
        </w:tc>
        <w:tc>
          <w:tcPr>
            <w:tcW w:w="86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0.002</w:t>
            </w:r>
          </w:p>
        </w:tc>
        <w:tc>
          <w:tcPr>
            <w:tcW w:w="18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66 cells; n = 1,799</w:t>
            </w:r>
          </w:p>
        </w:tc>
      </w:tr>
      <w:tr w:rsidR="00F02A46" w:rsidRPr="002C7554">
        <w:trPr>
          <w:cantSplit/>
          <w:jc w:val="center"/>
        </w:trPr>
        <w:tc>
          <w:tcPr>
            <w:tcW w:w="172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2022 omitted</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Activation</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Junior x POST</w:t>
            </w:r>
          </w:p>
        </w:tc>
        <w:tc>
          <w:tcPr>
            <w:tcW w:w="100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+0.200</w:t>
            </w:r>
          </w:p>
        </w:tc>
        <w:tc>
          <w:tcPr>
            <w:tcW w:w="79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w:t>
            </w:r>
          </w:p>
        </w:tc>
        <w:tc>
          <w:tcPr>
            <w:tcW w:w="86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0.032</w:t>
            </w:r>
          </w:p>
        </w:tc>
        <w:tc>
          <w:tcPr>
            <w:tcW w:w="18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primary boundary</w:t>
            </w:r>
          </w:p>
        </w:tc>
      </w:tr>
      <w:tr w:rsidR="00F02A46" w:rsidRPr="002C7554">
        <w:trPr>
          <w:cantSplit/>
          <w:jc w:val="center"/>
        </w:trPr>
        <w:tc>
          <w:tcPr>
            <w:tcW w:w="172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2022 assigned PRE</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Activation</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Junior x POST</w:t>
            </w:r>
          </w:p>
        </w:tc>
        <w:tc>
          <w:tcPr>
            <w:tcW w:w="100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+0.272</w:t>
            </w:r>
          </w:p>
        </w:tc>
        <w:tc>
          <w:tcPr>
            <w:tcW w:w="79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w:t>
            </w:r>
          </w:p>
        </w:tc>
        <w:tc>
          <w:tcPr>
            <w:tcW w:w="86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0.003</w:t>
            </w:r>
          </w:p>
        </w:tc>
        <w:tc>
          <w:tcPr>
            <w:tcW w:w="18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boundary sensitivity</w:t>
            </w:r>
          </w:p>
        </w:tc>
      </w:tr>
      <w:tr w:rsidR="00F02A46" w:rsidRPr="002C7554">
        <w:trPr>
          <w:cantSplit/>
          <w:jc w:val="center"/>
        </w:trPr>
        <w:tc>
          <w:tcPr>
            <w:tcW w:w="1728"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2022 assigned POST</w:t>
            </w:r>
          </w:p>
        </w:tc>
        <w:tc>
          <w:tcPr>
            <w:tcW w:w="151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Activation</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Junior x POST</w:t>
            </w:r>
          </w:p>
        </w:tc>
        <w:tc>
          <w:tcPr>
            <w:tcW w:w="100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+0.186</w:t>
            </w:r>
          </w:p>
        </w:tc>
        <w:tc>
          <w:tcPr>
            <w:tcW w:w="79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w:t>
            </w:r>
          </w:p>
        </w:tc>
        <w:tc>
          <w:tcPr>
            <w:tcW w:w="86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0.049</w:t>
            </w:r>
          </w:p>
        </w:tc>
        <w:tc>
          <w:tcPr>
            <w:tcW w:w="18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boundary sensitivity</w:t>
            </w:r>
          </w:p>
        </w:tc>
      </w:tr>
    </w:tbl>
    <w:p w:rsidR="00F02A46" w:rsidRPr="002C7554" w:rsidRDefault="00F02A46">
      <w:pPr>
        <w:spacing w:line="240" w:lineRule="auto"/>
        <w:ind w:firstLine="0"/>
        <w:rPr>
          <w:rFonts w:cs="Times New Roman"/>
        </w:rPr>
      </w:pPr>
    </w:p>
    <w:p w:rsidR="00F02A46" w:rsidRPr="002C7554" w:rsidRDefault="00B96669">
      <w:pPr>
        <w:pStyle w:val="TableNote"/>
        <w:rPr>
          <w:rFonts w:cs="Times New Roman"/>
        </w:rPr>
      </w:pPr>
      <w:r w:rsidRPr="002C7554">
        <w:rPr>
          <w:rFonts w:cs="Times New Roman"/>
        </w:rPr>
        <w:t xml:space="preserve">Note: RF = </w:t>
      </w:r>
      <w:r w:rsidRPr="002C7554">
        <w:rPr>
          <w:rFonts w:cs="Times New Roman"/>
        </w:rPr>
        <w:t>replacement-oriented; RO = replacement-only. Dashes indicate rows where the concise summary table does not display a standard error or exact analytical n because those estimates are used as robustness checks rather than main-text claim estimates. The execu</w:t>
      </w:r>
      <w:r w:rsidRPr="002C7554">
        <w:rPr>
          <w:rFonts w:cs="Times New Roman"/>
        </w:rPr>
        <w:t>table regression outputs in the replication package are the authoritative record. All reported P values and coefficients are preserved from those outputs.</w:t>
      </w:r>
    </w:p>
    <w:p w:rsidR="00F02A46" w:rsidRPr="002C7554" w:rsidRDefault="00B96669">
      <w:pPr>
        <w:pStyle w:val="TableCaption"/>
        <w:rPr>
          <w:rFonts w:cs="Times New Roman"/>
        </w:rPr>
      </w:pPr>
      <w:r w:rsidRPr="002C7554">
        <w:rPr>
          <w:rFonts w:cs="Times New Roman"/>
        </w:rPr>
        <w:t>Panel B. Sector heterogeneity in Junior x POST activation</w:t>
      </w:r>
    </w:p>
    <w:tbl>
      <w:tblPr>
        <w:tblStyle w:val="af9"/>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2304"/>
        <w:gridCol w:w="1296"/>
        <w:gridCol w:w="1800"/>
        <w:gridCol w:w="3600"/>
      </w:tblGrid>
      <w:tr w:rsidR="00F02A46" w:rsidRPr="002C7554">
        <w:trPr>
          <w:cantSplit/>
          <w:tblHeader/>
          <w:jc w:val="center"/>
        </w:trPr>
        <w:tc>
          <w:tcPr>
            <w:tcW w:w="2304"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Sector</w:t>
            </w:r>
          </w:p>
        </w:tc>
        <w:tc>
          <w:tcPr>
            <w:tcW w:w="1296"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Estimate</w:t>
            </w:r>
          </w:p>
        </w:tc>
        <w:tc>
          <w:tcPr>
            <w:tcW w:w="1800"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FDR-adjusted P</w:t>
            </w:r>
          </w:p>
        </w:tc>
        <w:tc>
          <w:tcPr>
            <w:tcW w:w="3600"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Interpretati</w:t>
            </w:r>
            <w:r w:rsidRPr="002C7554">
              <w:rPr>
                <w:rFonts w:cs="Times New Roman"/>
                <w:b/>
                <w:sz w:val="16"/>
              </w:rPr>
              <w:t>on</w:t>
            </w:r>
          </w:p>
        </w:tc>
      </w:tr>
      <w:tr w:rsidR="00F02A46" w:rsidRPr="002C7554">
        <w:trPr>
          <w:cantSplit/>
          <w:jc w:val="center"/>
        </w:trPr>
        <w:tc>
          <w:tcPr>
            <w:tcW w:w="230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Business/Finance</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+0.558</w:t>
            </w:r>
          </w:p>
        </w:tc>
        <w:tc>
          <w:tcPr>
            <w:tcW w:w="180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&lt;0.001</w:t>
            </w:r>
          </w:p>
        </w:tc>
        <w:tc>
          <w:tcPr>
            <w:tcW w:w="36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Widening supported</w:t>
            </w:r>
          </w:p>
        </w:tc>
      </w:tr>
      <w:tr w:rsidR="00F02A46" w:rsidRPr="002C7554">
        <w:trPr>
          <w:cantSplit/>
          <w:jc w:val="center"/>
        </w:trPr>
        <w:tc>
          <w:tcPr>
            <w:tcW w:w="230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Creative/Media</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+0.467</w:t>
            </w:r>
          </w:p>
        </w:tc>
        <w:tc>
          <w:tcPr>
            <w:tcW w:w="180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0.003</w:t>
            </w:r>
          </w:p>
        </w:tc>
        <w:tc>
          <w:tcPr>
            <w:tcW w:w="36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Widening supported</w:t>
            </w:r>
          </w:p>
        </w:tc>
      </w:tr>
      <w:tr w:rsidR="00F02A46" w:rsidRPr="002C7554">
        <w:trPr>
          <w:cantSplit/>
          <w:jc w:val="center"/>
        </w:trPr>
        <w:tc>
          <w:tcPr>
            <w:tcW w:w="230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Education</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+0.293</w:t>
            </w:r>
          </w:p>
        </w:tc>
        <w:tc>
          <w:tcPr>
            <w:tcW w:w="180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0.036</w:t>
            </w:r>
          </w:p>
        </w:tc>
        <w:tc>
          <w:tcPr>
            <w:tcW w:w="36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Widening supported</w:t>
            </w:r>
          </w:p>
        </w:tc>
      </w:tr>
      <w:tr w:rsidR="00F02A46" w:rsidRPr="002C7554">
        <w:trPr>
          <w:cantSplit/>
          <w:jc w:val="center"/>
        </w:trPr>
        <w:tc>
          <w:tcPr>
            <w:tcW w:w="230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Tech/Data</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+0.206</w:t>
            </w:r>
          </w:p>
        </w:tc>
        <w:tc>
          <w:tcPr>
            <w:tcW w:w="180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0.480</w:t>
            </w:r>
          </w:p>
        </w:tc>
        <w:tc>
          <w:tcPr>
            <w:tcW w:w="36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Not significant after FDR</w:t>
            </w:r>
          </w:p>
        </w:tc>
      </w:tr>
      <w:tr w:rsidR="00F02A46" w:rsidRPr="002C7554">
        <w:trPr>
          <w:cantSplit/>
          <w:jc w:val="center"/>
        </w:trPr>
        <w:tc>
          <w:tcPr>
            <w:tcW w:w="2304"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Legal</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+0.076</w:t>
            </w:r>
          </w:p>
        </w:tc>
        <w:tc>
          <w:tcPr>
            <w:tcW w:w="180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0.724</w:t>
            </w:r>
          </w:p>
        </w:tc>
        <w:tc>
          <w:tcPr>
            <w:tcW w:w="3600"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6"/>
              </w:rPr>
              <w:t>Not significant after FDR</w:t>
            </w:r>
          </w:p>
        </w:tc>
      </w:tr>
    </w:tbl>
    <w:p w:rsidR="00F02A46" w:rsidRPr="002C7554" w:rsidRDefault="00F02A46">
      <w:pPr>
        <w:spacing w:line="240" w:lineRule="auto"/>
        <w:ind w:firstLine="0"/>
        <w:rPr>
          <w:rFonts w:cs="Times New Roman"/>
        </w:rPr>
      </w:pPr>
    </w:p>
    <w:p w:rsidR="00F02A46" w:rsidRPr="002C7554" w:rsidRDefault="00B96669">
      <w:pPr>
        <w:pStyle w:val="TableNote"/>
        <w:rPr>
          <w:rFonts w:cs="Times New Roman"/>
        </w:rPr>
      </w:pPr>
      <w:r w:rsidRPr="002C7554">
        <w:rPr>
          <w:rFonts w:cs="Times New Roman"/>
          <w:i/>
        </w:rPr>
        <w:t xml:space="preserve">Note: </w:t>
      </w:r>
      <w:r w:rsidRPr="002C7554">
        <w:rPr>
          <w:rFonts w:cs="Times New Roman"/>
        </w:rPr>
        <w:t xml:space="preserve">Sector </w:t>
      </w:r>
      <w:r w:rsidRPr="002C7554">
        <w:rPr>
          <w:rFonts w:cs="Times New Roman"/>
        </w:rPr>
        <w:t>estimates are exploratory because some cells are sparse and label-specification sensitivity has not been completed for every sector. They are therefore not used as a central claim in the main text.</w:t>
      </w:r>
    </w:p>
    <w:p w:rsidR="00F02A46" w:rsidRPr="002C7554" w:rsidRDefault="00F02A46">
      <w:pPr>
        <w:spacing w:line="240" w:lineRule="auto"/>
        <w:ind w:firstLine="0"/>
        <w:rPr>
          <w:rFonts w:cs="Times New Roman"/>
        </w:rPr>
      </w:pPr>
    </w:p>
    <w:p w:rsidR="00F02A46" w:rsidRPr="002C7554" w:rsidRDefault="00B96669">
      <w:pPr>
        <w:pStyle w:val="TableCaption"/>
        <w:rPr>
          <w:rFonts w:cs="Times New Roman"/>
        </w:rPr>
      </w:pPr>
      <w:r w:rsidRPr="002C7554">
        <w:rPr>
          <w:rFonts w:cs="Times New Roman"/>
        </w:rPr>
        <w:t>Supplementary Table S10. Blinded matched human replicatio</w:t>
      </w:r>
      <w:r w:rsidRPr="002C7554">
        <w:rPr>
          <w:rFonts w:cs="Times New Roman"/>
        </w:rPr>
        <w:t>n</w:t>
      </w:r>
    </w:p>
    <w:tbl>
      <w:tblPr>
        <w:tblStyle w:val="af9"/>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2592"/>
        <w:gridCol w:w="1728"/>
        <w:gridCol w:w="1728"/>
        <w:gridCol w:w="1584"/>
      </w:tblGrid>
      <w:tr w:rsidR="00F02A46" w:rsidRPr="002C7554">
        <w:trPr>
          <w:cantSplit/>
          <w:tblHeader/>
          <w:jc w:val="center"/>
        </w:trPr>
        <w:tc>
          <w:tcPr>
            <w:tcW w:w="259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Reliability target</w:t>
            </w:r>
          </w:p>
        </w:tc>
        <w:tc>
          <w:tcPr>
            <w:tcW w:w="1728"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Raw agreement</w:t>
            </w:r>
          </w:p>
        </w:tc>
        <w:tc>
          <w:tcPr>
            <w:tcW w:w="1728"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Cohen's kappa</w:t>
            </w:r>
          </w:p>
        </w:tc>
        <w:tc>
          <w:tcPr>
            <w:tcW w:w="1584"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n passages</w:t>
            </w:r>
          </w:p>
        </w:tc>
      </w:tr>
      <w:tr w:rsidR="00F02A46" w:rsidRPr="002C7554">
        <w:trPr>
          <w:cantSplit/>
          <w:jc w:val="center"/>
        </w:trPr>
        <w:tc>
          <w:tcPr>
            <w:tcW w:w="259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Four-way frame</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0.855</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0.794</w:t>
            </w:r>
          </w:p>
        </w:tc>
        <w:tc>
          <w:tcPr>
            <w:tcW w:w="158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408</w:t>
            </w:r>
          </w:p>
        </w:tc>
      </w:tr>
      <w:tr w:rsidR="00F02A46" w:rsidRPr="002C7554">
        <w:trPr>
          <w:cantSplit/>
          <w:jc w:val="center"/>
        </w:trPr>
        <w:tc>
          <w:tcPr>
            <w:tcW w:w="259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Activation gate</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0.951</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0.900</w:t>
            </w:r>
          </w:p>
        </w:tc>
        <w:tc>
          <w:tcPr>
            <w:tcW w:w="158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408</w:t>
            </w:r>
          </w:p>
        </w:tc>
      </w:tr>
      <w:tr w:rsidR="00F02A46" w:rsidRPr="002C7554">
        <w:trPr>
          <w:cantSplit/>
          <w:jc w:val="center"/>
        </w:trPr>
        <w:tc>
          <w:tcPr>
            <w:tcW w:w="259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lastRenderedPageBreak/>
              <w:t>Three-way frame</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0.887</w:t>
            </w:r>
          </w:p>
        </w:tc>
        <w:tc>
          <w:tcPr>
            <w:tcW w:w="1728"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0.822</w:t>
            </w:r>
          </w:p>
        </w:tc>
        <w:tc>
          <w:tcPr>
            <w:tcW w:w="158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408</w:t>
            </w:r>
          </w:p>
        </w:tc>
      </w:tr>
    </w:tbl>
    <w:p w:rsidR="00F02A46" w:rsidRPr="002C7554" w:rsidRDefault="00F02A46">
      <w:pPr>
        <w:spacing w:line="240" w:lineRule="auto"/>
        <w:ind w:firstLine="0"/>
        <w:rPr>
          <w:rFonts w:cs="Times New Roman"/>
        </w:rPr>
      </w:pPr>
    </w:p>
    <w:p w:rsidR="00F02A46" w:rsidRPr="002C7554" w:rsidRDefault="00B96669">
      <w:pPr>
        <w:pStyle w:val="TableCaption"/>
        <w:rPr>
          <w:rFonts w:cs="Times New Roman"/>
        </w:rPr>
      </w:pPr>
      <w:r w:rsidRPr="002C7554">
        <w:rPr>
          <w:rFonts w:cs="Times New Roman"/>
        </w:rPr>
        <w:t>Panel B. Frame composition by career stage</w:t>
      </w:r>
    </w:p>
    <w:tbl>
      <w:tblPr>
        <w:tblStyle w:val="af9"/>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1656"/>
        <w:gridCol w:w="1080"/>
        <w:gridCol w:w="1224"/>
        <w:gridCol w:w="1296"/>
        <w:gridCol w:w="1512"/>
        <w:gridCol w:w="1440"/>
        <w:gridCol w:w="1512"/>
      </w:tblGrid>
      <w:tr w:rsidR="00F02A46" w:rsidRPr="002C7554">
        <w:trPr>
          <w:cantSplit/>
          <w:tblHeader/>
          <w:jc w:val="center"/>
        </w:trPr>
        <w:tc>
          <w:tcPr>
            <w:tcW w:w="1656"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Labelling source</w:t>
            </w:r>
          </w:p>
        </w:tc>
        <w:tc>
          <w:tcPr>
            <w:tcW w:w="1080"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Stage</w:t>
            </w:r>
          </w:p>
        </w:tc>
        <w:tc>
          <w:tcPr>
            <w:tcW w:w="1224"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Activated / 204</w:t>
            </w:r>
          </w:p>
        </w:tc>
        <w:tc>
          <w:tcPr>
            <w:tcW w:w="1296"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Activation (%)</w:t>
            </w:r>
          </w:p>
        </w:tc>
        <w:tc>
          <w:tcPr>
            <w:tcW w:w="151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RF | activated (%)</w:t>
            </w:r>
          </w:p>
        </w:tc>
        <w:tc>
          <w:tcPr>
            <w:tcW w:w="1440"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RO | activated (%)</w:t>
            </w:r>
          </w:p>
        </w:tc>
        <w:tc>
          <w:tcPr>
            <w:tcW w:w="151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5"/>
              </w:rPr>
              <w:t>Augment | activated (%)</w:t>
            </w:r>
          </w:p>
        </w:tc>
      </w:tr>
      <w:tr w:rsidR="00F02A46" w:rsidRPr="002C7554">
        <w:trPr>
          <w:cantSplit/>
          <w:jc w:val="center"/>
        </w:trPr>
        <w:tc>
          <w:tcPr>
            <w:tcW w:w="165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Human strict</w:t>
            </w:r>
          </w:p>
        </w:tc>
        <w:tc>
          <w:tcPr>
            <w:tcW w:w="108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Junior</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161</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78.9</w:t>
            </w:r>
          </w:p>
        </w:tc>
        <w:tc>
          <w:tcPr>
            <w:tcW w:w="151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76.4</w:t>
            </w:r>
          </w:p>
        </w:tc>
        <w:tc>
          <w:tcPr>
            <w:tcW w:w="144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46.0</w:t>
            </w:r>
          </w:p>
        </w:tc>
        <w:tc>
          <w:tcPr>
            <w:tcW w:w="151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23.6</w:t>
            </w:r>
          </w:p>
        </w:tc>
      </w:tr>
      <w:tr w:rsidR="00F02A46" w:rsidRPr="002C7554">
        <w:trPr>
          <w:cantSplit/>
          <w:jc w:val="center"/>
        </w:trPr>
        <w:tc>
          <w:tcPr>
            <w:tcW w:w="165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Human strict</w:t>
            </w:r>
          </w:p>
        </w:tc>
        <w:tc>
          <w:tcPr>
            <w:tcW w:w="108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Senior</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59</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28.9</w:t>
            </w:r>
          </w:p>
        </w:tc>
        <w:tc>
          <w:tcPr>
            <w:tcW w:w="151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28.8</w:t>
            </w:r>
          </w:p>
        </w:tc>
        <w:tc>
          <w:tcPr>
            <w:tcW w:w="144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11.9</w:t>
            </w:r>
          </w:p>
        </w:tc>
        <w:tc>
          <w:tcPr>
            <w:tcW w:w="151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71.2</w:t>
            </w:r>
          </w:p>
        </w:tc>
      </w:tr>
      <w:tr w:rsidR="00F02A46" w:rsidRPr="002C7554">
        <w:trPr>
          <w:cantSplit/>
          <w:jc w:val="center"/>
        </w:trPr>
        <w:tc>
          <w:tcPr>
            <w:tcW w:w="165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Classifier</w:t>
            </w:r>
          </w:p>
        </w:tc>
        <w:tc>
          <w:tcPr>
            <w:tcW w:w="108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Junior</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105</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51.5</w:t>
            </w:r>
          </w:p>
        </w:tc>
        <w:tc>
          <w:tcPr>
            <w:tcW w:w="151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54.3</w:t>
            </w:r>
          </w:p>
        </w:tc>
        <w:tc>
          <w:tcPr>
            <w:tcW w:w="144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44.8</w:t>
            </w:r>
          </w:p>
        </w:tc>
        <w:tc>
          <w:tcPr>
            <w:tcW w:w="151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45.7</w:t>
            </w:r>
          </w:p>
        </w:tc>
      </w:tr>
      <w:tr w:rsidR="00F02A46" w:rsidRPr="002C7554">
        <w:trPr>
          <w:cantSplit/>
          <w:jc w:val="center"/>
        </w:trPr>
        <w:tc>
          <w:tcPr>
            <w:tcW w:w="1656"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sz w:val="15"/>
              </w:rPr>
              <w:t>Classifier</w:t>
            </w:r>
          </w:p>
        </w:tc>
        <w:tc>
          <w:tcPr>
            <w:tcW w:w="108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Senior</w:t>
            </w:r>
          </w:p>
        </w:tc>
        <w:tc>
          <w:tcPr>
            <w:tcW w:w="1224"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46</w:t>
            </w:r>
          </w:p>
        </w:tc>
        <w:tc>
          <w:tcPr>
            <w:tcW w:w="1296"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22.5</w:t>
            </w:r>
          </w:p>
        </w:tc>
        <w:tc>
          <w:tcPr>
            <w:tcW w:w="151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15.2</w:t>
            </w:r>
          </w:p>
        </w:tc>
        <w:tc>
          <w:tcPr>
            <w:tcW w:w="144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2.2</w:t>
            </w:r>
          </w:p>
        </w:tc>
        <w:tc>
          <w:tcPr>
            <w:tcW w:w="151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5"/>
              </w:rPr>
              <w:t>84.8</w:t>
            </w:r>
          </w:p>
        </w:tc>
      </w:tr>
    </w:tbl>
    <w:p w:rsidR="00F02A46" w:rsidRPr="002C7554" w:rsidRDefault="00F02A46">
      <w:pPr>
        <w:spacing w:line="240" w:lineRule="auto"/>
        <w:ind w:firstLine="0"/>
        <w:rPr>
          <w:rFonts w:cs="Times New Roman"/>
        </w:rPr>
      </w:pPr>
    </w:p>
    <w:p w:rsidR="00F02A46" w:rsidRPr="002C7554" w:rsidRDefault="00B96669">
      <w:pPr>
        <w:pStyle w:val="TableCaption"/>
        <w:rPr>
          <w:rFonts w:cs="Times New Roman"/>
        </w:rPr>
      </w:pPr>
      <w:r w:rsidRPr="002C7554">
        <w:rPr>
          <w:rFonts w:cs="Times New Roman"/>
        </w:rPr>
        <w:t xml:space="preserve">Panel C. Exact </w:t>
      </w:r>
      <w:r w:rsidRPr="002C7554">
        <w:rPr>
          <w:rFonts w:cs="Times New Roman"/>
        </w:rPr>
        <w:t>McNemar tests on 204 matched occupation-year pairs</w:t>
      </w:r>
    </w:p>
    <w:tbl>
      <w:tblPr>
        <w:tblStyle w:val="af9"/>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2592"/>
        <w:gridCol w:w="2232"/>
        <w:gridCol w:w="2232"/>
        <w:gridCol w:w="1800"/>
      </w:tblGrid>
      <w:tr w:rsidR="00F02A46" w:rsidRPr="002C7554">
        <w:trPr>
          <w:cantSplit/>
          <w:tblHeader/>
          <w:jc w:val="center"/>
        </w:trPr>
        <w:tc>
          <w:tcPr>
            <w:tcW w:w="259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Outcome</w:t>
            </w:r>
          </w:p>
        </w:tc>
        <w:tc>
          <w:tcPr>
            <w:tcW w:w="223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Junior = 1 / Senior = 0</w:t>
            </w:r>
          </w:p>
        </w:tc>
        <w:tc>
          <w:tcPr>
            <w:tcW w:w="2232"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Junior = 0 / Senior = 1</w:t>
            </w:r>
          </w:p>
        </w:tc>
        <w:tc>
          <w:tcPr>
            <w:tcW w:w="1800" w:type="dxa"/>
            <w:shd w:val="clear" w:color="auto" w:fill="E7E7E7"/>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b/>
                <w:sz w:val="16"/>
              </w:rPr>
              <w:t>Exact two-sided P</w:t>
            </w:r>
          </w:p>
        </w:tc>
      </w:tr>
      <w:tr w:rsidR="00F02A46" w:rsidRPr="002C7554">
        <w:trPr>
          <w:cantSplit/>
          <w:jc w:val="center"/>
        </w:trPr>
        <w:tc>
          <w:tcPr>
            <w:tcW w:w="259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Activation</w:t>
            </w:r>
          </w:p>
        </w:tc>
        <w:tc>
          <w:tcPr>
            <w:tcW w:w="223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111</w:t>
            </w:r>
          </w:p>
        </w:tc>
        <w:tc>
          <w:tcPr>
            <w:tcW w:w="223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9</w:t>
            </w:r>
          </w:p>
        </w:tc>
        <w:tc>
          <w:tcPr>
            <w:tcW w:w="180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1.71e-23</w:t>
            </w:r>
          </w:p>
        </w:tc>
      </w:tr>
      <w:tr w:rsidR="00F02A46" w:rsidRPr="002C7554">
        <w:trPr>
          <w:cantSplit/>
          <w:jc w:val="center"/>
        </w:trPr>
        <w:tc>
          <w:tcPr>
            <w:tcW w:w="259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Replacement-oriented</w:t>
            </w:r>
          </w:p>
        </w:tc>
        <w:tc>
          <w:tcPr>
            <w:tcW w:w="223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113</w:t>
            </w:r>
          </w:p>
        </w:tc>
        <w:tc>
          <w:tcPr>
            <w:tcW w:w="223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7</w:t>
            </w:r>
          </w:p>
        </w:tc>
        <w:tc>
          <w:tcPr>
            <w:tcW w:w="180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9.53e-26</w:t>
            </w:r>
          </w:p>
        </w:tc>
      </w:tr>
      <w:tr w:rsidR="00F02A46" w:rsidRPr="002C7554">
        <w:trPr>
          <w:cantSplit/>
          <w:jc w:val="center"/>
        </w:trPr>
        <w:tc>
          <w:tcPr>
            <w:tcW w:w="2592" w:type="dxa"/>
            <w:tcMar>
              <w:top w:w="70" w:type="dxa"/>
              <w:left w:w="85" w:type="dxa"/>
              <w:bottom w:w="70" w:type="dxa"/>
              <w:right w:w="85" w:type="dxa"/>
            </w:tcMar>
            <w:vAlign w:val="center"/>
          </w:tcPr>
          <w:p w:rsidR="00F02A46" w:rsidRPr="002C7554" w:rsidRDefault="00B96669">
            <w:pPr>
              <w:spacing w:line="240" w:lineRule="auto"/>
              <w:rPr>
                <w:rFonts w:cs="Times New Roman"/>
              </w:rPr>
            </w:pPr>
            <w:r w:rsidRPr="002C7554">
              <w:rPr>
                <w:rFonts w:cs="Times New Roman"/>
                <w:b/>
                <w:sz w:val="16"/>
              </w:rPr>
              <w:t>Replacement-only</w:t>
            </w:r>
          </w:p>
        </w:tc>
        <w:tc>
          <w:tcPr>
            <w:tcW w:w="223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72</w:t>
            </w:r>
          </w:p>
        </w:tc>
        <w:tc>
          <w:tcPr>
            <w:tcW w:w="2232"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5</w:t>
            </w:r>
          </w:p>
        </w:tc>
        <w:tc>
          <w:tcPr>
            <w:tcW w:w="1800" w:type="dxa"/>
            <w:tcMar>
              <w:top w:w="70" w:type="dxa"/>
              <w:left w:w="85" w:type="dxa"/>
              <w:bottom w:w="70" w:type="dxa"/>
              <w:right w:w="85" w:type="dxa"/>
            </w:tcMar>
            <w:vAlign w:val="center"/>
          </w:tcPr>
          <w:p w:rsidR="00F02A46" w:rsidRPr="002C7554" w:rsidRDefault="00B96669">
            <w:pPr>
              <w:spacing w:line="240" w:lineRule="auto"/>
              <w:jc w:val="center"/>
              <w:rPr>
                <w:rFonts w:cs="Times New Roman"/>
              </w:rPr>
            </w:pPr>
            <w:r w:rsidRPr="002C7554">
              <w:rPr>
                <w:rFonts w:cs="Times New Roman"/>
                <w:sz w:val="16"/>
              </w:rPr>
              <w:t>2.80e-16</w:t>
            </w:r>
          </w:p>
        </w:tc>
      </w:tr>
    </w:tbl>
    <w:p w:rsidR="00F02A46" w:rsidRPr="002C7554" w:rsidRDefault="00F02A46">
      <w:pPr>
        <w:spacing w:line="240" w:lineRule="auto"/>
        <w:ind w:firstLine="0"/>
        <w:rPr>
          <w:rFonts w:cs="Times New Roman"/>
        </w:rPr>
      </w:pPr>
    </w:p>
    <w:p w:rsidR="00F02A46" w:rsidRPr="002C7554" w:rsidRDefault="00B96669">
      <w:pPr>
        <w:pStyle w:val="TableNote"/>
        <w:rPr>
          <w:rFonts w:cs="Times New Roman"/>
        </w:rPr>
      </w:pPr>
      <w:r w:rsidRPr="002C7554">
        <w:rPr>
          <w:rFonts w:cs="Times New Roman"/>
          <w:i/>
        </w:rPr>
        <w:t xml:space="preserve">Note: </w:t>
      </w:r>
      <w:r w:rsidRPr="002C7554">
        <w:rPr>
          <w:rFonts w:cs="Times New Roman"/>
        </w:rPr>
        <w:t xml:space="preserve">Pairs share occupation and </w:t>
      </w:r>
      <w:r w:rsidRPr="002C7554">
        <w:rPr>
          <w:rFonts w:cs="Times New Roman"/>
        </w:rPr>
        <w:t>calendar year. Stage cues, source, and year were masked, passages were randomised, and coders were blind to one another and the matching key. RF = task automation or replacement; RO = replacement only.</w:t>
      </w:r>
    </w:p>
    <w:p w:rsidR="00F02A46" w:rsidRPr="002C7554" w:rsidRDefault="00B96669">
      <w:pPr>
        <w:pStyle w:val="1"/>
        <w:rPr>
          <w:rFonts w:ascii="Times New Roman" w:hAnsi="Times New Roman" w:cs="Times New Roman"/>
        </w:rPr>
      </w:pPr>
      <w:r w:rsidRPr="002C7554">
        <w:rPr>
          <w:rFonts w:ascii="Times New Roman" w:hAnsi="Times New Roman" w:cs="Times New Roman"/>
        </w:rPr>
        <w:t>Supplementary Figures</w:t>
      </w:r>
    </w:p>
    <w:p w:rsidR="00F02A46" w:rsidRPr="002C7554" w:rsidRDefault="00B96669">
      <w:pPr>
        <w:rPr>
          <w:rFonts w:cs="Times New Roman"/>
        </w:rPr>
      </w:pPr>
      <w:r w:rsidRPr="002C7554">
        <w:rPr>
          <w:rFonts w:cs="Times New Roman"/>
        </w:rPr>
        <w:t xml:space="preserve">Supplementary Figure S1. </w:t>
      </w:r>
      <w:r w:rsidRPr="002C7554">
        <w:rPr>
          <w:rFonts w:cs="Times New Roman"/>
        </w:rPr>
        <w:t>Occupation-level selection and fate in AI news discourse, PRE versus POST. Each point is an occupation. Panel a plots the share of cluster-balanced mentions activated as AI targets in PRE against POST; panel b plots replacement-oriented framing among activ</w:t>
      </w:r>
      <w:r w:rsidRPr="002C7554">
        <w:rPr>
          <w:rFonts w:cs="Times New Roman"/>
        </w:rPr>
        <w:t>ated mentions in PRE against POST. The dashed line is equality. Point colour denotes sector and point size is proportional to the POST mention count. These descriptive rates are not rankings of objective exposure.</w:t>
      </w:r>
    </w:p>
    <w:p w:rsidR="00F02A46" w:rsidRPr="002C7554" w:rsidRDefault="00B96669">
      <w:pPr>
        <w:jc w:val="center"/>
        <w:rPr>
          <w:rFonts w:cs="Times New Roman"/>
        </w:rPr>
      </w:pPr>
      <w:r w:rsidRPr="002C7554">
        <w:rPr>
          <w:rFonts w:cs="Times New Roman"/>
          <w:noProof/>
        </w:rPr>
        <w:lastRenderedPageBreak/>
        <w:drawing>
          <wp:inline distT="0" distB="0" distL="0" distR="0">
            <wp:extent cx="5897880" cy="2864648"/>
            <wp:effectExtent l="0" t="0" r="0" b="0"/>
            <wp:docPr id="1" name="Picture 1" descr="Scatterplots comparing occupation-level activation and replacement-oriented framing before and after ChatGPT." title="Scatterplots comparing occupation-level activation and replacement-oriented f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_selection_fate_scatter.png"/>
                    <pic:cNvPicPr/>
                  </pic:nvPicPr>
                  <pic:blipFill>
                    <a:blip r:embed="rId10"/>
                    <a:stretch>
                      <a:fillRect/>
                    </a:stretch>
                  </pic:blipFill>
                  <pic:spPr>
                    <a:xfrm>
                      <a:off x="0" y="0"/>
                      <a:ext cx="5897880" cy="2864648"/>
                    </a:xfrm>
                    <a:prstGeom prst="rect">
                      <a:avLst/>
                    </a:prstGeom>
                  </pic:spPr>
                </pic:pic>
              </a:graphicData>
            </a:graphic>
          </wp:inline>
        </w:drawing>
      </w:r>
    </w:p>
    <w:p w:rsidR="00F02A46" w:rsidRPr="002C7554" w:rsidRDefault="00B96669">
      <w:pPr>
        <w:rPr>
          <w:rFonts w:cs="Times New Roman"/>
        </w:rPr>
      </w:pPr>
      <w:r w:rsidRPr="002C7554">
        <w:rPr>
          <w:rFonts w:cs="Times New Roman"/>
        </w:rPr>
        <w:br w:type="page"/>
      </w:r>
    </w:p>
    <w:p w:rsidR="00F02A46" w:rsidRPr="002C7554" w:rsidRDefault="00B96669">
      <w:pPr>
        <w:rPr>
          <w:rFonts w:cs="Times New Roman"/>
        </w:rPr>
      </w:pPr>
      <w:r w:rsidRPr="002C7554">
        <w:rPr>
          <w:rFonts w:cs="Times New Roman"/>
        </w:rPr>
        <w:lastRenderedPageBreak/>
        <w:t>Supplementary Figure S2. Classifier an</w:t>
      </w:r>
      <w:r w:rsidRPr="002C7554">
        <w:rPr>
          <w:rFonts w:cs="Times New Roman"/>
        </w:rPr>
        <w:t>d blind-human evidence for the career-stage hierarchy. Panel a compares replacement-oriented rates among activated junior and senior mentions in the classifier-labelled and blind-human matched samples. Panel b reports discordant matched-pair directions for</w:t>
      </w:r>
      <w:r w:rsidRPr="002C7554">
        <w:rPr>
          <w:rFonts w:cs="Times New Roman"/>
        </w:rPr>
        <w:t xml:space="preserve"> activation, replacement-oriented framing, and replacement-only framing. Each human-coded pair shares occupation and calendar year.</w:t>
      </w:r>
    </w:p>
    <w:p w:rsidR="00F02A46" w:rsidRPr="002C7554" w:rsidRDefault="00B96669">
      <w:pPr>
        <w:jc w:val="center"/>
        <w:rPr>
          <w:rFonts w:cs="Times New Roman"/>
        </w:rPr>
      </w:pPr>
      <w:r w:rsidRPr="002C7554">
        <w:rPr>
          <w:rFonts w:cs="Times New Roman"/>
          <w:noProof/>
        </w:rPr>
        <w:drawing>
          <wp:inline distT="0" distB="0" distL="0" distR="0">
            <wp:extent cx="5897880" cy="2588857"/>
            <wp:effectExtent l="0" t="0" r="0" b="0"/>
            <wp:docPr id="2" name="Picture 2" descr="Triangulation figure comparing classifier and human labels and matched-pair directions." title="Triangulation figure comparing classifier and human labels and matched-pair 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S2_triangulation.png"/>
                    <pic:cNvPicPr/>
                  </pic:nvPicPr>
                  <pic:blipFill>
                    <a:blip r:embed="rId11"/>
                    <a:stretch>
                      <a:fillRect/>
                    </a:stretch>
                  </pic:blipFill>
                  <pic:spPr>
                    <a:xfrm>
                      <a:off x="0" y="0"/>
                      <a:ext cx="5897880" cy="2588857"/>
                    </a:xfrm>
                    <a:prstGeom prst="rect">
                      <a:avLst/>
                    </a:prstGeom>
                  </pic:spPr>
                </pic:pic>
              </a:graphicData>
            </a:graphic>
          </wp:inline>
        </w:drawing>
      </w:r>
    </w:p>
    <w:p w:rsidR="00F02A46" w:rsidRPr="002C7554" w:rsidRDefault="00B96669">
      <w:pPr>
        <w:rPr>
          <w:rFonts w:cs="Times New Roman"/>
        </w:rPr>
      </w:pPr>
      <w:r w:rsidRPr="002C7554">
        <w:rPr>
          <w:rFonts w:cs="Times New Roman"/>
        </w:rPr>
        <w:br w:type="page"/>
      </w:r>
    </w:p>
    <w:p w:rsidR="00F02A46" w:rsidRPr="002C7554" w:rsidRDefault="00B96669">
      <w:pPr>
        <w:rPr>
          <w:rFonts w:cs="Times New Roman"/>
        </w:rPr>
      </w:pPr>
      <w:r w:rsidRPr="002C7554">
        <w:rPr>
          <w:rFonts w:cs="Times New Roman"/>
        </w:rPr>
        <w:lastRenderedPageBreak/>
        <w:t>Supplementary Figure S3. Occupation-level components of the aggregate PRE-POST change in replacement-oriented news frami</w:t>
      </w:r>
      <w:r w:rsidRPr="002C7554">
        <w:rPr>
          <w:rFonts w:cs="Times New Roman"/>
        </w:rPr>
        <w:t>ng. Bars report within-occupation, compositional, and interaction components in percentage points for all occupations included in the decomposition. The components sum to each occupation's total share of the change.</w:t>
      </w:r>
    </w:p>
    <w:p w:rsidR="00F02A46" w:rsidRPr="002C7554" w:rsidRDefault="00B96669" w:rsidP="002C7554">
      <w:pPr>
        <w:jc w:val="center"/>
        <w:rPr>
          <w:rFonts w:cs="Times New Roman"/>
        </w:rPr>
      </w:pPr>
      <w:r w:rsidRPr="002C7554">
        <w:rPr>
          <w:rFonts w:cs="Times New Roman"/>
          <w:noProof/>
        </w:rPr>
        <w:drawing>
          <wp:inline distT="0" distB="0" distL="0" distR="0">
            <wp:extent cx="5897880" cy="5570378"/>
            <wp:effectExtent l="0" t="0" r="0" b="0"/>
            <wp:docPr id="3" name="Picture 3" descr="Full occupation-level shift-share contributions to the aggregate news change." title="Full occupation-level shift-share contributions to the aggregate news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a:stretch>
                      <a:fillRect/>
                    </a:stretch>
                  </pic:blipFill>
                  <pic:spPr>
                    <a:xfrm>
                      <a:off x="0" y="0"/>
                      <a:ext cx="5897880" cy="5570378"/>
                    </a:xfrm>
                    <a:prstGeom prst="rect">
                      <a:avLst/>
                    </a:prstGeom>
                  </pic:spPr>
                </pic:pic>
              </a:graphicData>
            </a:graphic>
          </wp:inline>
        </w:drawing>
      </w:r>
      <w:bookmarkStart w:id="0" w:name="_GoBack"/>
      <w:bookmarkEnd w:id="0"/>
    </w:p>
    <w:sectPr w:rsidR="00F02A46" w:rsidRPr="002C7554">
      <w:pgSz w:w="12240" w:h="15840"/>
      <w:pgMar w:top="1224" w:right="1440" w:bottom="1152" w:left="144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669" w:rsidRDefault="00B96669">
      <w:pPr>
        <w:spacing w:line="240" w:lineRule="auto"/>
      </w:pPr>
      <w:r>
        <w:separator/>
      </w:r>
    </w:p>
  </w:endnote>
  <w:endnote w:type="continuationSeparator" w:id="0">
    <w:p w:rsidR="00B96669" w:rsidRDefault="00B966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2A46" w:rsidRDefault="00B96669">
    <w:pPr>
      <w:pStyle w:val="a6"/>
      <w:jc w:val="center"/>
    </w:pPr>
    <w:r>
      <w:rPr>
        <w:color w:val="666666"/>
        <w:sz w:val="17"/>
      </w:rPr>
      <w:fldChar w:fldCharType="begin"/>
    </w:r>
    <w:r>
      <w:rPr>
        <w:color w:val="666666"/>
        <w:sz w:val="17"/>
      </w:rPr>
      <w:instrText xml:space="preserve"> PAGE </w:instrText>
    </w:r>
    <w:r w:rsidR="002C7554">
      <w:rPr>
        <w:color w:val="666666"/>
        <w:sz w:val="17"/>
      </w:rPr>
      <w:fldChar w:fldCharType="separate"/>
    </w:r>
    <w:r w:rsidR="002C7554">
      <w:rPr>
        <w:noProof/>
        <w:color w:val="666666"/>
        <w:sz w:val="17"/>
      </w:rPr>
      <w:t>1</w:t>
    </w:r>
    <w:r>
      <w:rPr>
        <w:color w:val="666666"/>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669" w:rsidRDefault="00B96669">
      <w:pPr>
        <w:spacing w:line="240" w:lineRule="auto"/>
      </w:pPr>
      <w:r>
        <w:separator/>
      </w:r>
    </w:p>
  </w:footnote>
  <w:footnote w:type="continuationSeparator" w:id="0">
    <w:p w:rsidR="00B96669" w:rsidRDefault="00B966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2A46" w:rsidRDefault="00B96669">
    <w:pPr>
      <w:pStyle w:val="a5"/>
      <w:jc w:val="center"/>
    </w:pPr>
    <w:r>
      <w:rPr>
        <w:i/>
        <w:color w:val="666666"/>
        <w:sz w:val="17"/>
      </w:rPr>
      <w:t>Supplementary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C7554"/>
    <w:rsid w:val="00326F90"/>
    <w:rsid w:val="00AA1D8D"/>
    <w:rsid w:val="00B47730"/>
    <w:rsid w:val="00B96669"/>
    <w:rsid w:val="00CB0664"/>
    <w:rsid w:val="00F02A4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DF04CBE-DE4C-4869-95B2-9AEAF73C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pPr>
      <w:spacing w:after="0" w:line="360" w:lineRule="auto"/>
      <w:ind w:firstLine="360"/>
    </w:pPr>
    <w:rPr>
      <w:rFonts w:ascii="Times New Roman" w:eastAsia="Times New Roman" w:hAnsi="Times New Roman"/>
      <w:sz w:val="24"/>
    </w:rPr>
  </w:style>
  <w:style w:type="paragraph" w:styleId="1">
    <w:name w:val="heading 1"/>
    <w:basedOn w:val="a1"/>
    <w:next w:val="a1"/>
    <w:link w:val="1Char"/>
    <w:uiPriority w:val="9"/>
    <w:qFormat/>
    <w:rsid w:val="00FC693F"/>
    <w:pPr>
      <w:keepNext/>
      <w:keepLines/>
      <w:spacing w:before="280" w:after="120"/>
      <w:ind w:firstLine="0"/>
      <w:outlineLvl w:val="0"/>
    </w:pPr>
    <w:rPr>
      <w:rFonts w:asciiTheme="majorHAnsi" w:eastAsiaTheme="majorEastAsia" w:hAnsiTheme="majorHAnsi" w:cstheme="majorBidi"/>
      <w:b/>
      <w:bCs/>
      <w:color w:val="222222"/>
      <w:sz w:val="28"/>
      <w:szCs w:val="28"/>
    </w:rPr>
  </w:style>
  <w:style w:type="paragraph" w:styleId="21">
    <w:name w:val="heading 2"/>
    <w:basedOn w:val="a1"/>
    <w:next w:val="a1"/>
    <w:link w:val="2Char"/>
    <w:uiPriority w:val="9"/>
    <w:unhideWhenUsed/>
    <w:qFormat/>
    <w:rsid w:val="00FC693F"/>
    <w:pPr>
      <w:keepNext/>
      <w:keepLines/>
      <w:spacing w:before="220" w:after="80"/>
      <w:ind w:firstLine="0"/>
      <w:outlineLvl w:val="1"/>
    </w:pPr>
    <w:rPr>
      <w:rFonts w:asciiTheme="majorHAnsi" w:eastAsiaTheme="majorEastAsia" w:hAnsiTheme="majorHAnsi" w:cstheme="majorBidi"/>
      <w:b/>
      <w:bCs/>
      <w:color w:val="222222"/>
      <w:szCs w:val="26"/>
    </w:rPr>
  </w:style>
  <w:style w:type="paragraph" w:styleId="31">
    <w:name w:val="heading 3"/>
    <w:basedOn w:val="a1"/>
    <w:next w:val="a1"/>
    <w:link w:val="3Char"/>
    <w:uiPriority w:val="9"/>
    <w:unhideWhenUsed/>
    <w:qFormat/>
    <w:rsid w:val="00FC693F"/>
    <w:pPr>
      <w:keepNext/>
      <w:keepLines/>
      <w:spacing w:before="180" w:after="60"/>
      <w:ind w:firstLine="0"/>
      <w:outlineLvl w:val="2"/>
    </w:pPr>
    <w:rPr>
      <w:rFonts w:asciiTheme="majorHAnsi" w:eastAsiaTheme="majorEastAsia" w:hAnsiTheme="majorHAnsi" w:cstheme="majorBidi"/>
      <w:b/>
      <w:bCs/>
      <w:color w:val="222222"/>
      <w:sz w:val="22"/>
    </w:rPr>
  </w:style>
  <w:style w:type="paragraph" w:styleId="4">
    <w:name w:val="heading 4"/>
    <w:basedOn w:val="a1"/>
    <w:next w:val="a1"/>
    <w:link w:val="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keepNext/>
      <w:pBdr>
        <w:bottom w:val="single" w:sz="8" w:space="4" w:color="4F81BD" w:themeColor="accent1"/>
      </w:pBdr>
      <w:spacing w:after="240" w:line="264" w:lineRule="auto"/>
      <w:ind w:firstLine="0"/>
      <w:contextualSpacing/>
      <w:jc w:val="center"/>
    </w:pPr>
    <w:rPr>
      <w:rFonts w:asciiTheme="majorHAnsi" w:eastAsiaTheme="majorEastAsia" w:hAnsiTheme="majorHAnsi" w:cstheme="majorBidi"/>
      <w:b/>
      <w:color w:val="222222"/>
      <w:spacing w:val="5"/>
      <w:kern w:val="28"/>
      <w:sz w:val="3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ind w:firstLine="360"/>
    </w:pPr>
    <w:rPr>
      <w:rFonts w:asciiTheme="majorHAnsi" w:eastAsiaTheme="majorEastAsia" w:hAnsiTheme="majorHAnsi" w:cstheme="majorBidi"/>
      <w:i/>
      <w:iCs/>
      <w:color w:val="4F81BD" w:themeColor="accent1"/>
      <w:spacing w:val="15"/>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Text">
    <w:name w:val="Abstract Text"/>
    <w:pPr>
      <w:spacing w:after="80"/>
    </w:pPr>
    <w:rPr>
      <w:rFonts w:ascii="Times New Roman" w:eastAsia="Times New Roman" w:hAnsi="Times New Roman"/>
      <w:sz w:val="21"/>
    </w:rPr>
  </w:style>
  <w:style w:type="paragraph" w:customStyle="1" w:styleId="TableCaption">
    <w:name w:val="Table Caption"/>
    <w:pPr>
      <w:keepNext/>
      <w:spacing w:before="160" w:after="60"/>
    </w:pPr>
    <w:rPr>
      <w:rFonts w:ascii="Times New Roman" w:eastAsia="Times New Roman" w:hAnsi="Times New Roman"/>
      <w:b/>
      <w:sz w:val="20"/>
    </w:rPr>
  </w:style>
  <w:style w:type="paragraph" w:customStyle="1" w:styleId="TableNote">
    <w:name w:val="Table Note"/>
    <w:pPr>
      <w:spacing w:before="40" w:after="60" w:line="240" w:lineRule="auto"/>
    </w:pPr>
    <w:rPr>
      <w:rFonts w:ascii="Times New Roman" w:eastAsia="Times New Roman" w:hAnsi="Times New Roman"/>
      <w:sz w:val="16"/>
    </w:rPr>
  </w:style>
  <w:style w:type="paragraph" w:customStyle="1" w:styleId="Reference">
    <w:name w:val="Reference"/>
    <w:pPr>
      <w:spacing w:after="60" w:line="240" w:lineRule="auto"/>
      <w:ind w:left="403" w:hanging="403"/>
    </w:pPr>
    <w:rPr>
      <w:rFonts w:ascii="Times New Roman" w:eastAsia="Times New Roman" w:hAnsi="Times New Roman"/>
      <w:sz w:val="19"/>
    </w:rPr>
  </w:style>
  <w:style w:type="paragraph" w:customStyle="1" w:styleId="FigureCallout">
    <w:name w:val="Figure Callout"/>
    <w:pPr>
      <w:spacing w:before="160" w:after="160"/>
      <w:jc w:val="center"/>
    </w:pPr>
    <w:rPr>
      <w:rFonts w:ascii="Times New Roman" w:eastAsia="Times New Roman" w:hAnsi="Times New Roman"/>
      <w:i/>
      <w:color w:val="666666"/>
      <w:sz w:val="20"/>
    </w:rPr>
  </w:style>
  <w:style w:type="paragraph" w:customStyle="1" w:styleId="Equation">
    <w:name w:val="Equation"/>
    <w:pPr>
      <w:spacing w:before="80" w:after="80"/>
      <w:jc w:val="center"/>
    </w:pPr>
    <w:rPr>
      <w:rFonts w:ascii="Times New Roman" w:eastAsia="Times New Roman" w:hAnsi="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D4E9A-3BE0-4C39-ACE8-DBC9AD347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3393</Words>
  <Characters>19345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22693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 Who becomes replaceable?</dc:title>
  <dc:subject/>
  <dc:creator/>
  <cp:keywords/>
  <dc:description/>
  <cp:lastModifiedBy>hana kim</cp:lastModifiedBy>
  <cp:revision>3</cp:revision>
  <dcterms:created xsi:type="dcterms:W3CDTF">2013-12-23T23:15:00Z</dcterms:created>
  <dcterms:modified xsi:type="dcterms:W3CDTF">2026-06-26T11:35:00Z</dcterms:modified>
  <cp:category/>
</cp:coreProperties>
</file>