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4D04F" w14:textId="1BD4013E" w:rsidR="00CA75DA" w:rsidRPr="008501B4" w:rsidRDefault="00CA75DA" w:rsidP="00E00393">
      <w:pPr>
        <w:spacing w:line="480" w:lineRule="auto"/>
        <w:ind w:right="240"/>
        <w:rPr>
          <w:rFonts w:ascii="TimesNewRomanPSMT" w:eastAsiaTheme="minorEastAsia" w:hAnsi="TimesNewRomanPSMT" w:cs="TimesNewRomanPSMT"/>
          <w:b/>
          <w:bCs/>
          <w:kern w:val="0"/>
        </w:rPr>
      </w:pPr>
      <w:r w:rsidRPr="008501B4">
        <w:rPr>
          <w:rFonts w:ascii="TimesNewRomanPSMT" w:eastAsiaTheme="minorEastAsia" w:hAnsi="TimesNewRomanPSMT" w:cs="TimesNewRomanPSMT"/>
          <w:b/>
          <w:bCs/>
          <w:kern w:val="0"/>
        </w:rPr>
        <w:t>S</w:t>
      </w:r>
      <w:r w:rsidR="00993ADA">
        <w:rPr>
          <w:rFonts w:ascii="TimesNewRomanPSMT" w:eastAsiaTheme="minorEastAsia" w:hAnsi="TimesNewRomanPSMT" w:cs="TimesNewRomanPSMT" w:hint="eastAsia"/>
          <w:b/>
          <w:bCs/>
          <w:kern w:val="0"/>
        </w:rPr>
        <w:t>u</w:t>
      </w:r>
      <w:r w:rsidR="00993ADA">
        <w:rPr>
          <w:rFonts w:ascii="TimesNewRomanPSMT" w:eastAsiaTheme="minorEastAsia" w:hAnsi="TimesNewRomanPSMT" w:cs="TimesNewRomanPSMT"/>
          <w:b/>
          <w:bCs/>
          <w:kern w:val="0"/>
        </w:rPr>
        <w:t xml:space="preserve">pplementary </w:t>
      </w:r>
      <w:r w:rsidR="00EE4B6B">
        <w:rPr>
          <w:rFonts w:ascii="TimesNewRomanPSMT" w:eastAsiaTheme="minorEastAsia" w:hAnsi="TimesNewRomanPSMT" w:cs="TimesNewRomanPSMT"/>
          <w:b/>
          <w:bCs/>
          <w:kern w:val="0"/>
        </w:rPr>
        <w:t>M</w:t>
      </w:r>
      <w:r w:rsidR="00993ADA">
        <w:rPr>
          <w:rFonts w:ascii="TimesNewRomanPSMT" w:eastAsiaTheme="minorEastAsia" w:hAnsi="TimesNewRomanPSMT" w:cs="TimesNewRomanPSMT"/>
          <w:b/>
          <w:bCs/>
          <w:kern w:val="0"/>
        </w:rPr>
        <w:t xml:space="preserve">aterials and </w:t>
      </w:r>
      <w:r w:rsidR="00EE4B6B">
        <w:rPr>
          <w:rFonts w:ascii="TimesNewRomanPSMT" w:eastAsiaTheme="minorEastAsia" w:hAnsi="TimesNewRomanPSMT" w:cs="TimesNewRomanPSMT"/>
          <w:b/>
          <w:bCs/>
          <w:kern w:val="0"/>
        </w:rPr>
        <w:t>M</w:t>
      </w:r>
      <w:r w:rsidR="00993ADA">
        <w:rPr>
          <w:rFonts w:ascii="TimesNewRomanPSMT" w:eastAsiaTheme="minorEastAsia" w:hAnsi="TimesNewRomanPSMT" w:cs="TimesNewRomanPSMT"/>
          <w:b/>
          <w:bCs/>
          <w:kern w:val="0"/>
        </w:rPr>
        <w:t>ethods</w:t>
      </w:r>
    </w:p>
    <w:p w14:paraId="5BCA4350" w14:textId="05658AA7" w:rsidR="00AF5DF3" w:rsidRPr="00CC0840" w:rsidRDefault="00AF5DF3" w:rsidP="00E00393">
      <w:pPr>
        <w:spacing w:line="480" w:lineRule="auto"/>
        <w:ind w:right="240"/>
        <w:rPr>
          <w:bCs/>
          <w:u w:val="single"/>
        </w:rPr>
      </w:pPr>
      <w:r w:rsidRPr="00CC0840">
        <w:rPr>
          <w:bCs/>
          <w:u w:val="single"/>
        </w:rPr>
        <w:t xml:space="preserve">Western blot analysis for WNT5A in </w:t>
      </w:r>
      <w:r>
        <w:rPr>
          <w:bCs/>
          <w:u w:val="single"/>
        </w:rPr>
        <w:t>MDOC</w:t>
      </w:r>
    </w:p>
    <w:p w14:paraId="79853FE2" w14:textId="77777777" w:rsidR="00AF5DF3" w:rsidRPr="00CC0840" w:rsidRDefault="00AF5DF3" w:rsidP="00E00393">
      <w:pPr>
        <w:spacing w:line="480" w:lineRule="auto"/>
        <w:ind w:right="240"/>
        <w:rPr>
          <w:bCs/>
        </w:rPr>
      </w:pPr>
      <w:r>
        <w:rPr>
          <w:bCs/>
        </w:rPr>
        <w:t xml:space="preserve">The </w:t>
      </w:r>
      <w:r w:rsidRPr="00CC0840">
        <w:rPr>
          <w:bCs/>
        </w:rPr>
        <w:t xml:space="preserve">total protein </w:t>
      </w:r>
      <w:r>
        <w:rPr>
          <w:bCs/>
        </w:rPr>
        <w:t xml:space="preserve">from </w:t>
      </w:r>
      <w:r w:rsidRPr="00CC0840">
        <w:rPr>
          <w:bCs/>
        </w:rPr>
        <w:t xml:space="preserve">monocytes and </w:t>
      </w:r>
      <w:r>
        <w:rPr>
          <w:bCs/>
        </w:rPr>
        <w:t>MDOC</w:t>
      </w:r>
      <w:r w:rsidRPr="00CC0840">
        <w:rPr>
          <w:bCs/>
        </w:rPr>
        <w:t xml:space="preserve"> from </w:t>
      </w:r>
      <w:r>
        <w:rPr>
          <w:bCs/>
        </w:rPr>
        <w:t xml:space="preserve">the </w:t>
      </w:r>
      <w:r w:rsidRPr="00CC0840">
        <w:rPr>
          <w:bCs/>
        </w:rPr>
        <w:t xml:space="preserve">patients with </w:t>
      </w:r>
      <w:proofErr w:type="spellStart"/>
      <w:r w:rsidRPr="00CC0840">
        <w:rPr>
          <w:bCs/>
        </w:rPr>
        <w:t>PsA</w:t>
      </w:r>
      <w:proofErr w:type="spellEnd"/>
      <w:r w:rsidRPr="00CC0840">
        <w:rPr>
          <w:bCs/>
        </w:rPr>
        <w:t xml:space="preserve"> and </w:t>
      </w:r>
      <w:r>
        <w:rPr>
          <w:bCs/>
        </w:rPr>
        <w:t>HC</w:t>
      </w:r>
      <w:r w:rsidRPr="00CC0840">
        <w:rPr>
          <w:bCs/>
        </w:rPr>
        <w:t xml:space="preserve"> were separated on a </w:t>
      </w:r>
      <w:proofErr w:type="spellStart"/>
      <w:r w:rsidRPr="00CC0840">
        <w:rPr>
          <w:bCs/>
        </w:rPr>
        <w:t>NuPAGE</w:t>
      </w:r>
      <w:proofErr w:type="spellEnd"/>
      <w:r w:rsidRPr="00CC0840">
        <w:rPr>
          <w:bCs/>
        </w:rPr>
        <w:t>™ 4 to 12%, Bis-Tris, 1.0 mm, Mini Protein Gel (</w:t>
      </w:r>
      <w:proofErr w:type="spellStart"/>
      <w:r w:rsidRPr="00CC0840">
        <w:rPr>
          <w:bCs/>
        </w:rPr>
        <w:t>ThermoFisher</w:t>
      </w:r>
      <w:proofErr w:type="spellEnd"/>
      <w:r w:rsidRPr="00CC0840">
        <w:rPr>
          <w:bCs/>
        </w:rPr>
        <w:t xml:space="preserve"> Scientific, Waltham, MA). The proteins were then transferred to a PVDF membrane (Merck Millipore, Darmstadt, Germany). Nonspecific binding sites were blocked with 5% BSA/PBS for 1 hour at room temperature. </w:t>
      </w:r>
      <w:r>
        <w:rPr>
          <w:bCs/>
        </w:rPr>
        <w:t xml:space="preserve">The </w:t>
      </w:r>
      <w:r w:rsidRPr="00CC0840">
        <w:rPr>
          <w:bCs/>
        </w:rPr>
        <w:t>membranes were subsequently incubated overnight at 4 °C with rabbit anti-human WNT5A (1:1000, Invitrogen, Waltham, MA, USA) and mouse anti-human GAPDH (1:1000, Merck Millipore, Darmstadt, Germany) antibodies. After washing to remove unbound primary antibody, secondary antibody was added. Anti-rabbit IgG HRP (1:10</w:t>
      </w:r>
      <w:r>
        <w:rPr>
          <w:bCs/>
        </w:rPr>
        <w:t>,</w:t>
      </w:r>
      <w:r w:rsidRPr="00CC0840">
        <w:rPr>
          <w:bCs/>
        </w:rPr>
        <w:t>000 Rockland,</w:t>
      </w:r>
      <w:r w:rsidRPr="00CC0840">
        <w:t xml:space="preserve"> </w:t>
      </w:r>
      <w:r w:rsidRPr="00CC0840">
        <w:rPr>
          <w:bCs/>
        </w:rPr>
        <w:t>Pennsylvania,</w:t>
      </w:r>
      <w:r>
        <w:rPr>
          <w:bCs/>
        </w:rPr>
        <w:t xml:space="preserve"> </w:t>
      </w:r>
      <w:r w:rsidRPr="00CC0840">
        <w:rPr>
          <w:bCs/>
        </w:rPr>
        <w:t>USA) and anti-mouse IgG HRP</w:t>
      </w:r>
      <w:r>
        <w:rPr>
          <w:bCs/>
        </w:rPr>
        <w:t xml:space="preserve"> </w:t>
      </w:r>
      <w:r w:rsidRPr="00CC0840">
        <w:rPr>
          <w:bCs/>
        </w:rPr>
        <w:t>(1:10</w:t>
      </w:r>
      <w:r>
        <w:rPr>
          <w:bCs/>
        </w:rPr>
        <w:t>,</w:t>
      </w:r>
      <w:r w:rsidRPr="00CC0840">
        <w:rPr>
          <w:bCs/>
        </w:rPr>
        <w:t xml:space="preserve">000, </w:t>
      </w:r>
      <w:proofErr w:type="spellStart"/>
      <w:r w:rsidRPr="00CC0840">
        <w:rPr>
          <w:bCs/>
        </w:rPr>
        <w:t>eBioscience</w:t>
      </w:r>
      <w:proofErr w:type="spellEnd"/>
      <w:r w:rsidRPr="00CC0840">
        <w:rPr>
          <w:bCs/>
        </w:rPr>
        <w:t>,</w:t>
      </w:r>
      <w:r w:rsidRPr="00CC0840">
        <w:t xml:space="preserve"> </w:t>
      </w:r>
      <w:r w:rsidRPr="00CC0840">
        <w:rPr>
          <w:bCs/>
        </w:rPr>
        <w:t>California,</w:t>
      </w:r>
      <w:r>
        <w:rPr>
          <w:bCs/>
        </w:rPr>
        <w:t xml:space="preserve"> </w:t>
      </w:r>
      <w:r w:rsidRPr="00CC0840">
        <w:rPr>
          <w:bCs/>
        </w:rPr>
        <w:t xml:space="preserve">USA) were used as </w:t>
      </w:r>
      <w:r>
        <w:rPr>
          <w:bCs/>
        </w:rPr>
        <w:t xml:space="preserve">the </w:t>
      </w:r>
      <w:r w:rsidRPr="00CC0840">
        <w:rPr>
          <w:bCs/>
        </w:rPr>
        <w:t xml:space="preserve">secondary antibodies. </w:t>
      </w:r>
      <w:r>
        <w:rPr>
          <w:bCs/>
        </w:rPr>
        <w:t xml:space="preserve">The </w:t>
      </w:r>
      <w:r w:rsidRPr="00CC0840">
        <w:rPr>
          <w:bCs/>
        </w:rPr>
        <w:t xml:space="preserve">band densities were quantified using </w:t>
      </w:r>
      <w:r>
        <w:rPr>
          <w:bCs/>
        </w:rPr>
        <w:t xml:space="preserve">the </w:t>
      </w:r>
      <w:r w:rsidRPr="00CC0840">
        <w:rPr>
          <w:bCs/>
        </w:rPr>
        <w:t>Quantity One software (NIH, Bethesda, MD).</w:t>
      </w:r>
    </w:p>
    <w:p w14:paraId="07F0A98E" w14:textId="77777777" w:rsidR="00AF5DF3" w:rsidRPr="00CC0840" w:rsidRDefault="00AF5DF3" w:rsidP="00E00393">
      <w:pPr>
        <w:spacing w:line="480" w:lineRule="auto"/>
        <w:ind w:right="240"/>
        <w:rPr>
          <w:b/>
          <w:u w:val="single"/>
        </w:rPr>
      </w:pPr>
    </w:p>
    <w:p w14:paraId="36A56828" w14:textId="77777777" w:rsidR="00AF5DF3" w:rsidRPr="00CC0840" w:rsidRDefault="00AF5DF3" w:rsidP="00E00393">
      <w:pPr>
        <w:spacing w:line="480" w:lineRule="auto"/>
        <w:ind w:right="240"/>
        <w:rPr>
          <w:b/>
        </w:rPr>
      </w:pPr>
      <w:bookmarkStart w:id="0" w:name="_Hlk78401628"/>
      <w:r w:rsidRPr="00CC0840">
        <w:rPr>
          <w:bCs/>
          <w:u w:val="single"/>
        </w:rPr>
        <w:t>Immunohistochemistry</w:t>
      </w:r>
      <w:bookmarkEnd w:id="0"/>
      <w:r w:rsidRPr="00CC0840">
        <w:rPr>
          <w:bCs/>
          <w:u w:val="single"/>
        </w:rPr>
        <w:t xml:space="preserve"> (IHC) for WNT5A</w:t>
      </w:r>
      <w:r>
        <w:rPr>
          <w:bCs/>
          <w:u w:val="single"/>
        </w:rPr>
        <w:t>-</w:t>
      </w:r>
      <w:r w:rsidRPr="00CC0840">
        <w:rPr>
          <w:bCs/>
          <w:u w:val="single"/>
        </w:rPr>
        <w:t xml:space="preserve"> and CD68</w:t>
      </w:r>
      <w:r>
        <w:rPr>
          <w:bCs/>
          <w:u w:val="single"/>
        </w:rPr>
        <w:t>-</w:t>
      </w:r>
      <w:r w:rsidRPr="00CC0840">
        <w:rPr>
          <w:bCs/>
          <w:u w:val="single"/>
        </w:rPr>
        <w:t xml:space="preserve">expressing osteoclasts in </w:t>
      </w:r>
      <w:proofErr w:type="spellStart"/>
      <w:r w:rsidRPr="00CC0840">
        <w:rPr>
          <w:bCs/>
          <w:u w:val="single"/>
        </w:rPr>
        <w:t>PsA</w:t>
      </w:r>
      <w:proofErr w:type="spellEnd"/>
      <w:r>
        <w:rPr>
          <w:bCs/>
          <w:u w:val="single"/>
        </w:rPr>
        <w:t xml:space="preserve">-affected </w:t>
      </w:r>
      <w:r w:rsidRPr="00CC0840">
        <w:rPr>
          <w:bCs/>
          <w:u w:val="single"/>
        </w:rPr>
        <w:t>joints</w:t>
      </w:r>
    </w:p>
    <w:p w14:paraId="02998985" w14:textId="77777777" w:rsidR="00AF5DF3" w:rsidRPr="00CC0840" w:rsidRDefault="00AF5DF3" w:rsidP="00E00393">
      <w:pPr>
        <w:spacing w:line="480" w:lineRule="auto"/>
        <w:ind w:right="240"/>
        <w:rPr>
          <w:bCs/>
        </w:rPr>
      </w:pPr>
      <w:r w:rsidRPr="00CC0840">
        <w:rPr>
          <w:bCs/>
        </w:rPr>
        <w:t>Paraffin</w:t>
      </w:r>
      <w:r>
        <w:rPr>
          <w:bCs/>
        </w:rPr>
        <w:t>-</w:t>
      </w:r>
      <w:r w:rsidRPr="00CC0840">
        <w:rPr>
          <w:bCs/>
        </w:rPr>
        <w:t xml:space="preserve">embedded slides from destructive </w:t>
      </w:r>
      <w:proofErr w:type="spellStart"/>
      <w:r>
        <w:rPr>
          <w:bCs/>
        </w:rPr>
        <w:t>PsA</w:t>
      </w:r>
      <w:proofErr w:type="spellEnd"/>
      <w:r>
        <w:rPr>
          <w:bCs/>
        </w:rPr>
        <w:t xml:space="preserve"> and osteoarthritic </w:t>
      </w:r>
      <w:r w:rsidRPr="00CC0840">
        <w:rPr>
          <w:bCs/>
        </w:rPr>
        <w:t>joints were used for CD68 and WNT5A immunofluorescen</w:t>
      </w:r>
      <w:r>
        <w:rPr>
          <w:bCs/>
        </w:rPr>
        <w:t>t</w:t>
      </w:r>
      <w:r w:rsidRPr="00CC0840">
        <w:rPr>
          <w:bCs/>
        </w:rPr>
        <w:t xml:space="preserve"> staining. The WNT5A/CD68 dual-immunohistochemical procedure was performed using standard reagents and techniques on </w:t>
      </w:r>
      <w:r w:rsidRPr="00CC0840">
        <w:rPr>
          <w:bCs/>
        </w:rPr>
        <w:lastRenderedPageBreak/>
        <w:t xml:space="preserve">the Bond-Max Automated Staining System (Leica Biosystems, </w:t>
      </w:r>
      <w:proofErr w:type="spellStart"/>
      <w:r w:rsidRPr="00CC0840">
        <w:rPr>
          <w:bCs/>
        </w:rPr>
        <w:t>Wetzlar</w:t>
      </w:r>
      <w:proofErr w:type="spellEnd"/>
      <w:r w:rsidRPr="00CC0840">
        <w:rPr>
          <w:bCs/>
        </w:rPr>
        <w:t>, Germany). The tissue sections were deparaffinized, rehydrated</w:t>
      </w:r>
      <w:r>
        <w:rPr>
          <w:bCs/>
        </w:rPr>
        <w:t>,</w:t>
      </w:r>
      <w:r w:rsidRPr="00CC0840">
        <w:rPr>
          <w:bCs/>
        </w:rPr>
        <w:t xml:space="preserve"> and boiled to induce epitope retrieval (100</w:t>
      </w:r>
      <w:r>
        <w:rPr>
          <w:bCs/>
        </w:rPr>
        <w:t xml:space="preserve"> </w:t>
      </w:r>
      <w:r w:rsidRPr="00CC0840">
        <w:rPr>
          <w:bCs/>
        </w:rPr>
        <w:t xml:space="preserve">°C for 20 minutes). </w:t>
      </w:r>
      <w:r>
        <w:rPr>
          <w:bCs/>
        </w:rPr>
        <w:t>They were</w:t>
      </w:r>
      <w:r w:rsidRPr="00CC0840">
        <w:rPr>
          <w:bCs/>
        </w:rPr>
        <w:t xml:space="preserve"> then incubated with the </w:t>
      </w:r>
      <w:r>
        <w:rPr>
          <w:bCs/>
        </w:rPr>
        <w:t xml:space="preserve">first </w:t>
      </w:r>
      <w:r w:rsidRPr="00CC0840">
        <w:rPr>
          <w:bCs/>
        </w:rPr>
        <w:t>primary antibody</w:t>
      </w:r>
      <w:r>
        <w:rPr>
          <w:bCs/>
        </w:rPr>
        <w:t>,</w:t>
      </w:r>
      <w:r w:rsidRPr="00CC0840">
        <w:rPr>
          <w:bCs/>
        </w:rPr>
        <w:t xml:space="preserve"> rabbit anti-human WNT5A (1:500, Invitrogen, Waltham, MA)</w:t>
      </w:r>
      <w:r>
        <w:rPr>
          <w:bCs/>
        </w:rPr>
        <w:t>,</w:t>
      </w:r>
      <w:r w:rsidRPr="00CC0840">
        <w:rPr>
          <w:bCs/>
        </w:rPr>
        <w:t xml:space="preserve"> followed by </w:t>
      </w:r>
      <w:r>
        <w:rPr>
          <w:bCs/>
        </w:rPr>
        <w:t xml:space="preserve">analysis using the </w:t>
      </w:r>
      <w:r w:rsidRPr="00CC0840">
        <w:rPr>
          <w:bCs/>
        </w:rPr>
        <w:t xml:space="preserve">Bond Polymer Refine detection system (DS9800, Leica Biosystems, </w:t>
      </w:r>
      <w:proofErr w:type="spellStart"/>
      <w:r w:rsidRPr="00CC0840">
        <w:rPr>
          <w:bCs/>
        </w:rPr>
        <w:t>Wetzlar</w:t>
      </w:r>
      <w:proofErr w:type="spellEnd"/>
      <w:r w:rsidRPr="00CC0840">
        <w:rPr>
          <w:bCs/>
        </w:rPr>
        <w:t>, Germany)</w:t>
      </w:r>
      <w:r>
        <w:rPr>
          <w:bCs/>
        </w:rPr>
        <w:t xml:space="preserve"> and</w:t>
      </w:r>
      <w:r w:rsidRPr="00CC0840">
        <w:rPr>
          <w:bCs/>
        </w:rPr>
        <w:t xml:space="preserve"> using DAB as a substrate to produce </w:t>
      </w:r>
      <w:r>
        <w:rPr>
          <w:bCs/>
        </w:rPr>
        <w:t xml:space="preserve">a </w:t>
      </w:r>
      <w:r w:rsidRPr="00CC0840">
        <w:rPr>
          <w:bCs/>
        </w:rPr>
        <w:t>brown color. Subsequently, the section</w:t>
      </w:r>
      <w:r>
        <w:rPr>
          <w:bCs/>
        </w:rPr>
        <w:t>s</w:t>
      </w:r>
      <w:r w:rsidRPr="00CC0840">
        <w:rPr>
          <w:bCs/>
        </w:rPr>
        <w:t xml:space="preserve"> w</w:t>
      </w:r>
      <w:r>
        <w:rPr>
          <w:bCs/>
        </w:rPr>
        <w:t>ere</w:t>
      </w:r>
      <w:r w:rsidRPr="00CC0840">
        <w:rPr>
          <w:bCs/>
        </w:rPr>
        <w:t xml:space="preserve"> incubated with the second primary antibody</w:t>
      </w:r>
      <w:r>
        <w:rPr>
          <w:bCs/>
        </w:rPr>
        <w:t>,</w:t>
      </w:r>
      <w:r w:rsidRPr="00CC0840">
        <w:rPr>
          <w:bCs/>
        </w:rPr>
        <w:t xml:space="preserve"> mouse anti-human CD68 (clone 514H12, 1:800; Leica Biosystems, </w:t>
      </w:r>
      <w:proofErr w:type="spellStart"/>
      <w:r w:rsidRPr="00CC0840">
        <w:rPr>
          <w:bCs/>
        </w:rPr>
        <w:t>Wetzlar</w:t>
      </w:r>
      <w:proofErr w:type="spellEnd"/>
      <w:r w:rsidRPr="00CC0840">
        <w:rPr>
          <w:bCs/>
        </w:rPr>
        <w:t>, Germany)</w:t>
      </w:r>
      <w:r>
        <w:rPr>
          <w:bCs/>
        </w:rPr>
        <w:t>,</w:t>
      </w:r>
      <w:r w:rsidRPr="00CC0840">
        <w:rPr>
          <w:bCs/>
        </w:rPr>
        <w:t xml:space="preserve"> followed by </w:t>
      </w:r>
      <w:r>
        <w:rPr>
          <w:bCs/>
        </w:rPr>
        <w:t xml:space="preserve">analysis on </w:t>
      </w:r>
      <w:r w:rsidRPr="00CC0840">
        <w:rPr>
          <w:bCs/>
        </w:rPr>
        <w:t xml:space="preserve">the same detection system using </w:t>
      </w:r>
      <w:r>
        <w:rPr>
          <w:bCs/>
        </w:rPr>
        <w:t xml:space="preserve">the </w:t>
      </w:r>
      <w:r w:rsidRPr="00CC0840">
        <w:rPr>
          <w:bCs/>
        </w:rPr>
        <w:t xml:space="preserve">AP-Red chromogen to generate </w:t>
      </w:r>
      <w:r>
        <w:rPr>
          <w:bCs/>
        </w:rPr>
        <w:t xml:space="preserve">a </w:t>
      </w:r>
      <w:r w:rsidRPr="00CC0840">
        <w:rPr>
          <w:bCs/>
        </w:rPr>
        <w:t xml:space="preserve">red color. Counterstaining with hematoxylin was </w:t>
      </w:r>
      <w:r>
        <w:rPr>
          <w:bCs/>
        </w:rPr>
        <w:t>performed</w:t>
      </w:r>
      <w:r w:rsidRPr="00CC0840">
        <w:rPr>
          <w:bCs/>
        </w:rPr>
        <w:t xml:space="preserve"> according to </w:t>
      </w:r>
      <w:r>
        <w:rPr>
          <w:bCs/>
        </w:rPr>
        <w:t xml:space="preserve">the </w:t>
      </w:r>
      <w:r w:rsidRPr="00CC0840">
        <w:rPr>
          <w:bCs/>
        </w:rPr>
        <w:t>manufacturer’s instruction</w:t>
      </w:r>
      <w:r>
        <w:rPr>
          <w:bCs/>
        </w:rPr>
        <w:t>s</w:t>
      </w:r>
      <w:r w:rsidRPr="00CC0840">
        <w:rPr>
          <w:bCs/>
        </w:rPr>
        <w:t xml:space="preserve">. </w:t>
      </w:r>
      <w:r>
        <w:rPr>
          <w:bCs/>
        </w:rPr>
        <w:t xml:space="preserve">The </w:t>
      </w:r>
      <w:r w:rsidRPr="00CC0840">
        <w:rPr>
          <w:bCs/>
        </w:rPr>
        <w:t>stained sections were examined by light microscop</w:t>
      </w:r>
      <w:r>
        <w:rPr>
          <w:bCs/>
        </w:rPr>
        <w:t>y</w:t>
      </w:r>
      <w:r w:rsidRPr="00CC0840">
        <w:rPr>
          <w:bCs/>
        </w:rPr>
        <w:t xml:space="preserve"> (Leica DM2500, </w:t>
      </w:r>
      <w:proofErr w:type="spellStart"/>
      <w:r w:rsidRPr="00CC0840">
        <w:rPr>
          <w:bCs/>
        </w:rPr>
        <w:t>Wetzlar</w:t>
      </w:r>
      <w:proofErr w:type="spellEnd"/>
      <w:r w:rsidRPr="00CC0840">
        <w:rPr>
          <w:bCs/>
        </w:rPr>
        <w:t>, Germany)</w:t>
      </w:r>
      <w:r>
        <w:rPr>
          <w:bCs/>
        </w:rPr>
        <w:t>,</w:t>
      </w:r>
      <w:r w:rsidRPr="00CC0840">
        <w:rPr>
          <w:bCs/>
        </w:rPr>
        <w:t xml:space="preserve"> </w:t>
      </w:r>
      <w:r>
        <w:rPr>
          <w:bCs/>
        </w:rPr>
        <w:t xml:space="preserve">and </w:t>
      </w:r>
      <w:r w:rsidRPr="00CC0840">
        <w:rPr>
          <w:bCs/>
        </w:rPr>
        <w:t xml:space="preserve">five digital images </w:t>
      </w:r>
      <w:r>
        <w:rPr>
          <w:bCs/>
        </w:rPr>
        <w:t xml:space="preserve">were captured </w:t>
      </w:r>
      <w:r w:rsidRPr="00CC0840">
        <w:rPr>
          <w:bCs/>
        </w:rPr>
        <w:t>at 200</w:t>
      </w:r>
      <w:r>
        <w:rPr>
          <w:bCs/>
        </w:rPr>
        <w:t>×</w:t>
      </w:r>
      <w:r w:rsidRPr="00CC0840">
        <w:rPr>
          <w:bCs/>
        </w:rPr>
        <w:t xml:space="preserve"> magnification. Image Pro software (Image-Pro Plus, Media Cybernetics, Silver Spring, MD) was used to </w:t>
      </w:r>
      <w:r>
        <w:rPr>
          <w:bCs/>
        </w:rPr>
        <w:t>determine</w:t>
      </w:r>
      <w:r w:rsidRPr="00CC0840">
        <w:rPr>
          <w:bCs/>
        </w:rPr>
        <w:t xml:space="preserve"> the numbers of WNT5A</w:t>
      </w:r>
      <w:r>
        <w:rPr>
          <w:bCs/>
        </w:rPr>
        <w:t>-expressing and</w:t>
      </w:r>
      <w:r w:rsidRPr="006E043E">
        <w:rPr>
          <w:bCs/>
        </w:rPr>
        <w:t xml:space="preserve"> </w:t>
      </w:r>
      <w:r w:rsidRPr="00CC0840">
        <w:rPr>
          <w:bCs/>
        </w:rPr>
        <w:t>CD68</w:t>
      </w:r>
      <w:r>
        <w:rPr>
          <w:bCs/>
        </w:rPr>
        <w:t>-expressing</w:t>
      </w:r>
      <w:r w:rsidRPr="00CC0840">
        <w:rPr>
          <w:bCs/>
        </w:rPr>
        <w:t xml:space="preserve"> osteoclasts.</w:t>
      </w:r>
    </w:p>
    <w:p w14:paraId="573D75A0" w14:textId="77777777" w:rsidR="00AF5DF3" w:rsidRPr="00CC0840" w:rsidRDefault="00AF5DF3" w:rsidP="00E00393">
      <w:pPr>
        <w:spacing w:line="480" w:lineRule="auto"/>
        <w:ind w:right="240"/>
        <w:rPr>
          <w:b/>
          <w:u w:val="single"/>
        </w:rPr>
      </w:pPr>
    </w:p>
    <w:p w14:paraId="6BD671D0" w14:textId="77777777" w:rsidR="00AF5DF3" w:rsidRPr="00CC0840" w:rsidRDefault="00AF5DF3" w:rsidP="00E00393">
      <w:pPr>
        <w:spacing w:line="480" w:lineRule="auto"/>
        <w:ind w:right="240"/>
        <w:rPr>
          <w:bCs/>
          <w:u w:val="single"/>
        </w:rPr>
      </w:pPr>
      <w:r w:rsidRPr="00CC0840">
        <w:rPr>
          <w:bCs/>
          <w:u w:val="single"/>
        </w:rPr>
        <w:t xml:space="preserve">RNA interference against WNT5A in </w:t>
      </w:r>
      <w:r>
        <w:rPr>
          <w:bCs/>
          <w:u w:val="single"/>
        </w:rPr>
        <w:t>MDOC</w:t>
      </w:r>
    </w:p>
    <w:p w14:paraId="1CD91E9E" w14:textId="77777777" w:rsidR="00AF5DF3" w:rsidRPr="00CC0840" w:rsidRDefault="00AF5DF3" w:rsidP="00E00393">
      <w:pPr>
        <w:spacing w:line="480" w:lineRule="auto"/>
        <w:ind w:right="240"/>
        <w:rPr>
          <w:rFonts w:eastAsia="標楷體"/>
        </w:rPr>
      </w:pPr>
      <w:r w:rsidRPr="00CC0840">
        <w:rPr>
          <w:rFonts w:eastAsia="標楷體"/>
        </w:rPr>
        <w:t xml:space="preserve">The CD14+ monocytes from patients with </w:t>
      </w:r>
      <w:proofErr w:type="spellStart"/>
      <w:r w:rsidRPr="00CC0840">
        <w:rPr>
          <w:rFonts w:eastAsia="標楷體"/>
        </w:rPr>
        <w:t>PsA</w:t>
      </w:r>
      <w:proofErr w:type="spellEnd"/>
      <w:r w:rsidRPr="00CC0840">
        <w:rPr>
          <w:rFonts w:eastAsia="標楷體"/>
        </w:rPr>
        <w:t xml:space="preserve"> and </w:t>
      </w:r>
      <w:r>
        <w:rPr>
          <w:rFonts w:eastAsia="標楷體"/>
        </w:rPr>
        <w:t>HC</w:t>
      </w:r>
      <w:r w:rsidRPr="00CC0840">
        <w:rPr>
          <w:rFonts w:eastAsia="標楷體"/>
        </w:rPr>
        <w:t xml:space="preserve"> were treated with M-CSF </w:t>
      </w:r>
      <w:r w:rsidRPr="00CC0840">
        <w:rPr>
          <w:bCs/>
        </w:rPr>
        <w:t>(20 ng/</w:t>
      </w:r>
      <w:r>
        <w:rPr>
          <w:bCs/>
        </w:rPr>
        <w:t>mL</w:t>
      </w:r>
      <w:r w:rsidRPr="00CC0840">
        <w:rPr>
          <w:bCs/>
        </w:rPr>
        <w:t>)</w:t>
      </w:r>
      <w:r w:rsidRPr="00CC0840">
        <w:rPr>
          <w:rFonts w:eastAsia="標楷體"/>
        </w:rPr>
        <w:t xml:space="preserve"> for 3 days.</w:t>
      </w:r>
      <w:r w:rsidRPr="00CC0840">
        <w:rPr>
          <w:bCs/>
        </w:rPr>
        <w:t xml:space="preserve"> </w:t>
      </w:r>
      <w:r>
        <w:rPr>
          <w:bCs/>
        </w:rPr>
        <w:t xml:space="preserve">The </w:t>
      </w:r>
      <w:r w:rsidRPr="00CC0840">
        <w:rPr>
          <w:bCs/>
        </w:rPr>
        <w:t xml:space="preserve">cells were then transfected with </w:t>
      </w:r>
      <w:r>
        <w:rPr>
          <w:bCs/>
        </w:rPr>
        <w:t xml:space="preserve">either </w:t>
      </w:r>
      <w:r w:rsidRPr="00CC0840">
        <w:rPr>
          <w:bCs/>
        </w:rPr>
        <w:t>WNT5A siRNA or mock siRNA as a negative control (</w:t>
      </w:r>
      <w:proofErr w:type="spellStart"/>
      <w:r w:rsidRPr="00CC0840">
        <w:rPr>
          <w:bCs/>
        </w:rPr>
        <w:t>Dharmacon</w:t>
      </w:r>
      <w:proofErr w:type="spellEnd"/>
      <w:r w:rsidRPr="00CC0840">
        <w:rPr>
          <w:bCs/>
        </w:rPr>
        <w:t xml:space="preserve">, Lafayette, CO) using </w:t>
      </w:r>
      <w:r>
        <w:rPr>
          <w:bCs/>
        </w:rPr>
        <w:t>L</w:t>
      </w:r>
      <w:r w:rsidRPr="00CC0840">
        <w:rPr>
          <w:bCs/>
        </w:rPr>
        <w:t xml:space="preserve">ipofectamine 3000 for 6 </w:t>
      </w:r>
      <w:r w:rsidRPr="00CC0840">
        <w:rPr>
          <w:bCs/>
        </w:rPr>
        <w:lastRenderedPageBreak/>
        <w:t xml:space="preserve">hours (Invitrogen, Carlsbad, CA). The contents of </w:t>
      </w:r>
      <w:r>
        <w:rPr>
          <w:bCs/>
        </w:rPr>
        <w:t xml:space="preserve">the </w:t>
      </w:r>
      <w:r w:rsidRPr="00CC0840">
        <w:rPr>
          <w:bCs/>
        </w:rPr>
        <w:t xml:space="preserve">siWNT5A </w:t>
      </w:r>
      <w:proofErr w:type="spellStart"/>
      <w:r w:rsidRPr="00CC0840">
        <w:rPr>
          <w:bCs/>
        </w:rPr>
        <w:t>SMARTpool</w:t>
      </w:r>
      <w:proofErr w:type="spellEnd"/>
      <w:r w:rsidRPr="00CC0840">
        <w:rPr>
          <w:bCs/>
        </w:rPr>
        <w:t xml:space="preserve"> (</w:t>
      </w:r>
      <w:proofErr w:type="spellStart"/>
      <w:r w:rsidRPr="00CC0840">
        <w:rPr>
          <w:bCs/>
        </w:rPr>
        <w:t>Dharmacon</w:t>
      </w:r>
      <w:proofErr w:type="spellEnd"/>
      <w:r w:rsidRPr="00CC0840">
        <w:rPr>
          <w:bCs/>
        </w:rPr>
        <w:t xml:space="preserve">, Lafayette, CO, USA) included a mixture of </w:t>
      </w:r>
      <w:r>
        <w:rPr>
          <w:bCs/>
        </w:rPr>
        <w:t>four</w:t>
      </w:r>
      <w:r w:rsidRPr="00CC0840">
        <w:rPr>
          <w:bCs/>
        </w:rPr>
        <w:t xml:space="preserve"> siRNAs (GUUCAGCUGUCAGAAGUAU, UCAGAUGUCAGAAGUAUAU, GCGACAACAUCGACUAUGG</w:t>
      </w:r>
      <w:r>
        <w:rPr>
          <w:bCs/>
        </w:rPr>
        <w:t>,</w:t>
      </w:r>
      <w:r w:rsidRPr="00CC0840">
        <w:rPr>
          <w:bCs/>
        </w:rPr>
        <w:t xml:space="preserve"> and GGUCGCUAGGUAUGAAUAA), while the contents of </w:t>
      </w:r>
      <w:r>
        <w:rPr>
          <w:bCs/>
        </w:rPr>
        <w:t xml:space="preserve">the </w:t>
      </w:r>
      <w:r w:rsidRPr="00CC0840">
        <w:rPr>
          <w:bCs/>
        </w:rPr>
        <w:t>mock siRNA Control Pools (</w:t>
      </w:r>
      <w:proofErr w:type="spellStart"/>
      <w:r w:rsidRPr="00CC0840">
        <w:rPr>
          <w:bCs/>
        </w:rPr>
        <w:t>Dharmacon</w:t>
      </w:r>
      <w:proofErr w:type="spellEnd"/>
      <w:r w:rsidRPr="00CC0840">
        <w:rPr>
          <w:bCs/>
        </w:rPr>
        <w:t xml:space="preserve">, Lafayette, CO, USA) included a mixture of </w:t>
      </w:r>
      <w:r>
        <w:rPr>
          <w:bCs/>
        </w:rPr>
        <w:t>four</w:t>
      </w:r>
      <w:r w:rsidRPr="00CC0840">
        <w:rPr>
          <w:bCs/>
        </w:rPr>
        <w:t xml:space="preserve"> siRNAs </w:t>
      </w:r>
      <w:r>
        <w:rPr>
          <w:bCs/>
        </w:rPr>
        <w:t>(</w:t>
      </w:r>
      <w:r w:rsidRPr="00CC0840">
        <w:rPr>
          <w:bCs/>
        </w:rPr>
        <w:t xml:space="preserve">GAAGAACGGAGUAGACUAU, GCACAAGACGACAAGAUAU, CAGAAUGGGUGAUCAUAUC, and GAAUAGGUCAGAUAUGCAA). </w:t>
      </w:r>
      <w:r w:rsidRPr="00CC0840">
        <w:rPr>
          <w:rFonts w:eastAsia="標楷體"/>
        </w:rPr>
        <w:t xml:space="preserve">After transfection, RANKL </w:t>
      </w:r>
      <w:r w:rsidRPr="00CC0840">
        <w:rPr>
          <w:bCs/>
        </w:rPr>
        <w:t>(25 ng/m</w:t>
      </w:r>
      <w:r>
        <w:rPr>
          <w:bCs/>
        </w:rPr>
        <w:t>L</w:t>
      </w:r>
      <w:r w:rsidRPr="00CC0840">
        <w:rPr>
          <w:bCs/>
        </w:rPr>
        <w:t xml:space="preserve">) </w:t>
      </w:r>
      <w:r w:rsidRPr="00CC0840">
        <w:rPr>
          <w:rFonts w:eastAsia="標楷體"/>
        </w:rPr>
        <w:t xml:space="preserve">and TNF-α </w:t>
      </w:r>
      <w:r w:rsidRPr="00CC0840">
        <w:rPr>
          <w:bCs/>
        </w:rPr>
        <w:t>(50 ng/m</w:t>
      </w:r>
      <w:r>
        <w:rPr>
          <w:bCs/>
        </w:rPr>
        <w:t>L</w:t>
      </w:r>
      <w:r w:rsidRPr="00CC0840">
        <w:rPr>
          <w:bCs/>
        </w:rPr>
        <w:t>)</w:t>
      </w:r>
      <w:r w:rsidRPr="00CC0840">
        <w:rPr>
          <w:rFonts w:eastAsia="標楷體"/>
        </w:rPr>
        <w:t xml:space="preserve"> were added every 3 days for 9 days to induce and maintain osteoclast differentiation. </w:t>
      </w:r>
    </w:p>
    <w:p w14:paraId="50785629" w14:textId="77777777" w:rsidR="00AF5DF3" w:rsidRPr="00CC0840" w:rsidRDefault="00AF5DF3" w:rsidP="00E00393">
      <w:pPr>
        <w:spacing w:line="480" w:lineRule="auto"/>
        <w:ind w:right="240"/>
        <w:rPr>
          <w:bCs/>
        </w:rPr>
      </w:pPr>
    </w:p>
    <w:p w14:paraId="338E36AA" w14:textId="77777777" w:rsidR="00AF5DF3" w:rsidRPr="00CC0840" w:rsidRDefault="00AF5DF3" w:rsidP="00E00393">
      <w:pPr>
        <w:spacing w:line="480" w:lineRule="auto"/>
        <w:ind w:right="240"/>
        <w:rPr>
          <w:bCs/>
          <w:u w:val="single"/>
        </w:rPr>
      </w:pPr>
      <w:bookmarkStart w:id="1" w:name="_Hlk78401803"/>
      <w:r w:rsidRPr="00CC0840">
        <w:rPr>
          <w:bCs/>
          <w:u w:val="single"/>
        </w:rPr>
        <w:t>Human cytokine and chemokine antibody array</w:t>
      </w:r>
    </w:p>
    <w:bookmarkEnd w:id="1"/>
    <w:p w14:paraId="71D3F471" w14:textId="77777777" w:rsidR="00AF5DF3" w:rsidRPr="00CC0840" w:rsidRDefault="00AF5DF3" w:rsidP="00E00393">
      <w:pPr>
        <w:spacing w:line="480" w:lineRule="auto"/>
        <w:ind w:right="240"/>
        <w:rPr>
          <w:bCs/>
        </w:rPr>
      </w:pPr>
      <w:r>
        <w:rPr>
          <w:bCs/>
        </w:rPr>
        <w:t xml:space="preserve">A </w:t>
      </w:r>
      <w:r w:rsidRPr="00CC0840">
        <w:rPr>
          <w:bCs/>
        </w:rPr>
        <w:t xml:space="preserve">Human Cytokine Array Panel A (ARY005; R&amp;D Systems, Minnesota, USA) and a Human Chemokine Array Kit (ARY017; R&amp;D Systems, Minnesota, USA) were used to profile 36 cytokines and 31 chemokines, respectively, in the supernatants from cell cultures. The array membranes were incubated in blocking buffer for 1 hour at room temperature. </w:t>
      </w:r>
      <w:r>
        <w:rPr>
          <w:bCs/>
        </w:rPr>
        <w:t xml:space="preserve">Subsequently, </w:t>
      </w:r>
      <w:r w:rsidRPr="00CC0840">
        <w:rPr>
          <w:bCs/>
        </w:rPr>
        <w:t>1.5 ml of the sample/antibody mixture was added per well, followed by incubation overnight at 2–8</w:t>
      </w:r>
      <w:r>
        <w:rPr>
          <w:bCs/>
        </w:rPr>
        <w:t xml:space="preserve"> </w:t>
      </w:r>
      <w:r w:rsidRPr="00CC0840">
        <w:rPr>
          <w:bCs/>
        </w:rPr>
        <w:t xml:space="preserve">°C on a rocking platform shaker. The membranes were washed three times in wash buffer (ARY005; R&amp;D Systems, Minnesota, USA) at room </w:t>
      </w:r>
      <w:r w:rsidRPr="00CC0840">
        <w:rPr>
          <w:bCs/>
        </w:rPr>
        <w:lastRenderedPageBreak/>
        <w:t>temperature. Next, streptavidin</w:t>
      </w:r>
      <w:r>
        <w:rPr>
          <w:bCs/>
        </w:rPr>
        <w:t>–</w:t>
      </w:r>
      <w:r w:rsidRPr="00CC0840">
        <w:rPr>
          <w:bCs/>
        </w:rPr>
        <w:t xml:space="preserve">HRP in array buffer was added, and the membranes were incubated for 30 minutes at room temperature. The membranes were washed again, followed by </w:t>
      </w:r>
      <w:r>
        <w:rPr>
          <w:bCs/>
        </w:rPr>
        <w:t xml:space="preserve">the </w:t>
      </w:r>
      <w:r w:rsidRPr="00CC0840">
        <w:rPr>
          <w:bCs/>
        </w:rPr>
        <w:t xml:space="preserve">addition of </w:t>
      </w:r>
      <w:proofErr w:type="spellStart"/>
      <w:r w:rsidRPr="00CC0840">
        <w:rPr>
          <w:bCs/>
        </w:rPr>
        <w:t>Chemi</w:t>
      </w:r>
      <w:proofErr w:type="spellEnd"/>
      <w:r w:rsidRPr="00CC0840">
        <w:rPr>
          <w:bCs/>
        </w:rPr>
        <w:t xml:space="preserve"> Reagent Mix (R&amp;D Systems, Minnesota, USA) for 1 minute. The membranes were visualized using a </w:t>
      </w:r>
      <w:proofErr w:type="spellStart"/>
      <w:r w:rsidRPr="00CC0840">
        <w:rPr>
          <w:bCs/>
        </w:rPr>
        <w:t>PXi</w:t>
      </w:r>
      <w:proofErr w:type="spellEnd"/>
      <w:r w:rsidRPr="00CC0840">
        <w:rPr>
          <w:bCs/>
        </w:rPr>
        <w:t xml:space="preserve"> multi-application gel imaging system (</w:t>
      </w:r>
      <w:proofErr w:type="spellStart"/>
      <w:r w:rsidRPr="00CC0840">
        <w:rPr>
          <w:bCs/>
        </w:rPr>
        <w:t>Syngene</w:t>
      </w:r>
      <w:proofErr w:type="spellEnd"/>
      <w:r w:rsidRPr="00CC0840">
        <w:rPr>
          <w:bCs/>
        </w:rPr>
        <w:t xml:space="preserve">, Cambridge, UK). </w:t>
      </w:r>
    </w:p>
    <w:p w14:paraId="6B558756" w14:textId="77777777" w:rsidR="00AF5DF3" w:rsidRPr="00CC0840" w:rsidRDefault="00AF5DF3" w:rsidP="00E00393">
      <w:pPr>
        <w:spacing w:line="480" w:lineRule="auto"/>
        <w:ind w:right="240"/>
        <w:rPr>
          <w:b/>
          <w:u w:val="single"/>
        </w:rPr>
      </w:pPr>
    </w:p>
    <w:p w14:paraId="4B35EAD9" w14:textId="77777777" w:rsidR="00AF5DF3" w:rsidRPr="00CC0840" w:rsidRDefault="00AF5DF3" w:rsidP="00E00393">
      <w:pPr>
        <w:spacing w:line="480" w:lineRule="auto"/>
        <w:ind w:right="240"/>
        <w:rPr>
          <w:bCs/>
          <w:u w:val="single"/>
        </w:rPr>
      </w:pPr>
      <w:r w:rsidRPr="00CC0840">
        <w:rPr>
          <w:bCs/>
          <w:u w:val="single"/>
        </w:rPr>
        <w:t>Cell migration</w:t>
      </w:r>
    </w:p>
    <w:p w14:paraId="6E7F635E" w14:textId="77777777" w:rsidR="00AF5DF3" w:rsidRPr="00CC0840" w:rsidRDefault="00AF5DF3" w:rsidP="00E00393">
      <w:pPr>
        <w:spacing w:line="480" w:lineRule="auto"/>
        <w:ind w:right="240"/>
        <w:rPr>
          <w:bCs/>
        </w:rPr>
      </w:pPr>
      <w:r w:rsidRPr="00CC0840">
        <w:rPr>
          <w:bCs/>
        </w:rPr>
        <w:t xml:space="preserve">Cell migration was measured using </w:t>
      </w:r>
      <w:r>
        <w:rPr>
          <w:bCs/>
        </w:rPr>
        <w:t xml:space="preserve">a </w:t>
      </w:r>
      <w:proofErr w:type="spellStart"/>
      <w:r w:rsidRPr="00CC0840">
        <w:rPr>
          <w:bCs/>
        </w:rPr>
        <w:t>ChemoTx</w:t>
      </w:r>
      <w:proofErr w:type="spellEnd"/>
      <w:r w:rsidRPr="00CC0840">
        <w:rPr>
          <w:bCs/>
        </w:rPr>
        <w:t>® Disposable Chemotaxis System 96-well plate with polycarbonate filters (8</w:t>
      </w:r>
      <w:r>
        <w:rPr>
          <w:bCs/>
        </w:rPr>
        <w:t xml:space="preserve"> </w:t>
      </w:r>
      <w:proofErr w:type="spellStart"/>
      <w:r>
        <w:rPr>
          <w:bCs/>
        </w:rPr>
        <w:t>μ</w:t>
      </w:r>
      <w:r w:rsidRPr="00CC0840">
        <w:rPr>
          <w:bCs/>
        </w:rPr>
        <w:t>m</w:t>
      </w:r>
      <w:proofErr w:type="spellEnd"/>
      <w:r w:rsidRPr="00CC0840">
        <w:rPr>
          <w:bCs/>
        </w:rPr>
        <w:t xml:space="preserve"> pore size) (Neuro Probe, Gaithersburg, MD). Monocytes (1</w:t>
      </w:r>
      <w:r>
        <w:rPr>
          <w:bCs/>
        </w:rPr>
        <w:t xml:space="preserve"> ×</w:t>
      </w:r>
      <w:r w:rsidRPr="00CC0840">
        <w:rPr>
          <w:bCs/>
        </w:rPr>
        <w:t xml:space="preserve"> 10</w:t>
      </w:r>
      <w:r w:rsidRPr="00CC0840">
        <w:rPr>
          <w:bCs/>
          <w:vertAlign w:val="superscript"/>
        </w:rPr>
        <w:t>5</w:t>
      </w:r>
      <w:r w:rsidRPr="00CC0840">
        <w:rPr>
          <w:bCs/>
        </w:rPr>
        <w:t xml:space="preserve"> in 25 </w:t>
      </w:r>
      <w:proofErr w:type="spellStart"/>
      <w:r>
        <w:rPr>
          <w:bCs/>
        </w:rPr>
        <w:t>μ</w:t>
      </w:r>
      <w:r w:rsidRPr="00CC0840">
        <w:rPr>
          <w:bCs/>
        </w:rPr>
        <w:t>l</w:t>
      </w:r>
      <w:proofErr w:type="spellEnd"/>
      <w:r w:rsidRPr="00CC0840">
        <w:rPr>
          <w:bCs/>
        </w:rPr>
        <w:t xml:space="preserve"> of RPMI 1640 medium/10% FBS) were added to the upper chamber. The lower chamber contained 29 ul of RPMI 1640 medium/10% FBS with or without </w:t>
      </w:r>
      <w:r>
        <w:rPr>
          <w:bCs/>
        </w:rPr>
        <w:t xml:space="preserve">the </w:t>
      </w:r>
      <w:r w:rsidRPr="00CC0840">
        <w:rPr>
          <w:bCs/>
        </w:rPr>
        <w:t>MCP-1 chemokine or supernatants from monocytes</w:t>
      </w:r>
      <w:r>
        <w:rPr>
          <w:bCs/>
        </w:rPr>
        <w:t>,</w:t>
      </w:r>
      <w:r w:rsidRPr="00CC0840">
        <w:rPr>
          <w:bCs/>
        </w:rPr>
        <w:t xml:space="preserve"> and </w:t>
      </w:r>
      <w:r>
        <w:rPr>
          <w:bCs/>
        </w:rPr>
        <w:t>MDOC</w:t>
      </w:r>
      <w:r w:rsidRPr="00CC0840">
        <w:rPr>
          <w:bCs/>
        </w:rPr>
        <w:t xml:space="preserve"> from patients with </w:t>
      </w:r>
      <w:proofErr w:type="spellStart"/>
      <w:r w:rsidRPr="00CC0840">
        <w:rPr>
          <w:bCs/>
        </w:rPr>
        <w:t>PsA.</w:t>
      </w:r>
      <w:proofErr w:type="spellEnd"/>
      <w:r w:rsidRPr="00CC0840">
        <w:rPr>
          <w:bCs/>
        </w:rPr>
        <w:t xml:space="preserve"> The plates were incubated at 37</w:t>
      </w:r>
      <w:r>
        <w:rPr>
          <w:bCs/>
        </w:rPr>
        <w:t xml:space="preserve"> </w:t>
      </w:r>
      <w:r w:rsidRPr="00CC0840">
        <w:rPr>
          <w:bCs/>
        </w:rPr>
        <w:t>°C in 5% CO</w:t>
      </w:r>
      <w:r w:rsidRPr="00657336">
        <w:rPr>
          <w:bCs/>
          <w:vertAlign w:val="subscript"/>
        </w:rPr>
        <w:t>2</w:t>
      </w:r>
      <w:r w:rsidRPr="00CC0840">
        <w:rPr>
          <w:bCs/>
        </w:rPr>
        <w:t xml:space="preserve"> for 1 hour</w:t>
      </w:r>
      <w:r>
        <w:rPr>
          <w:bCs/>
        </w:rPr>
        <w:t>,</w:t>
      </w:r>
      <w:r w:rsidRPr="00CC0840">
        <w:rPr>
          <w:bCs/>
        </w:rPr>
        <w:t xml:space="preserve"> and </w:t>
      </w:r>
      <w:r>
        <w:rPr>
          <w:bCs/>
        </w:rPr>
        <w:t xml:space="preserve">the </w:t>
      </w:r>
      <w:r w:rsidRPr="00CC0840">
        <w:rPr>
          <w:bCs/>
        </w:rPr>
        <w:t>cells that had migrated into the lower chamber were counted using</w:t>
      </w:r>
      <w:bookmarkStart w:id="2" w:name="OLE_LINK1"/>
      <w:r w:rsidRPr="00CC0840">
        <w:rPr>
          <w:bCs/>
        </w:rPr>
        <w:t xml:space="preserve"> </w:t>
      </w:r>
      <w:r>
        <w:rPr>
          <w:bCs/>
        </w:rPr>
        <w:t xml:space="preserve">a </w:t>
      </w:r>
      <w:r w:rsidRPr="00CC0840">
        <w:rPr>
          <w:bCs/>
        </w:rPr>
        <w:t>Cell Counting Kit-8</w:t>
      </w:r>
      <w:bookmarkEnd w:id="2"/>
      <w:r>
        <w:rPr>
          <w:bCs/>
        </w:rPr>
        <w:t xml:space="preserve"> </w:t>
      </w:r>
      <w:r w:rsidRPr="00CC0840">
        <w:rPr>
          <w:bCs/>
        </w:rPr>
        <w:t>(Sigma-Aldrich, St. Louis, MO, USA).</w:t>
      </w:r>
    </w:p>
    <w:p w14:paraId="2813F381" w14:textId="77777777" w:rsidR="00AF5DF3" w:rsidRPr="00CC0840" w:rsidRDefault="00AF5DF3" w:rsidP="00E00393">
      <w:pPr>
        <w:spacing w:line="480" w:lineRule="auto"/>
        <w:ind w:right="240"/>
        <w:rPr>
          <w:b/>
          <w:u w:val="single"/>
        </w:rPr>
      </w:pPr>
    </w:p>
    <w:p w14:paraId="20715423" w14:textId="77777777" w:rsidR="00AF5DF3" w:rsidRPr="00CC0840" w:rsidRDefault="00AF5DF3" w:rsidP="00E00393">
      <w:pPr>
        <w:spacing w:line="480" w:lineRule="auto"/>
        <w:ind w:right="240"/>
        <w:rPr>
          <w:bCs/>
          <w:u w:val="single"/>
        </w:rPr>
      </w:pPr>
      <w:r w:rsidRPr="00CC0840">
        <w:rPr>
          <w:bCs/>
          <w:u w:val="single"/>
        </w:rPr>
        <w:t xml:space="preserve">Flow cytometry for RANK in </w:t>
      </w:r>
      <w:r>
        <w:rPr>
          <w:bCs/>
          <w:u w:val="single"/>
        </w:rPr>
        <w:t>OCP</w:t>
      </w:r>
      <w:r w:rsidRPr="00CC0840">
        <w:rPr>
          <w:bCs/>
          <w:u w:val="single"/>
        </w:rPr>
        <w:t xml:space="preserve"> </w:t>
      </w:r>
    </w:p>
    <w:p w14:paraId="36B58600" w14:textId="77777777" w:rsidR="00AF5DF3" w:rsidRPr="00CC0840" w:rsidRDefault="00AF5DF3" w:rsidP="00E00393">
      <w:pPr>
        <w:spacing w:line="480" w:lineRule="auto"/>
        <w:ind w:right="240"/>
        <w:rPr>
          <w:bCs/>
        </w:rPr>
      </w:pPr>
      <w:r w:rsidRPr="00CC0840">
        <w:rPr>
          <w:bCs/>
        </w:rPr>
        <w:t xml:space="preserve">We measured the surface expression </w:t>
      </w:r>
      <w:r>
        <w:rPr>
          <w:bCs/>
        </w:rPr>
        <w:t xml:space="preserve">levels </w:t>
      </w:r>
      <w:r w:rsidRPr="00CC0840">
        <w:rPr>
          <w:bCs/>
        </w:rPr>
        <w:t xml:space="preserve">of RANK and CCR-2 </w:t>
      </w:r>
      <w:r>
        <w:rPr>
          <w:bCs/>
        </w:rPr>
        <w:t>o</w:t>
      </w:r>
      <w:r w:rsidRPr="00CC0840">
        <w:rPr>
          <w:bCs/>
        </w:rPr>
        <w:t xml:space="preserve">n </w:t>
      </w:r>
      <w:r>
        <w:rPr>
          <w:bCs/>
        </w:rPr>
        <w:t>OCP</w:t>
      </w:r>
      <w:r w:rsidRPr="00CC0840">
        <w:rPr>
          <w:bCs/>
        </w:rPr>
        <w:t xml:space="preserve"> </w:t>
      </w:r>
      <w:r>
        <w:rPr>
          <w:bCs/>
        </w:rPr>
        <w:t>using</w:t>
      </w:r>
      <w:r w:rsidRPr="00CC0840">
        <w:rPr>
          <w:bCs/>
        </w:rPr>
        <w:t xml:space="preserve"> flow cytometry. </w:t>
      </w:r>
      <w:r>
        <w:rPr>
          <w:bCs/>
        </w:rPr>
        <w:t>OCP</w:t>
      </w:r>
      <w:r w:rsidRPr="00CC0840">
        <w:rPr>
          <w:bCs/>
        </w:rPr>
        <w:t xml:space="preserve"> were stained with anti-human RANK antibody (1:50, R&amp;D Systems, </w:t>
      </w:r>
      <w:r w:rsidRPr="00CC0840">
        <w:rPr>
          <w:bCs/>
        </w:rPr>
        <w:lastRenderedPageBreak/>
        <w:t xml:space="preserve">Minnesota, USA) or mouse IgG1 isotype antibody (1:50, </w:t>
      </w:r>
      <w:proofErr w:type="spellStart"/>
      <w:r w:rsidRPr="00CC0840">
        <w:rPr>
          <w:bCs/>
        </w:rPr>
        <w:t>BioLegend</w:t>
      </w:r>
      <w:proofErr w:type="spellEnd"/>
      <w:r w:rsidRPr="00CC0840">
        <w:rPr>
          <w:bCs/>
        </w:rPr>
        <w:t xml:space="preserve">, California, USA) for 20 minutes at room temperature, followed by </w:t>
      </w:r>
      <w:r>
        <w:rPr>
          <w:bCs/>
        </w:rPr>
        <w:t xml:space="preserve">incubation with </w:t>
      </w:r>
      <w:r w:rsidRPr="00CC0840">
        <w:rPr>
          <w:bCs/>
        </w:rPr>
        <w:t xml:space="preserve">the secondary antibody Goat Alexa Fluor 488-conjugated anti-mouse IgG (H+L) (1:500, </w:t>
      </w:r>
      <w:proofErr w:type="spellStart"/>
      <w:r w:rsidRPr="00CC0840">
        <w:rPr>
          <w:bCs/>
        </w:rPr>
        <w:t>ThermoFisher</w:t>
      </w:r>
      <w:proofErr w:type="spellEnd"/>
      <w:r w:rsidRPr="00CC0840">
        <w:rPr>
          <w:bCs/>
        </w:rPr>
        <w:t xml:space="preserve"> Scientific, Waltham, MA) for 20 minutes at room temperature. The mouse anti-human CCR2 PE antibodies (1:100, </w:t>
      </w:r>
      <w:proofErr w:type="spellStart"/>
      <w:r w:rsidRPr="00CC0840">
        <w:rPr>
          <w:bCs/>
        </w:rPr>
        <w:t>BioLegend</w:t>
      </w:r>
      <w:proofErr w:type="spellEnd"/>
      <w:r w:rsidRPr="00CC0840">
        <w:rPr>
          <w:bCs/>
        </w:rPr>
        <w:t xml:space="preserve">, California, CA) or mouse IgG2a, κ PE isotype antibody (1:100, </w:t>
      </w:r>
      <w:proofErr w:type="spellStart"/>
      <w:r w:rsidRPr="00CC0840">
        <w:rPr>
          <w:bCs/>
        </w:rPr>
        <w:t>BioLegend</w:t>
      </w:r>
      <w:proofErr w:type="spellEnd"/>
      <w:r w:rsidRPr="00CC0840">
        <w:rPr>
          <w:bCs/>
        </w:rPr>
        <w:t xml:space="preserve">, California, USA) was used to identify </w:t>
      </w:r>
      <w:r>
        <w:rPr>
          <w:bCs/>
        </w:rPr>
        <w:t xml:space="preserve">the </w:t>
      </w:r>
      <w:r w:rsidRPr="00CC0840">
        <w:rPr>
          <w:bCs/>
        </w:rPr>
        <w:t xml:space="preserve">CCR-2 receptor. </w:t>
      </w:r>
    </w:p>
    <w:p w14:paraId="6CE28C2F" w14:textId="77777777" w:rsidR="00AF5DF3" w:rsidRPr="00CC0840" w:rsidRDefault="00AF5DF3" w:rsidP="00E00393">
      <w:pPr>
        <w:spacing w:line="480" w:lineRule="auto"/>
        <w:ind w:right="240"/>
        <w:rPr>
          <w:bCs/>
        </w:rPr>
      </w:pPr>
    </w:p>
    <w:p w14:paraId="7D5F680D" w14:textId="77777777" w:rsidR="003431ED" w:rsidRPr="008C547B" w:rsidRDefault="003431ED" w:rsidP="00E00393">
      <w:pPr>
        <w:spacing w:line="480" w:lineRule="auto"/>
      </w:pPr>
    </w:p>
    <w:sectPr w:rsidR="003431ED" w:rsidRPr="008C547B" w:rsidSect="004A7547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F0E17B" w14:textId="77777777" w:rsidR="00F914BD" w:rsidRDefault="00F914BD" w:rsidP="004A7547">
      <w:r>
        <w:separator/>
      </w:r>
    </w:p>
  </w:endnote>
  <w:endnote w:type="continuationSeparator" w:id="0">
    <w:p w14:paraId="28B1B94F" w14:textId="77777777" w:rsidR="00F914BD" w:rsidRDefault="00F914BD" w:rsidP="004A7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9CC53E" w14:textId="77777777" w:rsidR="00F914BD" w:rsidRDefault="00F914BD" w:rsidP="004A7547">
      <w:r>
        <w:separator/>
      </w:r>
    </w:p>
  </w:footnote>
  <w:footnote w:type="continuationSeparator" w:id="0">
    <w:p w14:paraId="4313B64D" w14:textId="77777777" w:rsidR="00F914BD" w:rsidRDefault="00F914BD" w:rsidP="004A75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DF3"/>
    <w:rsid w:val="0009402E"/>
    <w:rsid w:val="000F2F7F"/>
    <w:rsid w:val="000F7B16"/>
    <w:rsid w:val="002225B7"/>
    <w:rsid w:val="00241751"/>
    <w:rsid w:val="00255B56"/>
    <w:rsid w:val="003431ED"/>
    <w:rsid w:val="00371E4D"/>
    <w:rsid w:val="004A7547"/>
    <w:rsid w:val="005A22C2"/>
    <w:rsid w:val="005B15B5"/>
    <w:rsid w:val="008501B4"/>
    <w:rsid w:val="00874DDE"/>
    <w:rsid w:val="008C547B"/>
    <w:rsid w:val="00993ADA"/>
    <w:rsid w:val="009A587E"/>
    <w:rsid w:val="00AF5DF3"/>
    <w:rsid w:val="00CA75DA"/>
    <w:rsid w:val="00E00393"/>
    <w:rsid w:val="00EE4B6B"/>
    <w:rsid w:val="00F75650"/>
    <w:rsid w:val="00F91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FB7F42"/>
  <w15:chartTrackingRefBased/>
  <w15:docId w15:val="{699C394F-3477-4EB0-B43D-199FE1FE1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5DF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754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A7547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A754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A754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838</Words>
  <Characters>4779</Characters>
  <Application>Microsoft Office Word</Application>
  <DocSecurity>0</DocSecurity>
  <Lines>39</Lines>
  <Paragraphs>11</Paragraphs>
  <ScaleCrop>false</ScaleCrop>
  <Company/>
  <LinksUpToDate>false</LinksUpToDate>
  <CharactersWithSpaces>5606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88696</dc:creator>
  <cp:keywords/>
  <dc:description/>
  <cp:lastModifiedBy>886963495232</cp:lastModifiedBy>
  <cp:revision>2</cp:revision>
  <dcterms:created xsi:type="dcterms:W3CDTF">2021-10-24T08:21:00Z</dcterms:created>
  <dcterms:modified xsi:type="dcterms:W3CDTF">2021-10-24T08:21:00Z</dcterms:modified>
</cp:coreProperties>
</file>