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888888"/>
          <w:sz w:val="20"/>
          <w:szCs w:val="20"/>
        </w:rPr>
        <w:t xml:space="preserve">ONLINE RESOURCE (Electronic Supplementary Material)</w:t>
      </w:r>
    </w:p>
    <w:p>
      <w:pPr>
        <w:spacing w:after="200"/>
        <w:jc w:val="center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Low back pain, disability, and biological aging: routinely measurable clinical clocks versus epigenetic clocks (NHANES)</w:t>
      </w:r>
    </w:p>
    <w:p>
      <w:pPr>
        <w:spacing w:after="90" w:before="24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ESM 1. Methods supplement</w:t>
      </w:r>
    </w:p>
    <w:p>
      <w:pPr>
        <w:spacing w:after="7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1.1 Participant flow (STROBE)</w:t>
      </w:r>
    </w:p>
    <w:tbl>
      <w:tblPr>
        <w:tblW w:type="dxa" w:w="7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0"/>
      </w:tblGrid>
      <w:tr>
        <w:tc>
          <w:tcPr>
            <w:tcW w:type="dxa" w:w="70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EAF1FA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NHANES 1999–2002 participants (combined cycles): n = 21,004</w:t>
            </w:r>
          </w:p>
        </w:tc>
      </w:tr>
    </w:tbl>
    <w:p>
      <w:pPr>
        <w:spacing w:after="20" w:before="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↓</w:t>
      </w:r>
    </w:p>
    <w:tbl>
      <w:tblPr>
        <w:tblW w:type="dxa" w:w="7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0"/>
      </w:tblGrid>
      <w:tr>
        <w:tc>
          <w:tcPr>
            <w:tcW w:type="dxa" w:w="70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EAF1FA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Adults aged ≥20 years with the low back pain item (context analytic sample): n = 10,291</w:t>
            </w:r>
          </w:p>
        </w:tc>
      </w:tr>
    </w:tbl>
    <w:p>
      <w:pPr>
        <w:spacing w:after="20" w:before="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↓</w:t>
      </w:r>
    </w:p>
    <w:tbl>
      <w:tblPr>
        <w:tblW w:type="dxa" w:w="7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0"/>
      </w:tblGrid>
      <w:tr>
        <w:tc>
          <w:tcPr>
            <w:tcW w:type="dxa" w:w="70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EAF1FA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DNA-methylation subsample, adults aged ≥50 years: n = 4,449</w:t>
            </w:r>
          </w:p>
        </w:tc>
      </w:tr>
    </w:tbl>
    <w:p>
      <w:pPr>
        <w:spacing w:after="20" w:before="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↓</w:t>
      </w:r>
    </w:p>
    <w:tbl>
      <w:tblPr>
        <w:tblW w:type="dxa" w:w="7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0"/>
      </w:tblGrid>
      <w:tr>
        <w:tc>
          <w:tcPr>
            <w:tcW w:type="dxa" w:w="70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3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Complete biological-age clock and covariate data (core analytic sample for the clinical-versus-epigenetic comparison): n = 2,532 (survey design-effective n ≈ 1,268)</w:t>
            </w:r>
          </w:p>
        </w:tc>
      </w:tr>
    </w:tbl>
    <w:p>
      <w:pPr>
        <w:spacing w:after="150" w:before="50"/>
      </w:pPr>
      <w:r>
        <w:rPr>
          <w:rFonts w:ascii="Calibri" w:cs="Calibri" w:eastAsia="Calibri" w:hAnsi="Calibri"/>
          <w:i/>
          <w:iCs/>
          <w:color w:val="444444"/>
          <w:sz w:val="15"/>
          <w:szCs w:val="15"/>
        </w:rPr>
        <w:t xml:space="preserve">The context sample supported the clinical-clock analyses; the core sample supported the pre-specified clinical-versus-epigenetic same-name-pair comparison. All inferential analyses applied the NHANES sampling weights, strata, and primary sampling units, using Taylor-series linearization implemented in the R survey package (Lumley 2004).</w:t>
      </w:r>
    </w:p>
    <w:p>
      <w:pPr>
        <w:spacing w:after="7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1.2 NHANES variable codes</w:t>
      </w:r>
    </w:p>
    <w:p>
      <w:pPr>
        <w:spacing w:after="140" w:before="0" w:line="276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Outcomes: </w:t>
      </w:r>
      <w:r>
        <w:rPr>
          <w:rFonts w:ascii="Calibri" w:cs="Calibri" w:eastAsia="Calibri" w:hAnsi="Calibri"/>
          <w:sz w:val="21"/>
          <w:szCs w:val="21"/>
        </w:rPr>
        <w:t xml:space="preserve">low back pain — Miscellaneous Pain questionnaire item MPQ070 (pain in the past three months); radicular gradient — MPQ080 (pain radiating below the knee); physical-function disability — Physical Functioning questionnaire (PFQ) limitation items; gait speed — 20-foot timed walk (MSXW20TM).</w:t>
      </w:r>
    </w:p>
    <w:p>
      <w:pPr>
        <w:spacing w:after="140" w:before="0" w:line="276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Exposures: </w:t>
      </w:r>
      <w:r>
        <w:rPr>
          <w:rFonts w:ascii="Calibri" w:cs="Calibri" w:eastAsia="Calibri" w:hAnsi="Calibri"/>
          <w:sz w:val="21"/>
          <w:szCs w:val="21"/>
        </w:rPr>
        <w:t xml:space="preserve">clinical clocks from routine blood chemistry and haematology (albumin, alkaline phosphatase, creatinine, C-reactive protein, glucose, mean cell volume, red-cell distribution width, white-cell count, lymphocyte percentage, HbA1c); DNA-methylation clocks from the public NHANES epigenetics file (dnmepi).</w:t>
      </w:r>
    </w:p>
    <w:p>
      <w:pPr>
        <w:spacing w:after="7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1.3 Clock implementation</w:t>
      </w:r>
    </w:p>
    <w:p>
      <w:pPr>
        <w:spacing w:after="14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Clinical clocks were computed with the BioAge implementation, trained on NHANES III and projected onto the 1999–2002 data. Phenotypic age (PhenoAge) used the Levine biomarker set; Klemera–Doubal biological age (KDM) used an FEV1-free formulation; homeostatic dysregulation (HD) used a young-healthy reference (NHANES III, ages 20–30). All clocks were expressed as age acceleration (residual on chronological age) and standardised to a per-SD scale within the analytic core.</w:t>
      </w:r>
    </w:p>
    <w:p>
      <w:pPr>
        <w:spacing w:after="14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Epigenetic clocks used the exact variable names in the public file (Horvath, Hannum, SkinBlood, DNAm-PhenoAge, GrimAge2 mortality, DunedinPoAm pace-of-aging, and DNAm telomere length). Intrinsic and extrinsic epigenetic age acceleration (IEAA/EEAA) followed the Chen residualization on six Houseman cell proportions (CD8T, CD4T, NK, B-cell, monocyte, neutrophil).</w:t>
      </w:r>
    </w:p>
    <w:p>
      <w:pPr>
        <w:spacing w:after="140" w:before="0" w:line="276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Important measurement notes: </w:t>
      </w:r>
      <w:r>
        <w:rPr>
          <w:rFonts w:ascii="Calibri" w:cs="Calibri" w:eastAsia="Calibri" w:hAnsi="Calibri"/>
          <w:sz w:val="21"/>
          <w:szCs w:val="21"/>
        </w:rPr>
        <w:t xml:space="preserve">(i) the pace-of-aging measure available in NHANES is DunedinPoAm (Belsky 2020), the predecessor of DunedinPACE used in some analogous studies; estimates are therefore not directly interchangeable with DunedinPACE. (ii) Extrinsic epigenetic age acceleration (EEAA) is an approximation because the public file lacks the enhanced-Hannum naive/exhausted-CD8 and plasmablast cell estimates; this is reported as a limitation. (iii) Because individual epigenetic clocks carry measurement noise, principal-component formulations have been proposed to improve clock reliability (Higgins-Chen 2022); the present estimates use the standard public-file clocks, and the null associations are therefore conservative with respect to clock-reliability artefacts. (iv) Evidence linking biological aging to pain is mixed across cohorts, including reports of no association (Kwiatkowska 2020); the exploratory sweep below is consistent with this heterogeneity.</w:t>
      </w:r>
    </w:p>
    <w:p>
      <w:pPr>
        <w:spacing w:after="7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1.4 Power</w:t>
      </w:r>
    </w:p>
    <w:p>
      <w:pPr>
        <w:spacing w:after="140" w:before="0" w:line="276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The empirically estimated minimum detectable effect in the analytic core was an odds ratio of approximately 1.14 per SD (prevalence 0.40; design effect 2.00; effective n ≈ 1,268). In the sex-stratified subgroup, the minimum detectable effect was an odds ratio of approximately 1.19 per SD.</w:t>
      </w:r>
    </w:p>
    <w:p>
      <w:pPr>
        <w:spacing w:after="90" w:before="24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ESM 2. Supplementary results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Table S1. Associations of aging clocks with the frailty index and with physical-function disability (β per SD)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60"/>
        <w:gridCol w:w="3300"/>
        <w:gridCol w:w="3300"/>
      </w:tblGrid>
      <w:tr>
        <w:trPr>
          <w:tblHeader/>
        </w:trPr>
        <w:tc>
          <w:tcPr>
            <w:tcW w:type="dxa" w:w="2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1F4E79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Clock</w:t>
            </w:r>
          </w:p>
        </w:tc>
        <w:tc>
          <w:tcPr>
            <w:tcW w:type="dxa" w:w="33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1F4E79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Frailty index — β per SD (p)</w:t>
            </w:r>
          </w:p>
        </w:tc>
        <w:tc>
          <w:tcPr>
            <w:tcW w:type="dxa" w:w="33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1F4E79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Disability — β per SD (p)</w:t>
            </w:r>
          </w:p>
        </w:tc>
      </w:tr>
      <w:tr>
        <w:trPr>
          <w:tblHeader w:val="false"/>
        </w:trPr>
        <w:tc>
          <w:tcPr>
            <w:tcW w:type="dxa" w:w="2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Clinical PhenoAge</w:t>
            </w:r>
          </w:p>
        </w:tc>
        <w:tc>
          <w:tcPr>
            <w:tcW w:type="dxa" w:w="33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0.026 (0.012)</w:t>
            </w:r>
          </w:p>
        </w:tc>
        <w:tc>
          <w:tcPr>
            <w:tcW w:type="dxa" w:w="33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0.039 (0.57)</w:t>
            </w:r>
          </w:p>
        </w:tc>
      </w:tr>
      <w:tr>
        <w:trPr>
          <w:tblHeader w:val="false"/>
        </w:trPr>
        <w:tc>
          <w:tcPr>
            <w:tcW w:type="dxa" w:w="2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Klemera–Doubal (KDM)</w:t>
            </w:r>
          </w:p>
        </w:tc>
        <w:tc>
          <w:tcPr>
            <w:tcW w:type="dxa" w:w="33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0.007 (0.46)</w:t>
            </w:r>
          </w:p>
        </w:tc>
        <w:tc>
          <w:tcPr>
            <w:tcW w:type="dxa" w:w="33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−0.016 (0.66)</w:t>
            </w:r>
          </w:p>
        </w:tc>
      </w:tr>
      <w:tr>
        <w:trPr>
          <w:tblHeader w:val="false"/>
        </w:trPr>
        <w:tc>
          <w:tcPr>
            <w:tcW w:type="dxa" w:w="2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Homeostatic dysregulation</w:t>
            </w:r>
          </w:p>
        </w:tc>
        <w:tc>
          <w:tcPr>
            <w:tcW w:type="dxa" w:w="33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0.001 (0.91)</w:t>
            </w:r>
          </w:p>
        </w:tc>
        <w:tc>
          <w:tcPr>
            <w:tcW w:type="dxa" w:w="33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−0.051 (0.089)</w:t>
            </w:r>
          </w:p>
        </w:tc>
      </w:tr>
      <w:tr>
        <w:trPr>
          <w:tblHeader w:val="false"/>
        </w:trPr>
        <w:tc>
          <w:tcPr>
            <w:tcW w:type="dxa" w:w="2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Horvath</w:t>
            </w:r>
          </w:p>
        </w:tc>
        <w:tc>
          <w:tcPr>
            <w:tcW w:type="dxa" w:w="33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−0.005 (0.45)</w:t>
            </w:r>
          </w:p>
        </w:tc>
        <w:tc>
          <w:tcPr>
            <w:tcW w:type="dxa" w:w="33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0.003 (0.92)</w:t>
            </w:r>
          </w:p>
        </w:tc>
      </w:tr>
      <w:tr>
        <w:trPr>
          <w:tblHeader w:val="false"/>
        </w:trPr>
        <w:tc>
          <w:tcPr>
            <w:tcW w:type="dxa" w:w="2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SkinBlood</w:t>
            </w:r>
          </w:p>
        </w:tc>
        <w:tc>
          <w:tcPr>
            <w:tcW w:type="dxa" w:w="33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−0.005 (0.49)</w:t>
            </w:r>
          </w:p>
        </w:tc>
        <w:tc>
          <w:tcPr>
            <w:tcW w:type="dxa" w:w="33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0.047 (0.12)</w:t>
            </w:r>
          </w:p>
        </w:tc>
      </w:tr>
      <w:tr>
        <w:trPr>
          <w:tblHeader w:val="false"/>
        </w:trPr>
        <w:tc>
          <w:tcPr>
            <w:tcW w:type="dxa" w:w="2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Hannum</w:t>
            </w:r>
          </w:p>
        </w:tc>
        <w:tc>
          <w:tcPr>
            <w:tcW w:type="dxa" w:w="33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−0.002 (0.74)</w:t>
            </w:r>
          </w:p>
        </w:tc>
        <w:tc>
          <w:tcPr>
            <w:tcW w:type="dxa" w:w="33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0.016 (0.58)</w:t>
            </w:r>
          </w:p>
        </w:tc>
      </w:tr>
      <w:tr>
        <w:trPr>
          <w:tblHeader w:val="false"/>
        </w:trPr>
        <w:tc>
          <w:tcPr>
            <w:tcW w:type="dxa" w:w="2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DNAm-PhenoAge</w:t>
            </w:r>
          </w:p>
        </w:tc>
        <w:tc>
          <w:tcPr>
            <w:tcW w:type="dxa" w:w="33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−0.001 (0.94)</w:t>
            </w:r>
          </w:p>
        </w:tc>
        <w:tc>
          <w:tcPr>
            <w:tcW w:type="dxa" w:w="33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0.039 (0.27)</w:t>
            </w:r>
          </w:p>
        </w:tc>
      </w:tr>
      <w:tr>
        <w:trPr>
          <w:tblHeader w:val="false"/>
        </w:trPr>
        <w:tc>
          <w:tcPr>
            <w:tcW w:type="dxa" w:w="2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GrimAge2</w:t>
            </w:r>
          </w:p>
        </w:tc>
        <w:tc>
          <w:tcPr>
            <w:tcW w:type="dxa" w:w="33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0.021 (0.068)</w:t>
            </w:r>
          </w:p>
        </w:tc>
        <w:tc>
          <w:tcPr>
            <w:tcW w:type="dxa" w:w="33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0.075 (0.22)</w:t>
            </w:r>
          </w:p>
        </w:tc>
      </w:tr>
    </w:tbl>
    <w:p>
      <w:pPr>
        <w:spacing w:after="150" w:before="50"/>
      </w:pPr>
      <w:r>
        <w:rPr>
          <w:rFonts w:ascii="Calibri" w:cs="Calibri" w:eastAsia="Calibri" w:hAnsi="Calibri"/>
          <w:i/>
          <w:iCs/>
          <w:color w:val="444444"/>
          <w:sz w:val="15"/>
          <w:szCs w:val="15"/>
        </w:rPr>
        <w:t xml:space="preserve">Survey-weighted linear regression, adjusted for the Table 2 covariate set (epigenetic models additionally adjusted for six cell proportions). Frailty was treated as a clinical-vulnerability exposure and physical function as an outcome. The only nominally significant association was clinical PhenoAge with the frailty index (p=0.012); because both summarise overlapping physiological decline this is expected and does not represent an independent predictive signal. No disability association survived Benjamini–Hochberg correction (minimum q=0.49).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Table S2. Telomere-length measures and low back pain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60"/>
        <w:gridCol w:w="3000"/>
        <w:gridCol w:w="2000"/>
      </w:tblGrid>
      <w:tr>
        <w:trPr>
          <w:tblHeader/>
        </w:trPr>
        <w:tc>
          <w:tcPr>
            <w:tcW w:type="dxa" w:w="43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1F4E79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Telomere measure</w:t>
            </w:r>
          </w:p>
        </w:tc>
        <w:tc>
          <w:tcPr>
            <w:tcW w:type="dxa" w:w="30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1F4E79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OR per SD (95% CI)</w:t>
            </w:r>
          </w:p>
        </w:tc>
        <w:tc>
          <w:tcPr>
            <w:tcW w:type="dxa" w:w="20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1F4E79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p</w:t>
            </w:r>
          </w:p>
        </w:tc>
      </w:tr>
      <w:tr>
        <w:trPr>
          <w:tblHeader w:val="false"/>
        </w:trPr>
        <w:tc>
          <w:tcPr>
            <w:tcW w:type="dxa" w:w="43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Leucocyte telomere length (qPCR)</w:t>
            </w:r>
          </w:p>
        </w:tc>
        <w:tc>
          <w:tcPr>
            <w:tcW w:type="dxa" w:w="30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0.87 (0.66–1.14)</w:t>
            </w:r>
          </w:p>
        </w:tc>
        <w:tc>
          <w:tcPr>
            <w:tcW w:type="dxa" w:w="20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0.33</w:t>
            </w:r>
          </w:p>
        </w:tc>
      </w:tr>
      <w:tr>
        <w:trPr>
          <w:tblHeader w:val="false"/>
        </w:trPr>
        <w:tc>
          <w:tcPr>
            <w:tcW w:type="dxa" w:w="43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DNA-methylation telomere length (DNAmTL)</w:t>
            </w:r>
          </w:p>
        </w:tc>
        <w:tc>
          <w:tcPr>
            <w:tcW w:type="dxa" w:w="30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0.97 (0.67–1.41)</w:t>
            </w:r>
          </w:p>
        </w:tc>
        <w:tc>
          <w:tcPr>
            <w:tcW w:type="dxa" w:w="20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0.87</w:t>
            </w:r>
          </w:p>
        </w:tc>
      </w:tr>
    </w:tbl>
    <w:p>
      <w:pPr>
        <w:spacing w:after="150" w:before="50"/>
      </w:pPr>
      <w:r>
        <w:rPr>
          <w:rFonts w:ascii="Calibri" w:cs="Calibri" w:eastAsia="Calibri" w:hAnsi="Calibri"/>
          <w:i/>
          <w:iCs/>
          <w:color w:val="444444"/>
          <w:sz w:val="15"/>
          <w:szCs w:val="15"/>
        </w:rPr>
        <w:t xml:space="preserve">Survey-weighted logistic regression, same covariate set as Table 2. Both telomere-length measures were null for low back pain.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Table S3. E-values for the low-back-pain associations (point estimate)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60"/>
        <w:gridCol w:w="2800"/>
        <w:gridCol w:w="2800"/>
      </w:tblGrid>
      <w:tr>
        <w:trPr>
          <w:tblHeader/>
        </w:trPr>
        <w:tc>
          <w:tcPr>
            <w:tcW w:type="dxa" w:w="3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1F4E79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Clock</w:t>
            </w:r>
          </w:p>
        </w:tc>
        <w:tc>
          <w:tcPr>
            <w:tcW w:type="dxa" w:w="28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1F4E79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OR per SD</w:t>
            </w:r>
          </w:p>
        </w:tc>
        <w:tc>
          <w:tcPr>
            <w:tcW w:type="dxa" w:w="28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1F4E79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E-value (point)</w:t>
            </w:r>
          </w:p>
        </w:tc>
      </w:tr>
      <w:tr>
        <w:trPr>
          <w:tblHeader w:val="false"/>
        </w:trPr>
        <w:tc>
          <w:tcPr>
            <w:tcW w:type="dxa" w:w="3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Clinical PhenoAge</w:t>
            </w:r>
          </w:p>
        </w:tc>
        <w:tc>
          <w:tcPr>
            <w:tcW w:type="dxa" w:w="28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0.64</w:t>
            </w:r>
          </w:p>
        </w:tc>
        <w:tc>
          <w:tcPr>
            <w:tcW w:type="dxa" w:w="28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1.81</w:t>
            </w:r>
          </w:p>
        </w:tc>
      </w:tr>
      <w:tr>
        <w:trPr>
          <w:tblHeader w:val="false"/>
        </w:trPr>
        <w:tc>
          <w:tcPr>
            <w:tcW w:type="dxa" w:w="3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Klemera–Doubal (KDM)</w:t>
            </w:r>
          </w:p>
        </w:tc>
        <w:tc>
          <w:tcPr>
            <w:tcW w:type="dxa" w:w="28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0.99</w:t>
            </w:r>
          </w:p>
        </w:tc>
        <w:tc>
          <w:tcPr>
            <w:tcW w:type="dxa" w:w="28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1.09</w:t>
            </w:r>
          </w:p>
        </w:tc>
      </w:tr>
      <w:tr>
        <w:trPr>
          <w:tblHeader w:val="false"/>
        </w:trPr>
        <w:tc>
          <w:tcPr>
            <w:tcW w:type="dxa" w:w="3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Homeostatic dysregulation</w:t>
            </w:r>
          </w:p>
        </w:tc>
        <w:tc>
          <w:tcPr>
            <w:tcW w:type="dxa" w:w="28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1.44</w:t>
            </w:r>
          </w:p>
        </w:tc>
        <w:tc>
          <w:tcPr>
            <w:tcW w:type="dxa" w:w="28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1.69</w:t>
            </w:r>
          </w:p>
        </w:tc>
      </w:tr>
      <w:tr>
        <w:trPr>
          <w:tblHeader w:val="false"/>
        </w:trPr>
        <w:tc>
          <w:tcPr>
            <w:tcW w:type="dxa" w:w="3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Horvath</w:t>
            </w:r>
          </w:p>
        </w:tc>
        <w:tc>
          <w:tcPr>
            <w:tcW w:type="dxa" w:w="28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0.86</w:t>
            </w:r>
          </w:p>
        </w:tc>
        <w:tc>
          <w:tcPr>
            <w:tcW w:type="dxa" w:w="28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1.37</w:t>
            </w:r>
          </w:p>
        </w:tc>
      </w:tr>
      <w:tr>
        <w:trPr>
          <w:tblHeader w:val="false"/>
        </w:trPr>
        <w:tc>
          <w:tcPr>
            <w:tcW w:type="dxa" w:w="3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SkinBlood</w:t>
            </w:r>
          </w:p>
        </w:tc>
        <w:tc>
          <w:tcPr>
            <w:tcW w:type="dxa" w:w="28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0.84</w:t>
            </w:r>
          </w:p>
        </w:tc>
        <w:tc>
          <w:tcPr>
            <w:tcW w:type="dxa" w:w="28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1.41</w:t>
            </w:r>
          </w:p>
        </w:tc>
      </w:tr>
      <w:tr>
        <w:trPr>
          <w:tblHeader w:val="false"/>
        </w:trPr>
        <w:tc>
          <w:tcPr>
            <w:tcW w:type="dxa" w:w="3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Hannum</w:t>
            </w:r>
          </w:p>
        </w:tc>
        <w:tc>
          <w:tcPr>
            <w:tcW w:type="dxa" w:w="28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0.79</w:t>
            </w:r>
          </w:p>
        </w:tc>
        <w:tc>
          <w:tcPr>
            <w:tcW w:type="dxa" w:w="28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1.51</w:t>
            </w:r>
          </w:p>
        </w:tc>
      </w:tr>
      <w:tr>
        <w:trPr>
          <w:tblHeader w:val="false"/>
        </w:trPr>
        <w:tc>
          <w:tcPr>
            <w:tcW w:type="dxa" w:w="3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DNAm-PhenoAge</w:t>
            </w:r>
          </w:p>
        </w:tc>
        <w:tc>
          <w:tcPr>
            <w:tcW w:type="dxa" w:w="28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0.84</w:t>
            </w:r>
          </w:p>
        </w:tc>
        <w:tc>
          <w:tcPr>
            <w:tcW w:type="dxa" w:w="28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1.41</w:t>
            </w:r>
          </w:p>
        </w:tc>
      </w:tr>
      <w:tr>
        <w:trPr>
          <w:tblHeader w:val="false"/>
        </w:trPr>
        <w:tc>
          <w:tcPr>
            <w:tcW w:type="dxa" w:w="3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GrimAge2</w:t>
            </w:r>
          </w:p>
        </w:tc>
        <w:tc>
          <w:tcPr>
            <w:tcW w:type="dxa" w:w="28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0.97</w:t>
            </w:r>
          </w:p>
        </w:tc>
        <w:tc>
          <w:tcPr>
            <w:tcW w:type="dxa" w:w="28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1.13</w:t>
            </w:r>
          </w:p>
        </w:tc>
      </w:tr>
      <w:tr>
        <w:trPr>
          <w:tblHeader w:val="false"/>
        </w:trPr>
        <w:tc>
          <w:tcPr>
            <w:tcW w:type="dxa" w:w="3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DunedinPoAm</w:t>
            </w:r>
          </w:p>
        </w:tc>
        <w:tc>
          <w:tcPr>
            <w:tcW w:type="dxa" w:w="28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0.87</w:t>
            </w:r>
          </w:p>
        </w:tc>
        <w:tc>
          <w:tcPr>
            <w:tcW w:type="dxa" w:w="28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1.35</w:t>
            </w:r>
          </w:p>
        </w:tc>
      </w:tr>
      <w:tr>
        <w:trPr>
          <w:tblHeader w:val="false"/>
        </w:trPr>
        <w:tc>
          <w:tcPr>
            <w:tcW w:type="dxa" w:w="3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IEAA</w:t>
            </w:r>
          </w:p>
        </w:tc>
        <w:tc>
          <w:tcPr>
            <w:tcW w:type="dxa" w:w="28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0.92</w:t>
            </w:r>
          </w:p>
        </w:tc>
        <w:tc>
          <w:tcPr>
            <w:tcW w:type="dxa" w:w="28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1.26</w:t>
            </w:r>
          </w:p>
        </w:tc>
      </w:tr>
      <w:tr>
        <w:trPr>
          <w:tblHeader w:val="false"/>
        </w:trPr>
        <w:tc>
          <w:tcPr>
            <w:tcW w:type="dxa" w:w="3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EEAA</w:t>
            </w:r>
          </w:p>
        </w:tc>
        <w:tc>
          <w:tcPr>
            <w:tcW w:type="dxa" w:w="28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0.87</w:t>
            </w:r>
          </w:p>
        </w:tc>
        <w:tc>
          <w:tcPr>
            <w:tcW w:type="dxa" w:w="28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1.35</w:t>
            </w:r>
          </w:p>
        </w:tc>
      </w:tr>
    </w:tbl>
    <w:p>
      <w:pPr>
        <w:spacing w:after="150" w:before="50"/>
      </w:pPr>
      <w:r>
        <w:rPr>
          <w:rFonts w:ascii="Calibri" w:cs="Calibri" w:eastAsia="Calibri" w:hAnsi="Calibri"/>
          <w:i/>
          <w:iCs/>
          <w:color w:val="444444"/>
          <w:sz w:val="15"/>
          <w:szCs w:val="15"/>
        </w:rPr>
        <w:t xml:space="preserve">E-value for the point estimate, computed for a common outcome: because low back pain is not rare, each odds ratio was first converted to an approximate risk ratio (√OR) before the E-value formula was applied, following VanderWeele and Ding. Because every confidence interval included the null, the E-value for the limit bound is 1.00 throughout; the modest point E-values indicate that little unmeasured confounding would be needed to explain the already-null associations.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Table S4. Benjamini–Hochberg false discovery rate (FDR) q-values, by analysis family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000"/>
        <w:gridCol w:w="3000"/>
      </w:tblGrid>
      <w:tr>
        <w:trPr>
          <w:tblHeader/>
        </w:trPr>
        <w:tc>
          <w:tcPr>
            <w:tcW w:type="dxa" w:w="33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1F4E79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Family / contrast</w:t>
            </w:r>
          </w:p>
        </w:tc>
        <w:tc>
          <w:tcPr>
            <w:tcW w:type="dxa" w:w="30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1F4E79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p</w:t>
            </w:r>
          </w:p>
        </w:tc>
        <w:tc>
          <w:tcPr>
            <w:tcW w:type="dxa" w:w="30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1F4E79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q (BH)</w:t>
            </w:r>
          </w:p>
        </w:tc>
      </w:tr>
      <w:tr>
        <w:trPr>
          <w:tblHeader w:val="false"/>
        </w:trPr>
        <w:tc>
          <w:tcPr>
            <w:tcW w:type="dxa" w:w="33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Primary — clinical PhenoAge</w:t>
            </w:r>
          </w:p>
        </w:tc>
        <w:tc>
          <w:tcPr>
            <w:tcW w:type="dxa" w:w="30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0.35</w:t>
            </w:r>
          </w:p>
        </w:tc>
        <w:tc>
          <w:tcPr>
            <w:tcW w:type="dxa" w:w="30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0.71</w:t>
            </w:r>
          </w:p>
        </w:tc>
      </w:tr>
      <w:tr>
        <w:trPr>
          <w:tblHeader w:val="false"/>
        </w:trPr>
        <w:tc>
          <w:tcPr>
            <w:tcW w:type="dxa" w:w="33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Primary — DNAm-PhenoAge</w:t>
            </w:r>
          </w:p>
        </w:tc>
        <w:tc>
          <w:tcPr>
            <w:tcW w:type="dxa" w:w="30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0.54</w:t>
            </w:r>
          </w:p>
        </w:tc>
        <w:tc>
          <w:tcPr>
            <w:tcW w:type="dxa" w:w="30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0.71</w:t>
            </w:r>
          </w:p>
        </w:tc>
      </w:tr>
      <w:tr>
        <w:trPr>
          <w:tblHeader w:val="false"/>
        </w:trPr>
        <w:tc>
          <w:tcPr>
            <w:tcW w:type="dxa" w:w="33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Low back pain — minimum across clocks</w:t>
            </w:r>
          </w:p>
        </w:tc>
        <w:tc>
          <w:tcPr>
            <w:tcW w:type="dxa" w:w="30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0.16 (HD)</w:t>
            </w:r>
          </w:p>
        </w:tc>
        <w:tc>
          <w:tcPr>
            <w:tcW w:type="dxa" w:w="30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0.80</w:t>
            </w:r>
          </w:p>
        </w:tc>
      </w:tr>
      <w:tr>
        <w:trPr>
          <w:tblHeader w:val="false"/>
        </w:trPr>
        <w:tc>
          <w:tcPr>
            <w:tcW w:type="dxa" w:w="33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Disability — minimum across clocks</w:t>
            </w:r>
          </w:p>
        </w:tc>
        <w:tc>
          <w:tcPr>
            <w:tcW w:type="dxa" w:w="30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0.089 (HD)</w:t>
            </w:r>
          </w:p>
        </w:tc>
        <w:tc>
          <w:tcPr>
            <w:tcW w:type="dxa" w:w="30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0.49</w:t>
            </w:r>
          </w:p>
        </w:tc>
      </w:tr>
    </w:tbl>
    <w:p>
      <w:pPr>
        <w:spacing w:after="150" w:before="50"/>
      </w:pPr>
      <w:r>
        <w:rPr>
          <w:rFonts w:ascii="Calibri" w:cs="Calibri" w:eastAsia="Calibri" w:hAnsi="Calibri"/>
          <w:i/>
          <w:iCs/>
          <w:color w:val="444444"/>
          <w:sz w:val="15"/>
          <w:szCs w:val="15"/>
        </w:rPr>
        <w:t xml:space="preserve">Hierarchical multiplicity control: the pre-specified primary same-name pair, then group-wise FDR control within the low-back-pain and disability families. No family contained a significant association after correction.</w:t>
      </w:r>
    </w:p>
    <w:p>
      <w:pPr>
        <w:spacing w:after="90" w:before="24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ESM 2.1 Exploratory analyses (hypothesis-generating)</w:t>
      </w:r>
    </w:p>
    <w:p>
      <w:pPr>
        <w:spacing w:after="150" w:before="50"/>
      </w:pPr>
      <w:r>
        <w:rPr>
          <w:rFonts w:ascii="Calibri" w:cs="Calibri" w:eastAsia="Calibri" w:hAnsi="Calibri"/>
          <w:i/>
          <w:iCs/>
          <w:color w:val="444444"/>
          <w:sz w:val="15"/>
          <w:szCs w:val="15"/>
        </w:rPr>
        <w:t xml:space="preserve">Beyond the preregistered analysis, we ran a comprehensive, explicitly post hoc exploratory sweep to verify that no association had been missed under alternative specifications. This comprised 210 survey-weighted tests in six families: every clock against every outcome on a per-SD scale; quartile (Q4-vs-Q1) contrasts; clock-by-modifier interactions (age, sex, body-mass index, comorbidity, race/ethnicity); sex- and age-stratified estimates; restricted-cubic-spline tests of non-linearity; and all pairwise between-clock discordance contrasts. These analyses were not preregistered and are reported as hypothesis-generating only. Benjamini-Hochberg FDR correction was applied both globally and within each family. Eleven of 210 tests reached nominal p&lt;0.05 (close to the number expected by chance alone), and none survived FDR correction (minimum q=0.32 globally; minimum within-family q=0.13). The only internally consistent pattern was a clock-by-chronological-age interaction on physical-function limitation, nominally present for several epigenetic and telomere measures (raw p=0.002-0.013) but not surviving correction; it is noted as a direction for future, adequately powered, preregistered work and should not be interpreted as evidence of association in the present data.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Table S5. Exploratory analysis sweep: number of tests and minimum FDR q-value by family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60"/>
        <w:gridCol w:w="1500"/>
        <w:gridCol w:w="1800"/>
        <w:gridCol w:w="2100"/>
      </w:tblGrid>
      <w:tr>
        <w:trPr>
          <w:tblHeader/>
        </w:trPr>
        <w:tc>
          <w:tcPr>
            <w:tcW w:type="dxa" w:w="39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1F4E79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Exploratory family</w:t>
            </w:r>
          </w:p>
        </w:tc>
        <w:tc>
          <w:tcPr>
            <w:tcW w:type="dxa" w:w="15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1F4E79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Tests</w:t>
            </w:r>
          </w:p>
        </w:tc>
        <w:tc>
          <w:tcPr>
            <w:tcW w:type="dxa" w:w="18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1F4E79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Raw p&lt;0.05</w:t>
            </w:r>
          </w:p>
        </w:tc>
        <w:tc>
          <w:tcPr>
            <w:tcW w:type="dxa" w:w="21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1F4E79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Min q (within family)</w:t>
            </w:r>
          </w:p>
        </w:tc>
      </w:tr>
      <w:tr>
        <w:trPr>
          <w:tblHeader w:val="false"/>
        </w:trPr>
        <w:tc>
          <w:tcPr>
            <w:tcW w:type="dxa" w:w="39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Clock \u00d7 outcome (per SD)</w:t>
            </w:r>
          </w:p>
        </w:tc>
        <w:tc>
          <w:tcPr>
            <w:tcW w:type="dxa" w:w="15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40</w:t>
            </w:r>
          </w:p>
        </w:tc>
        <w:tc>
          <w:tcPr>
            <w:tcW w:type="dxa" w:w="18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1</w:t>
            </w:r>
          </w:p>
        </w:tc>
        <w:tc>
          <w:tcPr>
            <w:tcW w:type="dxa" w:w="21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0.33</w:t>
            </w:r>
          </w:p>
        </w:tc>
      </w:tr>
      <w:tr>
        <w:trPr>
          <w:tblHeader w:val="false"/>
        </w:trPr>
        <w:tc>
          <w:tcPr>
            <w:tcW w:type="dxa" w:w="39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Quartile (Q4 vs Q1) \u2192 low back pain</w:t>
            </w:r>
          </w:p>
        </w:tc>
        <w:tc>
          <w:tcPr>
            <w:tcW w:type="dxa" w:w="15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30</w:t>
            </w:r>
          </w:p>
        </w:tc>
        <w:tc>
          <w:tcPr>
            <w:tcW w:type="dxa" w:w="18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</w:t>
            </w:r>
          </w:p>
        </w:tc>
        <w:tc>
          <w:tcPr>
            <w:tcW w:type="dxa" w:w="21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0.76</w:t>
            </w:r>
          </w:p>
        </w:tc>
      </w:tr>
      <w:tr>
        <w:trPr>
          <w:tblHeader w:val="false"/>
        </w:trPr>
        <w:tc>
          <w:tcPr>
            <w:tcW w:type="dxa" w:w="39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Clock \u00d7 modifier interaction</w:t>
            </w:r>
          </w:p>
        </w:tc>
        <w:tc>
          <w:tcPr>
            <w:tcW w:type="dxa" w:w="15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82</w:t>
            </w:r>
          </w:p>
        </w:tc>
        <w:tc>
          <w:tcPr>
            <w:tcW w:type="dxa" w:w="18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10</w:t>
            </w:r>
          </w:p>
        </w:tc>
        <w:tc>
          <w:tcPr>
            <w:tcW w:type="dxa" w:w="21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0.13</w:t>
            </w:r>
          </w:p>
        </w:tc>
      </w:tr>
      <w:tr>
        <w:trPr>
          <w:tblHeader w:val="false"/>
        </w:trPr>
        <w:tc>
          <w:tcPr>
            <w:tcW w:type="dxa" w:w="39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Sex- and age-stratified</w:t>
            </w:r>
          </w:p>
        </w:tc>
        <w:tc>
          <w:tcPr>
            <w:tcW w:type="dxa" w:w="15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20</w:t>
            </w:r>
          </w:p>
        </w:tc>
        <w:tc>
          <w:tcPr>
            <w:tcW w:type="dxa" w:w="18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</w:t>
            </w:r>
          </w:p>
        </w:tc>
        <w:tc>
          <w:tcPr>
            <w:tcW w:type="dxa" w:w="21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0.94</w:t>
            </w:r>
          </w:p>
        </w:tc>
      </w:tr>
      <w:tr>
        <w:trPr>
          <w:tblHeader w:val="false"/>
        </w:trPr>
        <w:tc>
          <w:tcPr>
            <w:tcW w:type="dxa" w:w="39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Non-linearity (restricted cubic spline)</w:t>
            </w:r>
          </w:p>
        </w:tc>
        <w:tc>
          <w:tcPr>
            <w:tcW w:type="dxa" w:w="15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10</w:t>
            </w:r>
          </w:p>
        </w:tc>
        <w:tc>
          <w:tcPr>
            <w:tcW w:type="dxa" w:w="18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</w:t>
            </w:r>
          </w:p>
        </w:tc>
        <w:tc>
          <w:tcPr>
            <w:tcW w:type="dxa" w:w="21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0.82</w:t>
            </w:r>
          </w:p>
        </w:tc>
      </w:tr>
      <w:tr>
        <w:trPr>
          <w:tblHeader w:val="false"/>
        </w:trPr>
        <w:tc>
          <w:tcPr>
            <w:tcW w:type="dxa" w:w="39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Pairwise between-clock discordance</w:t>
            </w:r>
          </w:p>
        </w:tc>
        <w:tc>
          <w:tcPr>
            <w:tcW w:type="dxa" w:w="15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28</w:t>
            </w:r>
          </w:p>
        </w:tc>
        <w:tc>
          <w:tcPr>
            <w:tcW w:type="dxa" w:w="18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</w:t>
            </w:r>
          </w:p>
        </w:tc>
        <w:tc>
          <w:tcPr>
            <w:tcW w:type="dxa" w:w="21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0.99</w:t>
            </w:r>
          </w:p>
        </w:tc>
      </w:tr>
      <w:tr>
        <w:trPr>
          <w:tblHeader w:val="false"/>
        </w:trPr>
        <w:tc>
          <w:tcPr>
            <w:tcW w:type="dxa" w:w="39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All families combined</w:t>
            </w:r>
          </w:p>
        </w:tc>
        <w:tc>
          <w:tcPr>
            <w:tcW w:type="dxa" w:w="15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210</w:t>
            </w:r>
          </w:p>
        </w:tc>
        <w:tc>
          <w:tcPr>
            <w:tcW w:type="dxa" w:w="18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11</w:t>
            </w:r>
          </w:p>
        </w:tc>
        <w:tc>
          <w:tcPr>
            <w:tcW w:type="dxa" w:w="21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0.32 (global)</w:t>
            </w:r>
          </w:p>
        </w:tc>
      </w:tr>
    </w:tbl>
    <w:p>
      <w:pPr>
        <w:spacing w:after="150" w:before="50"/>
      </w:pPr>
      <w:r>
        <w:rPr>
          <w:rFonts w:ascii="Calibri" w:cs="Calibri" w:eastAsia="Calibri" w:hAnsi="Calibri"/>
          <w:i/>
          <w:iCs/>
          <w:color w:val="444444"/>
          <w:sz w:val="15"/>
          <w:szCs w:val="15"/>
        </w:rPr>
        <w:t xml:space="preserve">Survey-weighted models with the Table 2 covariate set (epigenetic models additionally adjusted for six cell proportions). \u201cMin q (within family)\u201d is the smallest Benjamini\u2013Hochberg q-value within that family; the final row gives the global minimum across all 210 tests. No exploratory test survived correction at q&lt;0.10. The reproducible code for this sweep is provided in the repository (script 04).</w:t>
      </w:r>
    </w:p>
    <w:p>
      <w:pPr>
        <w:spacing w:after="90" w:before="24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ESM 3. STROBE checklist (cross-sectional)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0"/>
        <w:gridCol w:w="4400"/>
        <w:gridCol w:w="4200"/>
      </w:tblGrid>
      <w:tr>
        <w:trPr>
          <w:tblHeader/>
        </w:trPr>
        <w:tc>
          <w:tcPr>
            <w:tcW w:type="dxa" w:w="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1F4E79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#</w:t>
            </w:r>
          </w:p>
        </w:tc>
        <w:tc>
          <w:tcPr>
            <w:tcW w:type="dxa" w:w="44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1F4E79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STROBE item</w:t>
            </w:r>
          </w:p>
        </w:tc>
        <w:tc>
          <w:tcPr>
            <w:tcW w:type="dxa" w:w="42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1F4E79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Location</w:t>
            </w:r>
          </w:p>
        </w:tc>
      </w:tr>
      <w:tr>
        <w:trPr>
          <w:tblHeader w:val="false"/>
        </w:trPr>
        <w:tc>
          <w:tcPr>
            <w:tcW w:type="dxa" w:w="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1a</w:t>
            </w:r>
          </w:p>
        </w:tc>
        <w:tc>
          <w:tcPr>
            <w:tcW w:type="dxa" w:w="44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Study design in title/abstract</w:t>
            </w:r>
          </w:p>
        </w:tc>
        <w:tc>
          <w:tcPr>
            <w:tcW w:type="dxa" w:w="42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Abstract: “Cross-sectional analysis…”</w:t>
            </w:r>
          </w:p>
        </w:tc>
      </w:tr>
      <w:tr>
        <w:trPr>
          <w:tblHeader w:val="false"/>
        </w:trPr>
        <w:tc>
          <w:tcPr>
            <w:tcW w:type="dxa" w:w="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1b</w:t>
            </w:r>
          </w:p>
        </w:tc>
        <w:tc>
          <w:tcPr>
            <w:tcW w:type="dxa" w:w="44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Structured summary</w:t>
            </w:r>
          </w:p>
        </w:tc>
        <w:tc>
          <w:tcPr>
            <w:tcW w:type="dxa" w:w="42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Abstract (Purpose/Methods/Results/Conclusion)</w:t>
            </w:r>
          </w:p>
        </w:tc>
      </w:tr>
      <w:tr>
        <w:trPr>
          <w:tblHeader w:val="false"/>
        </w:trPr>
        <w:tc>
          <w:tcPr>
            <w:tcW w:type="dxa" w:w="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2</w:t>
            </w:r>
          </w:p>
        </w:tc>
        <w:tc>
          <w:tcPr>
            <w:tcW w:type="dxa" w:w="44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Background/rationale</w:t>
            </w:r>
          </w:p>
        </w:tc>
        <w:tc>
          <w:tcPr>
            <w:tcW w:type="dxa" w:w="42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Introduction ¶1–4</w:t>
            </w:r>
          </w:p>
        </w:tc>
      </w:tr>
      <w:tr>
        <w:trPr>
          <w:tblHeader w:val="false"/>
        </w:trPr>
        <w:tc>
          <w:tcPr>
            <w:tcW w:type="dxa" w:w="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3</w:t>
            </w:r>
          </w:p>
        </w:tc>
        <w:tc>
          <w:tcPr>
            <w:tcW w:type="dxa" w:w="44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Objectives + hypothesis</w:t>
            </w:r>
          </w:p>
        </w:tc>
        <w:tc>
          <w:tcPr>
            <w:tcW w:type="dxa" w:w="42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Introduction ¶5; Methods “Hypothesis”</w:t>
            </w:r>
          </w:p>
        </w:tc>
      </w:tr>
      <w:tr>
        <w:trPr>
          <w:tblHeader w:val="false"/>
        </w:trPr>
        <w:tc>
          <w:tcPr>
            <w:tcW w:type="dxa" w:w="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4</w:t>
            </w:r>
          </w:p>
        </w:tc>
        <w:tc>
          <w:tcPr>
            <w:tcW w:type="dxa" w:w="44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Study design</w:t>
            </w:r>
          </w:p>
        </w:tc>
        <w:tc>
          <w:tcPr>
            <w:tcW w:type="dxa" w:w="42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Methods “Design, setting, and ethics”</w:t>
            </w:r>
          </w:p>
        </w:tc>
      </w:tr>
      <w:tr>
        <w:trPr>
          <w:tblHeader w:val="false"/>
        </w:trPr>
        <w:tc>
          <w:tcPr>
            <w:tcW w:type="dxa" w:w="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5</w:t>
            </w:r>
          </w:p>
        </w:tc>
        <w:tc>
          <w:tcPr>
            <w:tcW w:type="dxa" w:w="44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Setting (place/time)</w:t>
            </w:r>
          </w:p>
        </w:tc>
        <w:tc>
          <w:tcPr>
            <w:tcW w:type="dxa" w:w="42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Methods (NHANES 1999–2002)</w:t>
            </w:r>
          </w:p>
        </w:tc>
      </w:tr>
      <w:tr>
        <w:trPr>
          <w:tblHeader w:val="false"/>
        </w:trPr>
        <w:tc>
          <w:tcPr>
            <w:tcW w:type="dxa" w:w="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6</w:t>
            </w:r>
          </w:p>
        </w:tc>
        <w:tc>
          <w:tcPr>
            <w:tcW w:type="dxa" w:w="44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Participants/eligibility</w:t>
            </w:r>
          </w:p>
        </w:tc>
        <w:tc>
          <w:tcPr>
            <w:tcW w:type="dxa" w:w="42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Methods “Participants”; ESM 1.1 (flow)</w:t>
            </w:r>
          </w:p>
        </w:tc>
      </w:tr>
      <w:tr>
        <w:trPr>
          <w:tblHeader w:val="false"/>
        </w:trPr>
        <w:tc>
          <w:tcPr>
            <w:tcW w:type="dxa" w:w="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7</w:t>
            </w:r>
          </w:p>
        </w:tc>
        <w:tc>
          <w:tcPr>
            <w:tcW w:type="dxa" w:w="44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Variables</w:t>
            </w:r>
          </w:p>
        </w:tc>
        <w:tc>
          <w:tcPr>
            <w:tcW w:type="dxa" w:w="42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Methods “Exposures/Outcomes/Covariates”</w:t>
            </w:r>
          </w:p>
        </w:tc>
      </w:tr>
      <w:tr>
        <w:trPr>
          <w:tblHeader w:val="false"/>
        </w:trPr>
        <w:tc>
          <w:tcPr>
            <w:tcW w:type="dxa" w:w="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8</w:t>
            </w:r>
          </w:p>
        </w:tc>
        <w:tc>
          <w:tcPr>
            <w:tcW w:type="dxa" w:w="44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Data sources/measurement</w:t>
            </w:r>
          </w:p>
        </w:tc>
        <w:tc>
          <w:tcPr>
            <w:tcW w:type="dxa" w:w="42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Methods; ESM 1.2–1.3</w:t>
            </w:r>
          </w:p>
        </w:tc>
      </w:tr>
      <w:tr>
        <w:trPr>
          <w:tblHeader w:val="false"/>
        </w:trPr>
        <w:tc>
          <w:tcPr>
            <w:tcW w:type="dxa" w:w="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9</w:t>
            </w:r>
          </w:p>
        </w:tc>
        <w:tc>
          <w:tcPr>
            <w:tcW w:type="dxa" w:w="44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Bias</w:t>
            </w:r>
          </w:p>
        </w:tc>
        <w:tc>
          <w:tcPr>
            <w:tcW w:type="dxa" w:w="42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Methods (E-value; survey weighting)</w:t>
            </w:r>
          </w:p>
        </w:tc>
      </w:tr>
      <w:tr>
        <w:trPr>
          <w:tblHeader w:val="false"/>
        </w:trPr>
        <w:tc>
          <w:tcPr>
            <w:tcW w:type="dxa" w:w="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10</w:t>
            </w:r>
          </w:p>
        </w:tc>
        <w:tc>
          <w:tcPr>
            <w:tcW w:type="dxa" w:w="44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Study size</w:t>
            </w:r>
          </w:p>
        </w:tc>
        <w:tc>
          <w:tcPr>
            <w:tcW w:type="dxa" w:w="42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Methods “Clinical relevance and sample size”; ESM 1.4</w:t>
            </w:r>
          </w:p>
        </w:tc>
      </w:tr>
      <w:tr>
        <w:trPr>
          <w:tblHeader w:val="false"/>
        </w:trPr>
        <w:tc>
          <w:tcPr>
            <w:tcW w:type="dxa" w:w="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11</w:t>
            </w:r>
          </w:p>
        </w:tc>
        <w:tc>
          <w:tcPr>
            <w:tcW w:type="dxa" w:w="44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Quantitative variables</w:t>
            </w:r>
          </w:p>
        </w:tc>
        <w:tc>
          <w:tcPr>
            <w:tcW w:type="dxa" w:w="42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Methods (per-SD; age acceleration)</w:t>
            </w:r>
          </w:p>
        </w:tc>
      </w:tr>
      <w:tr>
        <w:trPr>
          <w:tblHeader w:val="false"/>
        </w:trPr>
        <w:tc>
          <w:tcPr>
            <w:tcW w:type="dxa" w:w="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12</w:t>
            </w:r>
          </w:p>
        </w:tc>
        <w:tc>
          <w:tcPr>
            <w:tcW w:type="dxa" w:w="44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Statistical methods</w:t>
            </w:r>
          </w:p>
        </w:tc>
        <w:tc>
          <w:tcPr>
            <w:tcW w:type="dxa" w:w="42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Methods “Statistical analysis”</w:t>
            </w:r>
          </w:p>
        </w:tc>
      </w:tr>
      <w:tr>
        <w:trPr>
          <w:tblHeader w:val="false"/>
        </w:trPr>
        <w:tc>
          <w:tcPr>
            <w:tcW w:type="dxa" w:w="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13</w:t>
            </w:r>
          </w:p>
        </w:tc>
        <w:tc>
          <w:tcPr>
            <w:tcW w:type="dxa" w:w="44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Participants (numbers/flow)</w:t>
            </w:r>
          </w:p>
        </w:tc>
        <w:tc>
          <w:tcPr>
            <w:tcW w:type="dxa" w:w="42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Results 3.1; ESM 1.1</w:t>
            </w:r>
          </w:p>
        </w:tc>
      </w:tr>
      <w:tr>
        <w:trPr>
          <w:tblHeader w:val="false"/>
        </w:trPr>
        <w:tc>
          <w:tcPr>
            <w:tcW w:type="dxa" w:w="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14</w:t>
            </w:r>
          </w:p>
        </w:tc>
        <w:tc>
          <w:tcPr>
            <w:tcW w:type="dxa" w:w="44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Descriptive data</w:t>
            </w:r>
          </w:p>
        </w:tc>
        <w:tc>
          <w:tcPr>
            <w:tcW w:type="dxa" w:w="42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Table 1</w:t>
            </w:r>
          </w:p>
        </w:tc>
      </w:tr>
      <w:tr>
        <w:trPr>
          <w:tblHeader w:val="false"/>
        </w:trPr>
        <w:tc>
          <w:tcPr>
            <w:tcW w:type="dxa" w:w="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15</w:t>
            </w:r>
          </w:p>
        </w:tc>
        <w:tc>
          <w:tcPr>
            <w:tcW w:type="dxa" w:w="44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Outcome data</w:t>
            </w:r>
          </w:p>
        </w:tc>
        <w:tc>
          <w:tcPr>
            <w:tcW w:type="dxa" w:w="42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Results; Tables 2–3; ESM 2</w:t>
            </w:r>
          </w:p>
        </w:tc>
      </w:tr>
      <w:tr>
        <w:trPr>
          <w:tblHeader w:val="false"/>
        </w:trPr>
        <w:tc>
          <w:tcPr>
            <w:tcW w:type="dxa" w:w="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16</w:t>
            </w:r>
          </w:p>
        </w:tc>
        <w:tc>
          <w:tcPr>
            <w:tcW w:type="dxa" w:w="44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Main results</w:t>
            </w:r>
          </w:p>
        </w:tc>
        <w:tc>
          <w:tcPr>
            <w:tcW w:type="dxa" w:w="42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Tables 2–3; Fig. 1</w:t>
            </w:r>
          </w:p>
        </w:tc>
      </w:tr>
      <w:tr>
        <w:trPr>
          <w:tblHeader w:val="false"/>
        </w:trPr>
        <w:tc>
          <w:tcPr>
            <w:tcW w:type="dxa" w:w="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17</w:t>
            </w:r>
          </w:p>
        </w:tc>
        <w:tc>
          <w:tcPr>
            <w:tcW w:type="dxa" w:w="44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Other analyses</w:t>
            </w:r>
          </w:p>
        </w:tc>
        <w:tc>
          <w:tcPr>
            <w:tcW w:type="dxa" w:w="42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ESM 2 (Tables S1–S4); ESM 2.1 exploratory (Table S5)</w:t>
            </w:r>
          </w:p>
        </w:tc>
      </w:tr>
      <w:tr>
        <w:trPr>
          <w:tblHeader w:val="false"/>
        </w:trPr>
        <w:tc>
          <w:tcPr>
            <w:tcW w:type="dxa" w:w="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18</w:t>
            </w:r>
          </w:p>
        </w:tc>
        <w:tc>
          <w:tcPr>
            <w:tcW w:type="dxa" w:w="44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Key results</w:t>
            </w:r>
          </w:p>
        </w:tc>
        <w:tc>
          <w:tcPr>
            <w:tcW w:type="dxa" w:w="42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Discussion ¶1</w:t>
            </w:r>
          </w:p>
        </w:tc>
      </w:tr>
      <w:tr>
        <w:trPr>
          <w:tblHeader w:val="false"/>
        </w:trPr>
        <w:tc>
          <w:tcPr>
            <w:tcW w:type="dxa" w:w="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19</w:t>
            </w:r>
          </w:p>
        </w:tc>
        <w:tc>
          <w:tcPr>
            <w:tcW w:type="dxa" w:w="44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Limitations</w:t>
            </w:r>
          </w:p>
        </w:tc>
        <w:tc>
          <w:tcPr>
            <w:tcW w:type="dxa" w:w="42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Discussion ¶4</w:t>
            </w:r>
          </w:p>
        </w:tc>
      </w:tr>
      <w:tr>
        <w:trPr>
          <w:tblHeader w:val="false"/>
        </w:trPr>
        <w:tc>
          <w:tcPr>
            <w:tcW w:type="dxa" w:w="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20</w:t>
            </w:r>
          </w:p>
        </w:tc>
        <w:tc>
          <w:tcPr>
            <w:tcW w:type="dxa" w:w="44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Interpretation</w:t>
            </w:r>
          </w:p>
        </w:tc>
        <w:tc>
          <w:tcPr>
            <w:tcW w:type="dxa" w:w="42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Discussion ¶2–3</w:t>
            </w:r>
          </w:p>
        </w:tc>
      </w:tr>
      <w:tr>
        <w:trPr>
          <w:tblHeader w:val="false"/>
        </w:trPr>
        <w:tc>
          <w:tcPr>
            <w:tcW w:type="dxa" w:w="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21</w:t>
            </w:r>
          </w:p>
        </w:tc>
        <w:tc>
          <w:tcPr>
            <w:tcW w:type="dxa" w:w="44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Generalisability</w:t>
            </w:r>
          </w:p>
        </w:tc>
        <w:tc>
          <w:tcPr>
            <w:tcW w:type="dxa" w:w="42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2F6FB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Discussion (nationally representative)</w:t>
            </w:r>
          </w:p>
        </w:tc>
      </w:tr>
      <w:tr>
        <w:trPr>
          <w:tblHeader w:val="false"/>
        </w:trPr>
        <w:tc>
          <w:tcPr>
            <w:tcW w:type="dxa" w:w="76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22</w:t>
            </w:r>
          </w:p>
        </w:tc>
        <w:tc>
          <w:tcPr>
            <w:tcW w:type="dxa" w:w="44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Funding</w:t>
            </w:r>
          </w:p>
        </w:tc>
        <w:tc>
          <w:tcPr>
            <w:tcW w:type="dxa" w:w="4200"/>
            <w:tcBorders>
              <w:top w:val="single" w:color="9DB7D4" w:sz="4"/>
              <w:left w:val="single" w:color="9DB7D4" w:sz="4"/>
              <w:bottom w:val="single" w:color="9DB7D4" w:sz="4"/>
              <w:right w:val="single" w:color="9DB7D4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17"/>
                <w:szCs w:val="17"/>
              </w:rPr>
              <w:t xml:space="preserve">Title page / Declarations</w:t>
            </w:r>
          </w:p>
        </w:tc>
      </w:tr>
    </w:tbl>
    <w:p>
      <w:pPr>
        <w:spacing w:after="150" w:before="50"/>
      </w:pPr>
      <w:r>
        <w:rPr>
          <w:rFonts w:ascii="Calibri" w:cs="Calibri" w:eastAsia="Calibri" w:hAnsi="Calibri"/>
          <w:i/>
          <w:iCs/>
          <w:color w:val="444444"/>
          <w:sz w:val="15"/>
          <w:szCs w:val="15"/>
        </w:rPr>
        <w:t xml:space="preserve">All 22 STROBE items are addressed across the main text and this Online Resource.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2026-06-22T20:24:01.929Z</dcterms:created>
  <dcterms:modified xsi:type="dcterms:W3CDTF">2026-06-22T20:24:01.940Z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