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62"/>
        <w:gridCol w:w="1729"/>
        <w:gridCol w:w="1452"/>
        <w:gridCol w:w="1526"/>
        <w:gridCol w:w="1452"/>
        <w:gridCol w:w="1619"/>
        <w:gridCol w:w="1457"/>
      </w:tblGrid>
      <w:tr w:rsidR="003043A5" w:rsidRPr="00F21797" w14:paraId="1B46466B" w14:textId="77777777" w:rsidTr="00E04515">
        <w:trPr>
          <w:trHeight w:val="271"/>
          <w:jc w:val="center"/>
        </w:trPr>
        <w:tc>
          <w:tcPr>
            <w:tcW w:w="5000" w:type="pct"/>
            <w:gridSpan w:val="7"/>
            <w:tcBorders>
              <w:left w:val="nil"/>
              <w:bottom w:val="single" w:sz="8" w:space="0" w:color="auto"/>
              <w:right w:val="nil"/>
            </w:tcBorders>
          </w:tcPr>
          <w:p w14:paraId="2A019F3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  <w:b/>
                <w:bCs/>
              </w:rPr>
              <w:t>Table A</w:t>
            </w:r>
            <w:r w:rsidRPr="00F21797">
              <w:rPr>
                <w:rFonts w:ascii="Times New Roman" w:hAnsi="Times New Roman" w:hint="cs"/>
                <w:b/>
                <w:bCs/>
                <w:rtl/>
              </w:rPr>
              <w:t>1</w:t>
            </w:r>
            <w:r w:rsidRPr="00F21797">
              <w:rPr>
                <w:rFonts w:ascii="Times New Roman" w:hAnsi="Times New Roman"/>
              </w:rPr>
              <w:t>: Impact of Chinese FDI on South Asians’ per capita income: Robustness checks with the Arellano Bond GMM and Panel Quantile regression estimation</w:t>
            </w:r>
          </w:p>
        </w:tc>
      </w:tr>
      <w:tr w:rsidR="003043A5" w:rsidRPr="00F21797" w14:paraId="20E167E5" w14:textId="77777777" w:rsidTr="00E04515">
        <w:trPr>
          <w:trHeight w:val="285"/>
          <w:jc w:val="center"/>
        </w:trPr>
        <w:tc>
          <w:tcPr>
            <w:tcW w:w="1629" w:type="pct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7208423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Depend variable: GDP per capita (ln)</w:t>
            </w:r>
          </w:p>
        </w:tc>
        <w:tc>
          <w:tcPr>
            <w:tcW w:w="1718" w:type="pct"/>
            <w:gridSpan w:val="3"/>
            <w:tcBorders>
              <w:top w:val="single" w:sz="8" w:space="0" w:color="auto"/>
              <w:left w:val="nil"/>
              <w:right w:val="nil"/>
            </w:tcBorders>
          </w:tcPr>
          <w:p w14:paraId="41E260C0" w14:textId="77777777" w:rsidR="003043A5" w:rsidRPr="00F21797" w:rsidRDefault="003043A5" w:rsidP="00E04515">
            <w:pPr>
              <w:widowControl w:val="0"/>
              <w:pBdr>
                <w:bottom w:val="single" w:sz="8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 xml:space="preserve">Arellano Bond Estimate </w:t>
            </w:r>
          </w:p>
        </w:tc>
        <w:tc>
          <w:tcPr>
            <w:tcW w:w="1653" w:type="pct"/>
            <w:gridSpan w:val="3"/>
            <w:tcBorders>
              <w:top w:val="single" w:sz="8" w:space="0" w:color="auto"/>
              <w:left w:val="nil"/>
              <w:right w:val="nil"/>
            </w:tcBorders>
          </w:tcPr>
          <w:p w14:paraId="24A674F4" w14:textId="77777777" w:rsidR="003043A5" w:rsidRPr="00F21797" w:rsidRDefault="003043A5" w:rsidP="00E04515">
            <w:pPr>
              <w:widowControl w:val="0"/>
              <w:pBdr>
                <w:bottom w:val="single" w:sz="8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Quantile Regression Estimate</w:t>
            </w:r>
          </w:p>
        </w:tc>
      </w:tr>
      <w:tr w:rsidR="003043A5" w:rsidRPr="00F21797" w14:paraId="545C3EF7" w14:textId="77777777" w:rsidTr="00E04515">
        <w:trPr>
          <w:trHeight w:val="271"/>
          <w:jc w:val="center"/>
        </w:trPr>
        <w:tc>
          <w:tcPr>
            <w:tcW w:w="1629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14:paraId="025B78F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3C34C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C0C39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1BF21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(3)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22B45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(4)</w:t>
            </w:r>
            <w:r w:rsidRPr="00F21797">
              <w:rPr>
                <w:rFonts w:ascii="Times New Roman" w:hAnsi="Times New Roman"/>
                <w:vertAlign w:val="superscript"/>
              </w:rPr>
              <w:t>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6D6E1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(5)</w:t>
            </w:r>
            <w:r w:rsidRPr="00F21797">
              <w:rPr>
                <w:rFonts w:ascii="Times New Roman" w:hAnsi="Times New Roman"/>
                <w:vertAlign w:val="superscript"/>
              </w:rPr>
              <w:t>Δ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25EF5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(6)</w:t>
            </w:r>
            <w:r w:rsidRPr="00F21797">
              <w:rPr>
                <w:rFonts w:ascii="Times New Roman" w:hAnsi="Times New Roman"/>
                <w:vertAlign w:val="superscript"/>
              </w:rPr>
              <w:t>Δ</w:t>
            </w:r>
          </w:p>
        </w:tc>
      </w:tr>
      <w:tr w:rsidR="003043A5" w:rsidRPr="00F21797" w14:paraId="4D802FFC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E8597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GDP per capita (ln), first lag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BC9B2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0.828***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99AD5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0.714***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9BD20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0.613***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D50D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80CCE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41344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4C3A1188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49BDB15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0D49F5F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(0.119)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96D822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(0.196)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928182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(0.198)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234145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2FC5A7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462673E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2F3FC178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6ABF5E5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GDP per capita (ln), second lag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4A939BA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BC64FC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0.0854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1EF221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-0.179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DFAB66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6353BA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033F522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6291FFB0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3BEDD28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2DB1EC1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DBB1BE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(0.196)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E2A35D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(0.223)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245FAF6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5D7D9E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44CF5F9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15445A9B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160ADDC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GDP per capita (ln), third lag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39E9EE4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5E6730B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37C4162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0.394**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8918DF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2FFE30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2DB509C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07D85D46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7A54B1D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1E37748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507E166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02EC34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(0.173)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D05CA9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23ACAB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7480AF7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0B2D1E19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127EEF6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Chinese FDI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2AB39D0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0.0694**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79D235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0.0699**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726180B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0.0517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2194E57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0.132***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83319F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0.149***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0B77BA2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0.158***</w:t>
            </w:r>
          </w:p>
        </w:tc>
      </w:tr>
      <w:tr w:rsidR="003043A5" w:rsidRPr="00F21797" w14:paraId="61F803FB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5CE853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57E51FC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(0.0275)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C00990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(0.0317)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0DFBF19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(0.0433)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571243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(0.0124)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0867E4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(0.0165)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32A7947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(0.0110)</w:t>
            </w:r>
          </w:p>
        </w:tc>
      </w:tr>
      <w:tr w:rsidR="003043A5" w:rsidRPr="00F21797" w14:paraId="03B5A608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02BD911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Total FDI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3D74288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-0.00549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2C44731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-0.00636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900A10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-0.00942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82EA20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0.200***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00A8C2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0.215***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2FAFBB6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0.148***</w:t>
            </w:r>
          </w:p>
        </w:tc>
      </w:tr>
      <w:tr w:rsidR="003043A5" w:rsidRPr="00F21797" w14:paraId="0030D3D6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6AAF3DD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5FE394F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(0.0192)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38D7260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(0.0197)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30DB4B1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(0.0195)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7DB813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(0.0188)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AF859F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(0.0382)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549F594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(0.0255)</w:t>
            </w:r>
          </w:p>
        </w:tc>
      </w:tr>
      <w:tr w:rsidR="003043A5" w:rsidRPr="00F21797" w14:paraId="31B0BA04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6C3B607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Military expenditure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3CF0265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0.0383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3FAFA7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0.0195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E67AFE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-0.00377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5AD3F06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0.173***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FB9B3A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0.285***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622E9FA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0.0360</w:t>
            </w:r>
          </w:p>
        </w:tc>
      </w:tr>
      <w:tr w:rsidR="003043A5" w:rsidRPr="00F21797" w14:paraId="20C3419B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63DD033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30D0638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(0.0997)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5877ED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(0.103)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7A19286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(0.105)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322F3F9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(0.0539)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9A79E2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(0.0781)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0E6A581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(0.0794)</w:t>
            </w:r>
          </w:p>
        </w:tc>
      </w:tr>
      <w:tr w:rsidR="003043A5" w:rsidRPr="00F21797" w14:paraId="58CDF308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7DB88E7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Total population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2C3DEC5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-0.817**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5EA12E6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-0.775**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87E335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-0.799*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C841EC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-0.314***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39D2BB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-0.410***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3FA284D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-0.339***</w:t>
            </w:r>
          </w:p>
        </w:tc>
      </w:tr>
      <w:tr w:rsidR="003043A5" w:rsidRPr="00F21797" w14:paraId="28FA3976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6FF1611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1A26410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(0.368)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899F16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(0.380)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4CDDA6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(0.423)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841464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(0.0449)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B33462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(0.0479)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7918016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(0.0245)</w:t>
            </w:r>
          </w:p>
        </w:tc>
      </w:tr>
      <w:tr w:rsidR="003043A5" w:rsidRPr="00F21797" w14:paraId="1DB025C8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227B3F8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Corruption control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6D40175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0.00547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ECB8E5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-0.00963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72215D1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-0.0317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4FC933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0.0528**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8A7B13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0.0805***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044672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0.162***</w:t>
            </w:r>
          </w:p>
        </w:tc>
      </w:tr>
      <w:tr w:rsidR="003043A5" w:rsidRPr="00F21797" w14:paraId="79BAEC51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09A6195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4425D99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(0.0385)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B1A6E2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(0.0410)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400062E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(0.0471)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9DFDDB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(0.0245)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C49711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(0.0263)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3885A29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(0.0348)</w:t>
            </w:r>
          </w:p>
        </w:tc>
      </w:tr>
      <w:tr w:rsidR="003043A5" w:rsidRPr="00F21797" w14:paraId="75CC6C04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1308D67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Political stability (ln)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5519450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-0.0329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579687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-0.0275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DAA92E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-0.0411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73D2555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0.182***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7202D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0.207***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588B5F1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0.199***</w:t>
            </w:r>
          </w:p>
        </w:tc>
      </w:tr>
      <w:tr w:rsidR="003043A5" w:rsidRPr="00F21797" w14:paraId="4B91C8E5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right w:val="nil"/>
            </w:tcBorders>
          </w:tcPr>
          <w:p w14:paraId="3E58D42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</w:tcPr>
          <w:p w14:paraId="70CFE25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(0.0273)</w:t>
            </w:r>
          </w:p>
        </w:tc>
        <w:tc>
          <w:tcPr>
            <w:tcW w:w="530" w:type="pct"/>
            <w:tcBorders>
              <w:top w:val="nil"/>
              <w:left w:val="nil"/>
              <w:right w:val="nil"/>
            </w:tcBorders>
          </w:tcPr>
          <w:p w14:paraId="722BEF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(0.0317)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</w:tcPr>
          <w:p w14:paraId="1A9CCDD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(0.0353)</w:t>
            </w:r>
          </w:p>
        </w:tc>
        <w:tc>
          <w:tcPr>
            <w:tcW w:w="530" w:type="pct"/>
            <w:tcBorders>
              <w:top w:val="nil"/>
              <w:left w:val="nil"/>
              <w:right w:val="nil"/>
            </w:tcBorders>
          </w:tcPr>
          <w:p w14:paraId="0C92917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(0.0199)</w:t>
            </w: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6DE4726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(0.0346)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</w:tcPr>
          <w:p w14:paraId="7006AFC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(0.0377)</w:t>
            </w:r>
          </w:p>
        </w:tc>
      </w:tr>
      <w:tr w:rsidR="003043A5" w:rsidRPr="00F21797" w14:paraId="77D0C2A5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</w:tcPr>
          <w:p w14:paraId="32D4D92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Constant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</w:tcPr>
          <w:p w14:paraId="2A9C60F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15.98**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4C41113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15.46**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773D4B6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15.98**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581CC7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9.940***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F8EA1D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11.50***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</w:tcPr>
          <w:p w14:paraId="7DE2908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10.71***</w:t>
            </w:r>
          </w:p>
        </w:tc>
      </w:tr>
      <w:tr w:rsidR="003043A5" w:rsidRPr="00F21797" w14:paraId="230B0E6C" w14:textId="77777777" w:rsidTr="00E04515"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C8282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B955E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(6.422)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20804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(6.580)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E671E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(7.166)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AD38C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(0.730)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69418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(0.717)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03BA3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(0.410)</w:t>
            </w:r>
          </w:p>
        </w:tc>
      </w:tr>
      <w:tr w:rsidR="003043A5" w:rsidRPr="00F21797" w14:paraId="2F745A14" w14:textId="77777777" w:rsidTr="00E04515">
        <w:trPr>
          <w:trHeight w:val="285"/>
          <w:jc w:val="center"/>
        </w:trPr>
        <w:tc>
          <w:tcPr>
            <w:tcW w:w="162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34FB2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Observations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950B8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103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E7D83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98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5F7DB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93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66C25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3ACD9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EECE7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</w:tr>
      <w:tr w:rsidR="003043A5" w:rsidRPr="00F21797" w14:paraId="4F8A71C6" w14:textId="77777777" w:rsidTr="00E04515">
        <w:tblPrEx>
          <w:tblBorders>
            <w:bottom w:val="single" w:sz="6" w:space="0" w:color="auto"/>
          </w:tblBorders>
        </w:tblPrEx>
        <w:trPr>
          <w:trHeight w:val="271"/>
          <w:jc w:val="center"/>
        </w:trPr>
        <w:tc>
          <w:tcPr>
            <w:tcW w:w="162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B0871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Number of ID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3A237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6F5DF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75202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04ED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BC740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BD058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3A5" w:rsidRPr="00F21797" w14:paraId="40F62730" w14:textId="77777777" w:rsidTr="00E04515">
        <w:tblPrEx>
          <w:tblBorders>
            <w:bottom w:val="single" w:sz="6" w:space="0" w:color="auto"/>
          </w:tblBorders>
        </w:tblPrEx>
        <w:trPr>
          <w:trHeight w:val="58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3B8F5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  <w:b/>
                <w:bCs/>
              </w:rPr>
              <w:t>Note:</w:t>
            </w:r>
            <w:r w:rsidRPr="00F21797">
              <w:rPr>
                <w:rFonts w:ascii="Times New Roman" w:hAnsi="Times New Roman"/>
              </w:rPr>
              <w:t xml:space="preserve"> Standard errors in parentheses. Models 1-3, present results from the Arellano Bond’s (</w:t>
            </w:r>
            <w:r w:rsidRPr="00F21797">
              <w:rPr>
                <w:rFonts w:ascii="Times New Roman" w:hAnsi="Times New Roman"/>
                <w:color w:val="0070C0"/>
              </w:rPr>
              <w:t>1991</w:t>
            </w:r>
            <w:r w:rsidRPr="00F21797">
              <w:rPr>
                <w:rFonts w:ascii="Times New Roman" w:hAnsi="Times New Roman"/>
              </w:rPr>
              <w:t xml:space="preserve">) GMM estimator. Models 4-6, present results from the </w:t>
            </w:r>
            <w:r w:rsidRPr="00F21797">
              <w:rPr>
                <w:rFonts w:ascii="Times New Roman" w:hAnsi="Times New Roman"/>
                <w:noProof/>
              </w:rPr>
              <w:t>Koenker &amp; Bassetts’ (</w:t>
            </w:r>
            <w:r w:rsidRPr="00F21797">
              <w:rPr>
                <w:rFonts w:ascii="Times New Roman" w:hAnsi="Times New Roman"/>
                <w:noProof/>
                <w:color w:val="0070C0"/>
              </w:rPr>
              <w:t>1978</w:t>
            </w:r>
            <w:r w:rsidRPr="00F21797">
              <w:rPr>
                <w:rFonts w:ascii="Times New Roman" w:hAnsi="Times New Roman"/>
                <w:noProof/>
              </w:rPr>
              <w:t xml:space="preserve">) </w:t>
            </w:r>
            <w:r w:rsidRPr="00F21797">
              <w:rPr>
                <w:rFonts w:ascii="Times New Roman" w:hAnsi="Times New Roman"/>
              </w:rPr>
              <w:t xml:space="preserve">Panel Quantile Regression estimator. </w:t>
            </w:r>
            <w:r w:rsidRPr="00F21797">
              <w:rPr>
                <w:rFonts w:ascii="Times New Roman" w:hAnsi="Times New Roman"/>
                <w:vertAlign w:val="superscript"/>
              </w:rPr>
              <w:t xml:space="preserve">Δ </w:t>
            </w:r>
            <w:r w:rsidRPr="00F21797">
              <w:rPr>
                <w:rFonts w:ascii="Times New Roman" w:hAnsi="Times New Roman"/>
              </w:rPr>
              <w:t>Model (4) stands for quantile 25</w:t>
            </w:r>
            <w:r w:rsidRPr="00F21797">
              <w:rPr>
                <w:rFonts w:ascii="Times New Roman" w:hAnsi="Times New Roman"/>
                <w:vertAlign w:val="superscript"/>
              </w:rPr>
              <w:t>th</w:t>
            </w:r>
            <w:r w:rsidRPr="00F21797">
              <w:rPr>
                <w:rFonts w:ascii="Times New Roman" w:hAnsi="Times New Roman"/>
              </w:rPr>
              <w:t>, Model (5) represents quantile 50</w:t>
            </w:r>
            <w:r w:rsidRPr="00F21797">
              <w:rPr>
                <w:rFonts w:ascii="Times New Roman" w:hAnsi="Times New Roman"/>
                <w:vertAlign w:val="superscript"/>
              </w:rPr>
              <w:t>th</w:t>
            </w:r>
            <w:r w:rsidRPr="00F21797">
              <w:rPr>
                <w:rFonts w:ascii="Times New Roman" w:hAnsi="Times New Roman"/>
              </w:rPr>
              <w:t>, and Model (6) denotes quantile 75</w:t>
            </w:r>
            <w:r w:rsidRPr="00F21797">
              <w:rPr>
                <w:rFonts w:ascii="Times New Roman" w:hAnsi="Times New Roman"/>
                <w:vertAlign w:val="superscript"/>
              </w:rPr>
              <w:t>th</w:t>
            </w:r>
            <w:r w:rsidRPr="00F21797">
              <w:rPr>
                <w:rFonts w:ascii="Times New Roman" w:hAnsi="Times New Roman"/>
              </w:rPr>
              <w:t xml:space="preserve">. All variables including dependent and independents are incorporated with their natural logarithm forms. </w:t>
            </w:r>
            <w:r w:rsidRPr="00F21797">
              <w:rPr>
                <w:rFonts w:ascii="Times New Roman" w:hAnsi="Times New Roman" w:hint="eastAsia"/>
                <w:lang w:eastAsia="ko-KR"/>
              </w:rPr>
              <w:t xml:space="preserve">Source: </w:t>
            </w:r>
            <w:r w:rsidRPr="00F21797">
              <w:rPr>
                <w:rFonts w:ascii="Times New Roman" w:hAnsi="Times New Roman"/>
              </w:rPr>
              <w:t>Authors calculation. *** p&lt;0.01, ** p&lt;0.05, * p&lt;0.1.</w:t>
            </w:r>
          </w:p>
        </w:tc>
      </w:tr>
    </w:tbl>
    <w:p w14:paraId="3E4A3394" w14:textId="77777777" w:rsidR="003043A5" w:rsidRDefault="003043A5" w:rsidP="003043A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3"/>
        <w:gridCol w:w="1206"/>
        <w:gridCol w:w="1205"/>
        <w:gridCol w:w="1208"/>
        <w:gridCol w:w="1205"/>
        <w:gridCol w:w="1205"/>
        <w:gridCol w:w="1208"/>
        <w:gridCol w:w="1205"/>
        <w:gridCol w:w="1205"/>
        <w:gridCol w:w="1197"/>
      </w:tblGrid>
      <w:tr w:rsidR="003043A5" w:rsidRPr="00F21797" w14:paraId="683DB18E" w14:textId="77777777" w:rsidTr="00E04515">
        <w:trPr>
          <w:trHeight w:val="242"/>
          <w:jc w:val="center"/>
        </w:trPr>
        <w:tc>
          <w:tcPr>
            <w:tcW w:w="5000" w:type="pct"/>
            <w:gridSpan w:val="10"/>
            <w:tcBorders>
              <w:left w:val="nil"/>
              <w:bottom w:val="single" w:sz="8" w:space="0" w:color="auto"/>
              <w:right w:val="nil"/>
            </w:tcBorders>
          </w:tcPr>
          <w:p w14:paraId="3FA9981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  <w:b/>
                <w:bCs/>
              </w:rPr>
              <w:t>Table A</w:t>
            </w:r>
            <w:r w:rsidRPr="00F21797">
              <w:rPr>
                <w:rFonts w:ascii="Times New Roman" w:hAnsi="Times New Roman" w:hint="cs"/>
                <w:b/>
                <w:bCs/>
                <w:rtl/>
              </w:rPr>
              <w:t>2</w:t>
            </w:r>
            <w:r w:rsidRPr="00F21797">
              <w:rPr>
                <w:rFonts w:ascii="Times New Roman" w:hAnsi="Times New Roman"/>
              </w:rPr>
              <w:t>: Impact of Chinese FDI on South Asians’ per capita income: Robustness checks with the PCSE estimation</w:t>
            </w:r>
          </w:p>
        </w:tc>
      </w:tr>
      <w:tr w:rsidR="003043A5" w:rsidRPr="00F21797" w14:paraId="5117F8BD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single" w:sz="8" w:space="0" w:color="auto"/>
              <w:left w:val="nil"/>
              <w:right w:val="nil"/>
            </w:tcBorders>
          </w:tcPr>
          <w:p w14:paraId="21D17BB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1" w:type="pct"/>
            <w:gridSpan w:val="3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7C82E660" w14:textId="77777777" w:rsidR="003043A5" w:rsidRPr="00F21797" w:rsidRDefault="003043A5" w:rsidP="00E04515">
            <w:pPr>
              <w:widowControl w:val="0"/>
              <w:pBdr>
                <w:bottom w:val="single" w:sz="8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Panel-level heteroskedasticity and correlated across panels</w:t>
            </w:r>
          </w:p>
        </w:tc>
        <w:tc>
          <w:tcPr>
            <w:tcW w:w="1321" w:type="pct"/>
            <w:gridSpan w:val="3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44CCF01A" w14:textId="77777777" w:rsidR="003043A5" w:rsidRPr="00F21797" w:rsidRDefault="003043A5" w:rsidP="00E04515">
            <w:pPr>
              <w:widowControl w:val="0"/>
              <w:pBdr>
                <w:bottom w:val="single" w:sz="8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Panel level heteroskedasticity</w:t>
            </w:r>
          </w:p>
        </w:tc>
        <w:tc>
          <w:tcPr>
            <w:tcW w:w="1317" w:type="pct"/>
            <w:gridSpan w:val="3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0523FFC6" w14:textId="77777777" w:rsidR="003043A5" w:rsidRPr="00F21797" w:rsidRDefault="003043A5" w:rsidP="00E04515">
            <w:pPr>
              <w:widowControl w:val="0"/>
              <w:pBdr>
                <w:bottom w:val="single" w:sz="8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Independent errors across panels</w:t>
            </w:r>
          </w:p>
        </w:tc>
      </w:tr>
      <w:tr w:rsidR="003043A5" w:rsidRPr="00F21797" w14:paraId="09FA4146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1FAE522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D91DCA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FCA1D7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7D9971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185B83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1F95A5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760CA50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E25134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F617B1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(8)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69BCC5B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(9)</w:t>
            </w:r>
          </w:p>
        </w:tc>
      </w:tr>
      <w:tr w:rsidR="003043A5" w:rsidRPr="00F21797" w14:paraId="4710E8AA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A6BF9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1107A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 xml:space="preserve">No auto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5F7EE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AR (1)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94AA8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PSAR (1)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5FD15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 xml:space="preserve">No auto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EFDD7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AR (1)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0EE6C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PSAR (1)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B953D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 xml:space="preserve">No auto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D315C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AR (1)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6907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PSAR (1)</w:t>
            </w:r>
          </w:p>
        </w:tc>
      </w:tr>
      <w:tr w:rsidR="003043A5" w:rsidRPr="00F21797" w14:paraId="3864D88E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BAADE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Chinese FDI (ln)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AD6EB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0.141***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7C9A7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0.147***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3EFEC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0.126***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C1FF6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0.141***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70C33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0.147***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FE5E9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0.126***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807F0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0.141***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953EA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0.147***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0644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0.126***</w:t>
            </w:r>
          </w:p>
        </w:tc>
      </w:tr>
      <w:tr w:rsidR="003043A5" w:rsidRPr="00F21797" w14:paraId="75C74151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0FD49FB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B00316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(13.12)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1743B4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(9.035)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312B3D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(9.759)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F89F68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(10.55)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AC4746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(8.035)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DB2BD4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(9.096)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D14448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(10.27)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D95D31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(8.065)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7CF464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(9.552)</w:t>
            </w:r>
          </w:p>
        </w:tc>
      </w:tr>
      <w:tr w:rsidR="003043A5" w:rsidRPr="00F21797" w14:paraId="70B837E2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7821BD7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Total FDI (ln)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16EF7A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0.185***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92028D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0.101***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1CAE7F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0.052***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032BDB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0.185***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5A5B38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0.101***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50E63BC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0.052***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B8F4DE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0.185***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3AC7B3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0.101***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B01020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0.052***</w:t>
            </w:r>
          </w:p>
        </w:tc>
      </w:tr>
      <w:tr w:rsidR="003043A5" w:rsidRPr="00F21797" w14:paraId="4A231483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6644DBD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AB312A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(5.981)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2E0B14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(3.788)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0FD7AE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(3.033)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761042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(7.837)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FE8246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(4.241)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7C9690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(2.826)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4CECA5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(8.796)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C35708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(4.804)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092ACDB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(3.027)</w:t>
            </w:r>
          </w:p>
        </w:tc>
      </w:tr>
      <w:tr w:rsidR="003043A5" w:rsidRPr="00F21797" w14:paraId="531688AC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3ED6CB6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Military exp (ln)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1469BF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0.196***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CD93EC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5549093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0.0843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DF2748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0.196***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96DC6E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537332D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0.0843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572A6D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0.196***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A786C0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0.111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18D589D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0.0843</w:t>
            </w:r>
          </w:p>
        </w:tc>
      </w:tr>
      <w:tr w:rsidR="003043A5" w:rsidRPr="00F21797" w14:paraId="18622EE4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228620D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EA61F8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(2.996)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6149F4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(1.255)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302FAF8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(0.991)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06D991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(2.639)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798143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(1.088)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204DBAD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(0.982)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1065B1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(2.763)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BE0908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(1.167)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0114DCA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(1.122)</w:t>
            </w:r>
          </w:p>
        </w:tc>
      </w:tr>
      <w:tr w:rsidR="003043A5" w:rsidRPr="00F21797" w14:paraId="11C0E2AF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09AD9F1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Total population (ln)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4BD3EE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-0.342***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B22608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-0.202***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0DDAC9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0.00422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332709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-0.342***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11583D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-0.202***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16F4BC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0.00422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5BC1E5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-0.342***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CE4B6C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-0.202***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6D452C4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0.00422</w:t>
            </w:r>
          </w:p>
        </w:tc>
      </w:tr>
      <w:tr w:rsidR="003043A5" w:rsidRPr="00F21797" w14:paraId="304ACDC9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2FC5184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74171A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(-9.931)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4B1D1E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(-5.280)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14CF957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(0.0991)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AA6CA2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(-12.05)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BA7248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(-4.850)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630EC0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(0.101)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DDC20D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(-11.57)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0E580F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(-4.869)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1F919D4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(0.102)</w:t>
            </w:r>
          </w:p>
        </w:tc>
      </w:tr>
      <w:tr w:rsidR="003043A5" w:rsidRPr="00F21797" w14:paraId="6C1E515A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40C5659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Corruption control (ln)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FD66BC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0.0850**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FF2888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0.0713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66CF3B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0.0319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CCEAEA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0.0850**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00F7AE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0.0713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CEB1DA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0.0319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2DE584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0.0850**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6EE75B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0.0713*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5279F7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0.0319</w:t>
            </w:r>
          </w:p>
        </w:tc>
      </w:tr>
      <w:tr w:rsidR="003043A5" w:rsidRPr="00F21797" w14:paraId="461E8BBB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6223ECD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741095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(2.379)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50FE1F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(1.615)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3D5B88C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(1.067)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B9B3D4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(2.242)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D8A470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(1.618)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CD38B9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(1.158)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2AA00F7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(2.419)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97DB3E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(1.957)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66C5C5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(1.327)</w:t>
            </w:r>
          </w:p>
        </w:tc>
      </w:tr>
      <w:tr w:rsidR="003043A5" w:rsidRPr="00F21797" w14:paraId="2484F420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1CE36BE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Political stability (ln)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BAEACF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0.201***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72E873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0.174***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2F0598F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0.146***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4C991E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0.201***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3EFD6F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0.174***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315849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0.146***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B8D433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0.201***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557859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0.174***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09ABF28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0.146***</w:t>
            </w:r>
          </w:p>
        </w:tc>
      </w:tr>
      <w:tr w:rsidR="003043A5" w:rsidRPr="00F21797" w14:paraId="022B0083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1B962E7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B825A7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(7.384)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2D52DA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(4.939)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745DA0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(5.890)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DC92CE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(6.527)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9CBC6C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(5.081)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699475C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(6.077)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F7694A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(6.622)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331AA3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(5.537)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235B572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(6.455)</w:t>
            </w:r>
          </w:p>
        </w:tc>
      </w:tr>
      <w:tr w:rsidR="003043A5" w:rsidRPr="00F21797" w14:paraId="10986945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right w:val="nil"/>
            </w:tcBorders>
          </w:tcPr>
          <w:p w14:paraId="46BF527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Constant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34CAA36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10.56***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5CEA810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8.649***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 w14:paraId="2B65AE2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5.234***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76D6231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10.56***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100D3A4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8.649***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 w14:paraId="668127E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5.234***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03E5BE8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10.56***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1FCA746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8.649***</w:t>
            </w:r>
          </w:p>
        </w:tc>
        <w:tc>
          <w:tcPr>
            <w:tcW w:w="437" w:type="pct"/>
            <w:tcBorders>
              <w:top w:val="nil"/>
              <w:left w:val="nil"/>
              <w:right w:val="nil"/>
            </w:tcBorders>
          </w:tcPr>
          <w:p w14:paraId="34E0012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5.234***</w:t>
            </w:r>
          </w:p>
        </w:tc>
      </w:tr>
      <w:tr w:rsidR="003043A5" w:rsidRPr="00F21797" w14:paraId="01B52296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0B2F7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28D94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(20.24)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25161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(13.77)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CE711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(7.802)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D634C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(23.67)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B4C9C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(12.46)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ADDCA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(7.849)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F74BE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(22.12)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270D0C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(12.56)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2C473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(7.918)</w:t>
            </w:r>
          </w:p>
        </w:tc>
      </w:tr>
      <w:tr w:rsidR="003043A5" w:rsidRPr="00F21797" w14:paraId="265276CA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FC95E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Observations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0FAEB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AE6D4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A26174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818F4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63A052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0A1C5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EF0CE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CFC49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52B7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116</w:t>
            </w:r>
          </w:p>
        </w:tc>
      </w:tr>
      <w:tr w:rsidR="003043A5" w:rsidRPr="00F21797" w14:paraId="75093255" w14:textId="77777777" w:rsidTr="00E04515">
        <w:trPr>
          <w:trHeight w:val="255"/>
          <w:jc w:val="center"/>
        </w:trPr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</w:tcPr>
          <w:p w14:paraId="44A3DA1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R-squared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CF2220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0.878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01074E8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2261C69E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0.995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C0D692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0.878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988ABA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1B2E0A60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0.995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050BD25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0.878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4751E1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0.926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5C10368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0.995</w:t>
            </w:r>
          </w:p>
        </w:tc>
      </w:tr>
      <w:tr w:rsidR="003043A5" w:rsidRPr="00F21797" w14:paraId="396896F6" w14:textId="77777777" w:rsidTr="00E04515">
        <w:trPr>
          <w:trHeight w:val="242"/>
          <w:jc w:val="center"/>
        </w:trPr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DCDDC9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chi2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35726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1066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7312DD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237.0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A797A1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396.3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70D22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715.5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3C0E9F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195.5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09B06B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448.5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C1DDBA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781.3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63EEC7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251.2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CC29B3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</w:rPr>
              <w:t>494.6</w:t>
            </w:r>
          </w:p>
        </w:tc>
      </w:tr>
      <w:tr w:rsidR="003043A5" w:rsidRPr="00F21797" w14:paraId="11F61ABF" w14:textId="77777777" w:rsidTr="00E04515">
        <w:tblPrEx>
          <w:tblBorders>
            <w:bottom w:val="single" w:sz="6" w:space="0" w:color="auto"/>
          </w:tblBorders>
        </w:tblPrEx>
        <w:trPr>
          <w:trHeight w:val="242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743A86" w14:textId="77777777" w:rsidR="003043A5" w:rsidRPr="00F21797" w:rsidRDefault="003043A5" w:rsidP="00E0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797">
              <w:rPr>
                <w:rFonts w:ascii="Times New Roman" w:hAnsi="Times New Roman"/>
                <w:b/>
                <w:bCs/>
              </w:rPr>
              <w:t>Note:</w:t>
            </w:r>
            <w:r w:rsidRPr="00F21797">
              <w:rPr>
                <w:rFonts w:ascii="Times New Roman" w:hAnsi="Times New Roman"/>
              </w:rPr>
              <w:t xml:space="preserve"> Standard errors in parentheses. All variables including dependent and independents are incorporated with their natural logarithm forms. </w:t>
            </w:r>
            <w:r w:rsidRPr="00F21797">
              <w:rPr>
                <w:rFonts w:ascii="Times New Roman" w:hAnsi="Times New Roman" w:hint="eastAsia"/>
                <w:lang w:eastAsia="ko-KR"/>
              </w:rPr>
              <w:t xml:space="preserve">Source: </w:t>
            </w:r>
            <w:r w:rsidRPr="00F21797">
              <w:rPr>
                <w:rFonts w:ascii="Times New Roman" w:hAnsi="Times New Roman"/>
              </w:rPr>
              <w:t>Authors calculation. *** p&lt;0.01, ** p&lt;0.05, * p&lt;0.1.</w:t>
            </w:r>
          </w:p>
        </w:tc>
      </w:tr>
    </w:tbl>
    <w:p w14:paraId="296CD2CD" w14:textId="77777777" w:rsidR="003043A5" w:rsidRPr="00E77698" w:rsidRDefault="003043A5" w:rsidP="003043A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DFCBE7" w14:textId="77777777" w:rsidR="003043A5" w:rsidRPr="00685C76" w:rsidRDefault="003043A5" w:rsidP="003043A5">
      <w:pPr>
        <w:jc w:val="both"/>
      </w:pPr>
    </w:p>
    <w:p w14:paraId="7A9E370E" w14:textId="77777777" w:rsidR="003043A5" w:rsidRPr="008E34B5" w:rsidRDefault="003043A5" w:rsidP="003043A5">
      <w:pPr>
        <w:jc w:val="both"/>
      </w:pPr>
    </w:p>
    <w:p w14:paraId="6657822C" w14:textId="77777777" w:rsidR="008B07A6" w:rsidRDefault="008B07A6"/>
    <w:sectPr w:rsidR="008B07A6" w:rsidSect="003043A5">
      <w:pgSz w:w="16838" w:h="11906" w:orient="landscape"/>
      <w:pgMar w:top="1440" w:right="170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A5"/>
    <w:rsid w:val="00066677"/>
    <w:rsid w:val="00153A17"/>
    <w:rsid w:val="001A37F3"/>
    <w:rsid w:val="003043A5"/>
    <w:rsid w:val="003A4E89"/>
    <w:rsid w:val="00556784"/>
    <w:rsid w:val="008B07A6"/>
    <w:rsid w:val="00987B63"/>
    <w:rsid w:val="00A234E6"/>
    <w:rsid w:val="00D31E7D"/>
    <w:rsid w:val="00E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1347"/>
  <w15:chartTrackingRefBased/>
  <w15:docId w15:val="{9E308E75-814C-425B-8360-2FE35D70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A5"/>
    <w:pPr>
      <w:spacing w:line="259" w:lineRule="auto"/>
    </w:pPr>
    <w:rPr>
      <w:rFonts w:ascii="Calibri" w:eastAsia="Malgun Gothic" w:hAnsi="Calibri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3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3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3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3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3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3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3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3A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3A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4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3A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4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2026-06-29T02:47:00Z</dcterms:created>
  <dcterms:modified xsi:type="dcterms:W3CDTF">2026-06-29T02:48:00Z</dcterms:modified>
</cp:coreProperties>
</file>