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249A0">
      <w:pPr>
        <w:jc w:val="center"/>
        <w:rPr>
          <w:rFonts w:hint="eastAsia" w:eastAsiaTheme="minorEastAsia"/>
          <w:lang w:eastAsia="zh-CN"/>
        </w:rPr>
      </w:pPr>
    </w:p>
    <w:p w14:paraId="1343AC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Supplementary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Figure1</w:t>
      </w:r>
    </w:p>
    <w:bookmarkEnd w:id="0"/>
    <w:p w14:paraId="79729622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843395" cy="7905115"/>
            <wp:effectExtent l="0" t="0" r="1905" b="6985"/>
            <wp:docPr id="1" name="图片 1" descr="补充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3395" cy="790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010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Supplementary Figure 1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Kaplan-Meier analysis of the counts of CD3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T cells (A),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B cells (B), CD21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DCs (C), and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CD27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memory B cells (Bmem) (D) with post-chemotherapy PFS (left), post-surgery PFS (middle), and OS (right) in ovarian cancer omental metastatic lesions.</w:t>
      </w:r>
    </w:p>
    <w:p w14:paraId="1301D679">
      <w:pPr>
        <w:jc w:val="left"/>
        <w:rPr>
          <w:rFonts w:hint="eastAsia" w:eastAsiaTheme="minorEastAsia"/>
          <w:lang w:eastAsia="zh-CN"/>
        </w:rPr>
      </w:pPr>
    </w:p>
    <w:p w14:paraId="2EFA5064">
      <w:pPr>
        <w:jc w:val="left"/>
        <w:rPr>
          <w:rFonts w:hint="eastAsia" w:eastAsiaTheme="minorEastAsia"/>
          <w:lang w:eastAsia="zh-CN"/>
        </w:rPr>
      </w:pPr>
    </w:p>
    <w:p w14:paraId="65B2257F">
      <w:pPr>
        <w:jc w:val="left"/>
        <w:rPr>
          <w:rFonts w:hint="eastAsia" w:eastAsiaTheme="minorEastAsia"/>
          <w:lang w:eastAsia="zh-CN"/>
        </w:rPr>
      </w:pPr>
    </w:p>
    <w:p w14:paraId="55DF9270">
      <w:pPr>
        <w:jc w:val="left"/>
        <w:rPr>
          <w:rFonts w:hint="eastAsia" w:eastAsiaTheme="minorEastAsia"/>
          <w:lang w:eastAsia="zh-CN"/>
        </w:rPr>
      </w:pPr>
    </w:p>
    <w:p w14:paraId="2CB4202B">
      <w:pPr>
        <w:jc w:val="left"/>
        <w:rPr>
          <w:rFonts w:hint="eastAsia" w:eastAsiaTheme="minorEastAsia"/>
          <w:lang w:eastAsia="zh-CN"/>
        </w:rPr>
      </w:pPr>
    </w:p>
    <w:p w14:paraId="10B17E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2</w:t>
      </w:r>
    </w:p>
    <w:p w14:paraId="31C65A5B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  <w:drawing>
          <wp:inline distT="0" distB="0" distL="114300" distR="114300">
            <wp:extent cx="6833870" cy="7891780"/>
            <wp:effectExtent l="0" t="0" r="11430" b="7620"/>
            <wp:docPr id="2" name="图片 2" descr="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5F8D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16245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leftChars="0" w:right="0" w:rightChars="0"/>
        <w:jc w:val="left"/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 w:bidi="ar-SA"/>
        </w:rPr>
        <w:t>Supplementary Figure 2:</w:t>
      </w:r>
      <w:r>
        <w:rPr>
          <w:rFonts w:hint="default" w:ascii="Times New Roman" w:hAnsi="Times New Roman" w:eastAsia="Cambria" w:cs="Times New Roman"/>
          <w:b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Kaplan-Meier analysis of the densities of CD3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 xml:space="preserve"> T cells (A),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 xml:space="preserve"> B cells (B), CD21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 xml:space="preserve"> DCs (C), and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CD27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  <w:t xml:space="preserve"> memory B cells (Bmem) (D) with post-chemotherapy PFS (left), post-surgery PFS (middle), and OS (right) in ovarian cancer omental metastatic lesions.</w:t>
      </w:r>
    </w:p>
    <w:p w14:paraId="333CB4A5">
      <w:pPr>
        <w:jc w:val="left"/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 w:bidi="ar-SA"/>
        </w:rPr>
      </w:pPr>
    </w:p>
    <w:p w14:paraId="6C2549DB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0AB2C60F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31E3F115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7949C3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3</w:t>
      </w:r>
    </w:p>
    <w:p w14:paraId="6FE1B546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  <w:drawing>
          <wp:inline distT="0" distB="0" distL="114300" distR="114300">
            <wp:extent cx="6833870" cy="7891780"/>
            <wp:effectExtent l="0" t="0" r="11430" b="7620"/>
            <wp:docPr id="3" name="图片 3" descr="补充图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补充图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3870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4C0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Supplementary Figure 3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.</w:t>
      </w:r>
      <w:r>
        <w:rPr>
          <w:rFonts w:hint="default" w:ascii="Arial" w:hAnsi="Arial" w:cs="Arial" w:eastAsia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Kaplan-Meier analysis of the proportions of CD3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T cells (A),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B cells (B), CD21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DCs (C), and CD20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CD27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+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 xml:space="preserve"> memory B cells (Bmem) (D) with post-chemotherapy PFS (left), post-surgery PFS (middle), and OS (right) in ovarian cancer omental metastatic lesions.</w:t>
      </w:r>
    </w:p>
    <w:p w14:paraId="2BC623FC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1504B801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255E5105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03EF7D15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50EBE2FB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15EF55A3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 w14:paraId="624523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4</w:t>
      </w:r>
    </w:p>
    <w:p w14:paraId="283E5DE5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  <w:drawing>
          <wp:inline distT="0" distB="0" distL="114300" distR="114300">
            <wp:extent cx="6814820" cy="7497445"/>
            <wp:effectExtent l="0" t="0" r="5080" b="8255"/>
            <wp:docPr id="4" name="图片 4" descr="补充图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补充图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74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4CD7A">
      <w:pPr>
        <w:keepNext/>
        <w:widowControl/>
        <w:spacing w:before="120" w:after="240" w:line="240" w:lineRule="auto"/>
        <w:jc w:val="left"/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Supplementary Figure 4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>Data analysis from the Timer3.0 database</w:t>
      </w:r>
      <w:r>
        <w:rPr>
          <w:rFonts w:hint="eastAsia" w:ascii="Times New Roman" w:hAnsi="Times New Roman" w:cs="Times New Roman" w:eastAsiaTheme="minorHAnsi"/>
          <w:b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A-</w:t>
      </w:r>
      <w:r>
        <w:rPr>
          <w:rFonts w:hint="default" w:ascii="Times New Roman" w:hAnsi="Times New Roman" w:cs="Times New Roman" w:eastAsiaTheme="minorHAnsi"/>
          <w:kern w:val="0"/>
          <w:sz w:val="24"/>
          <w:szCs w:val="24"/>
          <w:lang w:val="en-US" w:eastAsia="zh-CN"/>
        </w:rPr>
        <w:t>E: Correlation analysis between MUC16 expression and the infiltration of B cells (A), memory B cells (B), plasma B cells (C), naive B cells (D), and class-switched memory B cells (E) in ovarian cancer. Analysis was performed using the XCELL algorithm; left panels show data after Purity Adjustment, and right panels show data without Purity Adjustment;F-I: Correlation analysis between MUC16 expression and the infiltration of myeloid DCs (F), plasmacytoid DCs (G), and activated myeloid DCs (H) in ovarian cancer. Analysis was performed using the XCELL algorithm; left panels show data after Purity Adjustment, and right panels show data without Purity Adjustment.</w:t>
      </w:r>
    </w:p>
    <w:p w14:paraId="712D6CEF">
      <w:pPr>
        <w:jc w:val="left"/>
        <w:rPr>
          <w:rStyle w:val="7"/>
          <w:rFonts w:hint="default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6769A"/>
    <w:rsid w:val="0E2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</Words>
  <Characters>80</Characters>
  <Lines>0</Lines>
  <Paragraphs>0</Paragraphs>
  <TotalTime>2</TotalTime>
  <ScaleCrop>false</ScaleCrop>
  <LinksUpToDate>false</LinksUpToDate>
  <CharactersWithSpaces>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2026-05-26T06:52:00Z</dcterms:created>
  <dc:creator>liugen</dc:creator>
  <cp:lastModifiedBy>白大褂</cp:lastModifiedBy>
  <dcterms:modified xsi:type="dcterms:W3CDTF">2026-06-18T12:24:24Z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eyJoZGlkIjoiYWZjNTkzZDRjNzFiZDQ3MDg3N2JmZjdlOTllNjNlNWIiLCJ1c2VySWQiOiIzMDA5MDc5NDQifQ==</vt:lpwstr>
  </property>
  <property fmtid="{D5CDD505-2E9C-101B-9397-08002B2CF9AE}" pid="4" name="ICV">
    <vt:lpwstr>F826A2AE9B454FD1B0EAB9971F54D8FF_13</vt:lpwstr>
  </property>
</Properties>
</file>