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43E5E" w14:textId="77777777" w:rsidR="002A22B3" w:rsidRPr="00AB75EC" w:rsidRDefault="002A22B3" w:rsidP="002A22B3">
      <w:pPr>
        <w:pStyle w:val="a"/>
        <w:spacing w:before="120" w:after="120"/>
        <w:ind w:firstLineChars="0" w:firstLine="0"/>
        <w:rPr>
          <w:rFonts w:ascii="Arial" w:hAnsi="Arial" w:cs="Arial"/>
          <w:b/>
          <w:bCs/>
          <w:sz w:val="28"/>
          <w:szCs w:val="28"/>
          <w:lang w:eastAsia="zh-CN"/>
        </w:rPr>
      </w:pPr>
      <w:r w:rsidRPr="00AB75EC">
        <w:rPr>
          <w:rFonts w:ascii="Arial" w:hAnsi="Arial" w:cs="Arial"/>
          <w:b/>
          <w:bCs/>
          <w:sz w:val="28"/>
          <w:szCs w:val="28"/>
          <w:lang w:eastAsia="zh-CN"/>
        </w:rPr>
        <w:t xml:space="preserve">7.2 </w:t>
      </w:r>
      <w:r w:rsidRPr="00AB75EC">
        <w:rPr>
          <w:rFonts w:ascii="Arial" w:hAnsi="Arial" w:cs="Arial"/>
          <w:b/>
          <w:bCs/>
          <w:sz w:val="28"/>
          <w:szCs w:val="28"/>
        </w:rPr>
        <w:t>Supplementary Figure Legend</w:t>
      </w:r>
      <w:r w:rsidRPr="00AB75EC">
        <w:rPr>
          <w:rFonts w:ascii="Arial" w:hAnsi="Arial" w:cs="Arial"/>
          <w:b/>
          <w:bCs/>
          <w:sz w:val="28"/>
          <w:szCs w:val="28"/>
          <w:lang w:eastAsia="zh-CN"/>
        </w:rPr>
        <w:t>s</w:t>
      </w:r>
    </w:p>
    <w:p w14:paraId="56894DFA" w14:textId="77777777" w:rsidR="002A22B3" w:rsidRPr="00C006F4" w:rsidRDefault="002A22B3" w:rsidP="002A22B3">
      <w:pPr>
        <w:pStyle w:val="a"/>
        <w:spacing w:before="120" w:after="120"/>
        <w:ind w:firstLine="482"/>
        <w:rPr>
          <w:rFonts w:ascii="Arial" w:hAnsi="Arial" w:cs="Arial"/>
          <w:bCs/>
          <w:lang w:eastAsia="zh-CN"/>
        </w:rPr>
      </w:pPr>
      <w:r w:rsidRPr="00AB75EC">
        <w:rPr>
          <w:rFonts w:ascii="Arial" w:hAnsi="Arial" w:cs="Arial"/>
          <w:b/>
          <w:bCs/>
        </w:rPr>
        <w:t>Supplementary Figure</w:t>
      </w:r>
      <w:r w:rsidRPr="00AB75EC">
        <w:rPr>
          <w:rFonts w:ascii="Arial" w:hAnsi="Arial" w:cs="Arial"/>
          <w:b/>
          <w:bCs/>
          <w:lang w:eastAsia="zh-CN"/>
        </w:rPr>
        <w:t>1: Transcriptional pathway dynamics and intercellular communication frequencies across primary and recurrent GBM cell subpopulations.</w:t>
      </w:r>
      <w:r w:rsidRPr="00AB75EC">
        <w:rPr>
          <w:rFonts w:ascii="Arial" w:hAnsi="Arial" w:cs="Arial"/>
        </w:rPr>
        <w:t xml:space="preserve"> </w:t>
      </w:r>
      <w:r w:rsidRPr="00C006F4">
        <w:rPr>
          <w:rFonts w:ascii="Arial" w:hAnsi="Arial" w:cs="Arial"/>
          <w:b/>
          <w:bCs/>
          <w:lang w:eastAsia="zh-CN"/>
        </w:rPr>
        <w:t>(A)</w:t>
      </w:r>
      <w:r w:rsidRPr="00C006F4">
        <w:rPr>
          <w:rFonts w:ascii="Arial" w:hAnsi="Arial" w:cs="Arial"/>
          <w:bCs/>
          <w:lang w:eastAsia="zh-CN"/>
        </w:rPr>
        <w:t xml:space="preserve"> Bubble plot illustrating the results of Gene Set Enrichment Analysis (GSEA) performed on the Proliferating.MKI67 subpopulation utilizing the Hallmark gene set collection. Each bubble represents a statistically enriched pathway, where the bubble size corresponds to the gene set size and the color gradient represents the normalized enrichment score (NES).</w:t>
      </w:r>
      <w:r>
        <w:rPr>
          <w:rFonts w:ascii="Arial" w:hAnsi="Arial" w:cs="Arial" w:hint="eastAsia"/>
          <w:bCs/>
          <w:lang w:eastAsia="zh-CN"/>
        </w:rPr>
        <w:t xml:space="preserve"> </w:t>
      </w:r>
      <w:r w:rsidRPr="00C006F4">
        <w:rPr>
          <w:rFonts w:ascii="Arial" w:hAnsi="Arial" w:cs="Arial"/>
          <w:b/>
          <w:bCs/>
          <w:lang w:eastAsia="zh-CN"/>
        </w:rPr>
        <w:t>(B)</w:t>
      </w:r>
      <w:r w:rsidRPr="00C006F4">
        <w:rPr>
          <w:rFonts w:ascii="Arial" w:hAnsi="Arial" w:cs="Arial"/>
          <w:bCs/>
          <w:lang w:eastAsia="zh-CN"/>
        </w:rPr>
        <w:t xml:space="preserve"> Heatmap showing differential pathway intensities between recurrent and primary GBM across the 11 relapse-associated cell subpopulations. The values shown represent the mathematical subtraction of primary from recurrent expression levels for selected functional pathways; positive values (red) indicate higher pathway activity in recurrent GBM, whereas negative values (blue) indicate lower activity.</w:t>
      </w:r>
      <w:r>
        <w:rPr>
          <w:rFonts w:ascii="Arial" w:hAnsi="Arial" w:cs="Arial" w:hint="eastAsia"/>
          <w:bCs/>
          <w:lang w:eastAsia="zh-CN"/>
        </w:rPr>
        <w:t xml:space="preserve"> </w:t>
      </w:r>
      <w:r w:rsidRPr="00C006F4">
        <w:rPr>
          <w:rFonts w:ascii="Arial" w:hAnsi="Arial" w:cs="Arial"/>
          <w:b/>
          <w:bCs/>
          <w:lang w:eastAsia="zh-CN"/>
        </w:rPr>
        <w:t>(C)</w:t>
      </w:r>
      <w:r w:rsidRPr="00C006F4">
        <w:rPr>
          <w:rFonts w:ascii="Arial" w:hAnsi="Arial" w:cs="Arial"/>
          <w:bCs/>
          <w:lang w:eastAsia="zh-CN"/>
        </w:rPr>
        <w:t xml:space="preserve"> Bar plot comparing the total number of intercellular communications per cellular subpopulation between recurrent and primary GBM. For each of the 11 subpopulations, the communication number in recurrent samples is expressed relative to that in primary baseline samples, with statistical significance indicated where applicable.</w:t>
      </w:r>
    </w:p>
    <w:p w14:paraId="6C8141A4" w14:textId="77777777" w:rsidR="002A22B3" w:rsidRPr="00AB75EC" w:rsidRDefault="002A22B3" w:rsidP="002A22B3">
      <w:pPr>
        <w:pStyle w:val="a"/>
        <w:spacing w:before="120" w:after="120"/>
        <w:ind w:firstLineChars="0" w:firstLine="0"/>
        <w:rPr>
          <w:rFonts w:ascii="Arial" w:hAnsi="Arial" w:cs="Arial"/>
          <w:lang w:eastAsia="zh-CN"/>
        </w:rPr>
      </w:pPr>
    </w:p>
    <w:p w14:paraId="35C017E8" w14:textId="77777777" w:rsidR="002A22B3" w:rsidRPr="00C006F4" w:rsidRDefault="002A22B3" w:rsidP="002A22B3">
      <w:pPr>
        <w:pStyle w:val="a"/>
        <w:spacing w:before="120" w:after="120"/>
        <w:ind w:firstLine="482"/>
        <w:rPr>
          <w:rFonts w:ascii="Arial" w:hAnsi="Arial" w:cs="Arial"/>
          <w:lang w:eastAsia="zh-CN"/>
        </w:rPr>
      </w:pPr>
      <w:r w:rsidRPr="00AB75EC">
        <w:rPr>
          <w:rFonts w:ascii="Arial" w:hAnsi="Arial" w:cs="Arial"/>
          <w:b/>
          <w:bCs/>
        </w:rPr>
        <w:t>Supplementary Figure</w:t>
      </w:r>
      <w:r w:rsidRPr="00AB75EC">
        <w:rPr>
          <w:rFonts w:ascii="Arial" w:hAnsi="Arial" w:cs="Arial"/>
          <w:b/>
          <w:bCs/>
          <w:lang w:eastAsia="zh-CN"/>
        </w:rPr>
        <w:t>2:</w:t>
      </w:r>
      <w:r w:rsidRPr="00AB75EC">
        <w:rPr>
          <w:rFonts w:ascii="Arial" w:eastAsiaTheme="minorEastAsia" w:hAnsi="Arial" w:cs="Arial"/>
        </w:rPr>
        <w:t xml:space="preserve"> </w:t>
      </w:r>
      <w:r w:rsidRPr="00AB75EC">
        <w:rPr>
          <w:rFonts w:ascii="Arial" w:hAnsi="Arial" w:cs="Arial"/>
          <w:b/>
          <w:bCs/>
          <w:lang w:eastAsia="zh-CN"/>
        </w:rPr>
        <w:t xml:space="preserve">Bibliometric landscapes, temporal clustering, and keyword bursts of global </w:t>
      </w:r>
      <w:r w:rsidRPr="00AB75EC">
        <w:rPr>
          <w:rFonts w:ascii="Arial" w:hAnsi="Arial" w:cs="Arial"/>
          <w:b/>
          <w:bCs/>
          <w:i/>
          <w:iCs/>
          <w:lang w:eastAsia="zh-CN"/>
        </w:rPr>
        <w:t>PLOD2</w:t>
      </w:r>
      <w:r w:rsidRPr="00AB75EC">
        <w:rPr>
          <w:rFonts w:ascii="Arial" w:hAnsi="Arial" w:cs="Arial"/>
          <w:b/>
          <w:bCs/>
          <w:lang w:eastAsia="zh-CN"/>
        </w:rPr>
        <w:t xml:space="preserve"> literature.</w:t>
      </w:r>
      <w:r w:rsidRPr="00AB75EC">
        <w:rPr>
          <w:rFonts w:ascii="Arial" w:hAnsi="Arial" w:cs="Arial"/>
        </w:rPr>
        <w:t xml:space="preserve"> </w:t>
      </w:r>
      <w:r w:rsidRPr="00C006F4">
        <w:rPr>
          <w:rFonts w:ascii="Arial" w:hAnsi="Arial" w:cs="Arial"/>
          <w:b/>
          <w:bCs/>
          <w:lang w:eastAsia="zh-CN"/>
        </w:rPr>
        <w:t>(A)</w:t>
      </w:r>
      <w:r w:rsidRPr="00C006F4">
        <w:rPr>
          <w:rFonts w:ascii="Arial" w:hAnsi="Arial" w:cs="Arial"/>
          <w:lang w:eastAsia="zh-CN"/>
        </w:rPr>
        <w:t xml:space="preserve"> Combined charts illustrating the annual publication output and the corresponding cumulative growth volume of </w:t>
      </w:r>
      <w:r w:rsidRPr="00C006F4">
        <w:rPr>
          <w:rFonts w:ascii="Arial" w:hAnsi="Arial" w:cs="Arial"/>
          <w:i/>
          <w:iCs/>
          <w:lang w:eastAsia="zh-CN"/>
        </w:rPr>
        <w:t>PLOD2</w:t>
      </w:r>
      <w:r w:rsidRPr="00C006F4">
        <w:rPr>
          <w:rFonts w:ascii="Arial" w:hAnsi="Arial" w:cs="Arial"/>
          <w:lang w:eastAsia="zh-CN"/>
        </w:rPr>
        <w:t>-related research over time.</w:t>
      </w:r>
      <w:r>
        <w:rPr>
          <w:rFonts w:ascii="Arial" w:hAnsi="Arial" w:cs="Arial" w:hint="eastAsia"/>
          <w:lang w:eastAsia="zh-CN"/>
        </w:rPr>
        <w:t xml:space="preserve"> </w:t>
      </w:r>
      <w:r w:rsidRPr="00C006F4">
        <w:rPr>
          <w:rFonts w:ascii="Arial" w:hAnsi="Arial" w:cs="Arial"/>
          <w:b/>
          <w:bCs/>
          <w:lang w:eastAsia="zh-CN"/>
        </w:rPr>
        <w:t>(B, C)</w:t>
      </w:r>
      <w:r w:rsidRPr="00C006F4">
        <w:rPr>
          <w:rFonts w:ascii="Arial" w:hAnsi="Arial" w:cs="Arial"/>
          <w:lang w:eastAsia="zh-CN"/>
        </w:rPr>
        <w:t xml:space="preserve"> Time-resolved keyword co-occurrence clustering networks within oncological </w:t>
      </w:r>
      <w:r w:rsidRPr="00C006F4">
        <w:rPr>
          <w:rFonts w:ascii="Arial" w:hAnsi="Arial" w:cs="Arial"/>
          <w:b/>
          <w:bCs/>
          <w:lang w:eastAsia="zh-CN"/>
        </w:rPr>
        <w:t>(B)</w:t>
      </w:r>
      <w:r w:rsidRPr="00C006F4">
        <w:rPr>
          <w:rFonts w:ascii="Arial" w:hAnsi="Arial" w:cs="Arial"/>
          <w:lang w:eastAsia="zh-CN"/>
        </w:rPr>
        <w:t xml:space="preserve"> and non-oncological </w:t>
      </w:r>
      <w:r w:rsidRPr="00C006F4">
        <w:rPr>
          <w:rFonts w:ascii="Arial" w:hAnsi="Arial" w:cs="Arial"/>
          <w:b/>
          <w:bCs/>
          <w:lang w:eastAsia="zh-CN"/>
        </w:rPr>
        <w:t>(C)</w:t>
      </w:r>
      <w:r w:rsidRPr="00C006F4">
        <w:rPr>
          <w:rFonts w:ascii="Arial" w:hAnsi="Arial" w:cs="Arial"/>
          <w:lang w:eastAsia="zh-CN"/>
        </w:rPr>
        <w:t xml:space="preserve"> domains, illustrating the shifting paradigms of </w:t>
      </w:r>
      <w:r w:rsidRPr="00C006F4">
        <w:rPr>
          <w:rFonts w:ascii="Arial" w:hAnsi="Arial" w:cs="Arial"/>
          <w:i/>
          <w:iCs/>
          <w:lang w:eastAsia="zh-CN"/>
        </w:rPr>
        <w:t>PLOD2</w:t>
      </w:r>
      <w:r w:rsidRPr="00C006F4">
        <w:rPr>
          <w:rFonts w:ascii="Arial" w:hAnsi="Arial" w:cs="Arial"/>
          <w:lang w:eastAsia="zh-CN"/>
        </w:rPr>
        <w:t xml:space="preserve"> thematic focuses over the years. Nodes represent distinct keywords, with the color spectrum indicating the temporal distribution.</w:t>
      </w:r>
      <w:r>
        <w:rPr>
          <w:rFonts w:ascii="Arial" w:hAnsi="Arial" w:cs="Arial" w:hint="eastAsia"/>
          <w:lang w:eastAsia="zh-CN"/>
        </w:rPr>
        <w:t xml:space="preserve"> </w:t>
      </w:r>
      <w:r w:rsidRPr="00C006F4">
        <w:rPr>
          <w:rFonts w:ascii="Arial" w:hAnsi="Arial" w:cs="Arial"/>
          <w:b/>
          <w:bCs/>
          <w:lang w:eastAsia="zh-CN"/>
        </w:rPr>
        <w:t>(D, E)</w:t>
      </w:r>
      <w:r w:rsidRPr="00C006F4">
        <w:rPr>
          <w:rFonts w:ascii="Arial" w:hAnsi="Arial" w:cs="Arial"/>
          <w:lang w:eastAsia="zh-CN"/>
        </w:rPr>
        <w:t xml:space="preserve"> Visualization of top keywords with the highest citation burst intensities in oncological </w:t>
      </w:r>
      <w:r w:rsidRPr="00C006F4">
        <w:rPr>
          <w:rFonts w:ascii="Arial" w:hAnsi="Arial" w:cs="Arial"/>
          <w:b/>
          <w:bCs/>
          <w:lang w:eastAsia="zh-CN"/>
        </w:rPr>
        <w:t>(D)</w:t>
      </w:r>
      <w:r w:rsidRPr="00C006F4">
        <w:rPr>
          <w:rFonts w:ascii="Arial" w:hAnsi="Arial" w:cs="Arial"/>
          <w:lang w:eastAsia="zh-CN"/>
        </w:rPr>
        <w:t xml:space="preserve"> and non-oncological </w:t>
      </w:r>
      <w:r w:rsidRPr="00C006F4">
        <w:rPr>
          <w:rFonts w:ascii="Arial" w:hAnsi="Arial" w:cs="Arial"/>
          <w:b/>
          <w:bCs/>
          <w:lang w:eastAsia="zh-CN"/>
        </w:rPr>
        <w:t>(E)</w:t>
      </w:r>
      <w:r w:rsidRPr="00C006F4">
        <w:rPr>
          <w:rFonts w:ascii="Arial" w:hAnsi="Arial" w:cs="Arial"/>
          <w:lang w:eastAsia="zh-CN"/>
        </w:rPr>
        <w:t xml:space="preserve"> contexts, where colored segments explicitly demarcate the specific duration and intensity of sudden spikes in citation frequency.</w:t>
      </w:r>
    </w:p>
    <w:p w14:paraId="2561E557" w14:textId="77777777" w:rsidR="002A22B3" w:rsidRDefault="002A22B3" w:rsidP="002A22B3">
      <w:pPr>
        <w:jc w:val="both"/>
        <w:rPr>
          <w:rFonts w:ascii="Arial" w:hAnsi="Arial" w:cs="Arial"/>
        </w:rPr>
      </w:pPr>
      <w:r w:rsidRPr="00AB75EC">
        <w:rPr>
          <w:rFonts w:ascii="Arial" w:hAnsi="Arial" w:cs="Arial"/>
          <w:b/>
          <w:bCs/>
        </w:rPr>
        <w:t>Supplementary Figure</w:t>
      </w:r>
      <w:r w:rsidRPr="00AB75EC">
        <w:rPr>
          <w:rFonts w:ascii="Arial" w:hAnsi="Arial" w:cs="Arial"/>
          <w:b/>
          <w:bCs/>
          <w:lang w:eastAsia="zh-CN"/>
        </w:rPr>
        <w:t>3:</w:t>
      </w:r>
      <w:r>
        <w:rPr>
          <w:rFonts w:ascii="Arial" w:hAnsi="Arial" w:cs="Arial" w:hint="eastAsia"/>
          <w:b/>
          <w:bCs/>
          <w:lang w:eastAsia="zh-CN"/>
        </w:rPr>
        <w:t xml:space="preserve"> </w:t>
      </w:r>
      <w:r w:rsidRPr="00AB75EC">
        <w:rPr>
          <w:rFonts w:ascii="Arial" w:hAnsi="Arial" w:cs="Arial"/>
          <w:b/>
          <w:bCs/>
        </w:rPr>
        <w:t>Validation of PLOD2 expression in additional glioma patients and gene expression profiles across three distinct MES-like niches.</w:t>
      </w:r>
      <w:r w:rsidRPr="00AB75EC">
        <w:rPr>
          <w:rFonts w:ascii="Arial" w:hAnsi="Arial" w:cs="Arial"/>
        </w:rPr>
        <w:t xml:space="preserve"> </w:t>
      </w:r>
      <w:r w:rsidRPr="00AB75EC">
        <w:rPr>
          <w:rFonts w:ascii="Arial" w:hAnsi="Arial" w:cs="Arial"/>
          <w:b/>
          <w:bCs/>
        </w:rPr>
        <w:t>(A)</w:t>
      </w:r>
      <w:r w:rsidRPr="00AB75EC">
        <w:rPr>
          <w:rFonts w:ascii="Arial" w:hAnsi="Arial" w:cs="Arial"/>
        </w:rPr>
        <w:t xml:space="preserve"> Representative PLOD2 IHC staining of an additional two primary GBM specimens (supporting Main Figure A). Overview images (4×) mark PAN and non-PAN areas, with corresponding magnified insets (1 and 2) reinforcing the specific enrichment of PLOD2 in PAN zones. Scale bars = 200 μm. </w:t>
      </w:r>
      <w:r w:rsidRPr="00AB75EC">
        <w:rPr>
          <w:rFonts w:ascii="Arial" w:hAnsi="Arial" w:cs="Arial"/>
          <w:b/>
          <w:bCs/>
        </w:rPr>
        <w:t>(B)</w:t>
      </w:r>
      <w:r w:rsidRPr="00AB75EC">
        <w:rPr>
          <w:rFonts w:ascii="Arial" w:hAnsi="Arial" w:cs="Arial"/>
        </w:rPr>
        <w:t xml:space="preserve"> Representative PLOD2 IHC staining of an additional two recurrent high-grade glioma specimens (supporting Main Figure B), with zoomed-in views showing diffuse, high-level expression of PLOD2. Scale bars = 200 μm. </w:t>
      </w:r>
      <w:r w:rsidRPr="00AB75EC">
        <w:rPr>
          <w:rFonts w:ascii="Arial" w:hAnsi="Arial" w:cs="Arial"/>
          <w:b/>
          <w:bCs/>
        </w:rPr>
        <w:t>(C)</w:t>
      </w:r>
      <w:r w:rsidRPr="00AB75EC">
        <w:rPr>
          <w:rFonts w:ascii="Arial" w:hAnsi="Arial" w:cs="Arial"/>
        </w:rPr>
        <w:t xml:space="preserve"> Dot plot illustrating the spatial transcriptomic expression profiles of </w:t>
      </w:r>
      <w:r w:rsidRPr="00AB75EC">
        <w:rPr>
          <w:rFonts w:ascii="Arial" w:hAnsi="Arial" w:cs="Arial"/>
          <w:i/>
          <w:iCs/>
        </w:rPr>
        <w:t>PLOD2</w:t>
      </w:r>
      <w:r w:rsidRPr="00AB75EC">
        <w:rPr>
          <w:rFonts w:ascii="Arial" w:hAnsi="Arial" w:cs="Arial"/>
        </w:rPr>
        <w:t xml:space="preserve"> and </w:t>
      </w:r>
      <w:r w:rsidRPr="00AB75EC">
        <w:rPr>
          <w:rFonts w:ascii="Arial" w:hAnsi="Arial" w:cs="Arial"/>
          <w:i/>
          <w:iCs/>
        </w:rPr>
        <w:t>LAMA4</w:t>
      </w:r>
      <w:r w:rsidRPr="00AB75EC">
        <w:rPr>
          <w:rFonts w:ascii="Arial" w:hAnsi="Arial" w:cs="Arial"/>
        </w:rPr>
        <w:t xml:space="preserve"> across three global MES niches (MES-like_S1, MES-like_S2, and MES-like_S3), integrated from the full primary GBM patient cohort (n = 9). Dot color intensity indicates the average expression level, and dot size reflects the percentage of cells expressing the respective gene within each spatial niche.</w:t>
      </w:r>
    </w:p>
    <w:p w14:paraId="37A80E14" w14:textId="77777777" w:rsidR="002A22B3" w:rsidRPr="007A1AEB" w:rsidRDefault="002A22B3" w:rsidP="002A22B3">
      <w:pPr>
        <w:pStyle w:val="a"/>
        <w:spacing w:before="120" w:after="120"/>
        <w:ind w:firstLineChars="0" w:firstLine="0"/>
        <w:rPr>
          <w:rFonts w:ascii="Arial" w:hAnsi="Arial" w:cs="Arial"/>
          <w:b/>
          <w:bCs/>
          <w:sz w:val="28"/>
          <w:szCs w:val="28"/>
          <w:lang w:eastAsia="zh-CN"/>
        </w:rPr>
      </w:pPr>
      <w:r w:rsidRPr="007A1AEB">
        <w:rPr>
          <w:rFonts w:ascii="Arial" w:hAnsi="Arial" w:cs="Arial"/>
          <w:b/>
          <w:bCs/>
          <w:sz w:val="28"/>
          <w:szCs w:val="28"/>
          <w:lang w:eastAsia="zh-CN"/>
        </w:rPr>
        <w:t>7.3 Supplementary Table Legends</w:t>
      </w:r>
    </w:p>
    <w:p w14:paraId="4530D614" w14:textId="77777777" w:rsidR="002A22B3" w:rsidRPr="001849E3" w:rsidRDefault="002A22B3" w:rsidP="002A22B3">
      <w:pPr>
        <w:pStyle w:val="a"/>
        <w:spacing w:before="120" w:after="120"/>
        <w:ind w:firstLine="482"/>
        <w:rPr>
          <w:rFonts w:ascii="Arial" w:hAnsi="Arial" w:cs="Arial"/>
          <w:b/>
          <w:bCs/>
        </w:rPr>
      </w:pPr>
      <w:r w:rsidRPr="001849E3">
        <w:rPr>
          <w:rFonts w:ascii="Arial" w:hAnsi="Arial" w:cs="Arial"/>
          <w:b/>
          <w:bCs/>
        </w:rPr>
        <w:t>Supplementary Table 1: Curation and metadata overview of multi-omics datasets.</w:t>
      </w:r>
      <w:r>
        <w:rPr>
          <w:rFonts w:ascii="Arial" w:hAnsi="Arial" w:cs="Arial" w:hint="eastAsia"/>
          <w:b/>
          <w:bCs/>
          <w:lang w:eastAsia="zh-CN"/>
        </w:rPr>
        <w:t xml:space="preserve"> </w:t>
      </w:r>
      <w:r w:rsidRPr="001849E3">
        <w:rPr>
          <w:rFonts w:ascii="Arial" w:hAnsi="Arial" w:cs="Arial"/>
        </w:rPr>
        <w:t xml:space="preserve">Technical specifications and configuration of all cohorts used in the multi-scale </w:t>
      </w:r>
      <w:r w:rsidRPr="001849E3">
        <w:rPr>
          <w:rFonts w:ascii="Arial" w:hAnsi="Arial" w:cs="Arial"/>
        </w:rPr>
        <w:lastRenderedPageBreak/>
        <w:t xml:space="preserve">omics analysis, stratified by: </w:t>
      </w:r>
      <w:r w:rsidRPr="001849E3">
        <w:rPr>
          <w:rFonts w:ascii="Arial" w:hAnsi="Arial" w:cs="Arial"/>
          <w:b/>
          <w:bCs/>
        </w:rPr>
        <w:t>(i)</w:t>
      </w:r>
      <w:r w:rsidRPr="001849E3">
        <w:rPr>
          <w:rFonts w:ascii="Arial" w:hAnsi="Arial" w:cs="Arial"/>
        </w:rPr>
        <w:t xml:space="preserve"> sc/snRNA-seq datasets (sample sizes, sequencing platforms, and processing centers); </w:t>
      </w:r>
      <w:r w:rsidRPr="001849E3">
        <w:rPr>
          <w:rFonts w:ascii="Arial" w:hAnsi="Arial" w:cs="Arial"/>
          <w:b/>
          <w:bCs/>
        </w:rPr>
        <w:t>(ii)</w:t>
      </w:r>
      <w:r w:rsidRPr="001849E3">
        <w:rPr>
          <w:rFonts w:ascii="Arial" w:hAnsi="Arial" w:cs="Arial"/>
        </w:rPr>
        <w:t xml:space="preserve"> bulk transcriptomic validation cohorts (repositories and methodology); and </w:t>
      </w:r>
      <w:r w:rsidRPr="001849E3">
        <w:rPr>
          <w:rFonts w:ascii="Arial" w:hAnsi="Arial" w:cs="Arial"/>
          <w:b/>
          <w:bCs/>
        </w:rPr>
        <w:t>(iii)</w:t>
      </w:r>
      <w:r w:rsidRPr="001849E3">
        <w:rPr>
          <w:rFonts w:ascii="Arial" w:hAnsi="Arial" w:cs="Arial"/>
        </w:rPr>
        <w:t xml:space="preserve"> spatial transcriptomic platforms (tissue orientations and spatial profiling techniques).</w:t>
      </w:r>
    </w:p>
    <w:p w14:paraId="7D919BAC" w14:textId="77777777" w:rsidR="002A22B3" w:rsidRPr="001849E3" w:rsidRDefault="002A22B3" w:rsidP="002A22B3">
      <w:pPr>
        <w:pStyle w:val="a"/>
        <w:spacing w:before="120" w:after="120"/>
        <w:ind w:firstLine="482"/>
        <w:rPr>
          <w:rFonts w:ascii="Arial" w:hAnsi="Arial" w:cs="Arial"/>
          <w:b/>
          <w:bCs/>
        </w:rPr>
      </w:pPr>
      <w:r w:rsidRPr="001849E3">
        <w:rPr>
          <w:rFonts w:ascii="Arial" w:hAnsi="Arial" w:cs="Arial"/>
          <w:b/>
          <w:bCs/>
        </w:rPr>
        <w:t>Supplementary Table 2: Clinical and baseline demographic characteristics of the public GBM cohorts.</w:t>
      </w:r>
      <w:r>
        <w:rPr>
          <w:rFonts w:ascii="Arial" w:hAnsi="Arial" w:cs="Arial" w:hint="eastAsia"/>
          <w:b/>
          <w:bCs/>
          <w:lang w:eastAsia="zh-CN"/>
        </w:rPr>
        <w:t xml:space="preserve"> </w:t>
      </w:r>
      <w:r w:rsidRPr="001849E3">
        <w:rPr>
          <w:rFonts w:ascii="Arial" w:hAnsi="Arial" w:cs="Arial"/>
        </w:rPr>
        <w:t xml:space="preserve">Individual-level clinical and pathological parameters of the four public datasets used for transcriptomic screening, including patient age, sex, primary/recurrent status, histopathological grade, </w:t>
      </w:r>
      <w:r w:rsidRPr="001849E3">
        <w:rPr>
          <w:rFonts w:ascii="Arial" w:hAnsi="Arial" w:cs="Arial"/>
          <w:i/>
          <w:iCs/>
        </w:rPr>
        <w:t>MGMT</w:t>
      </w:r>
      <w:r w:rsidRPr="001849E3">
        <w:rPr>
          <w:rFonts w:ascii="Arial" w:hAnsi="Arial" w:cs="Arial"/>
        </w:rPr>
        <w:t xml:space="preserve"> promoter methylation, </w:t>
      </w:r>
      <w:r w:rsidRPr="001849E3">
        <w:rPr>
          <w:rFonts w:ascii="Arial" w:hAnsi="Arial" w:cs="Arial"/>
          <w:i/>
          <w:iCs/>
        </w:rPr>
        <w:t>IDH</w:t>
      </w:r>
      <w:r w:rsidRPr="001849E3">
        <w:rPr>
          <w:rFonts w:ascii="Arial" w:hAnsi="Arial" w:cs="Arial"/>
        </w:rPr>
        <w:t xml:space="preserve"> mutation status, overall survival (OS), and progression-free survival (PFS).</w:t>
      </w:r>
    </w:p>
    <w:p w14:paraId="560E1097" w14:textId="77777777" w:rsidR="002A22B3" w:rsidRPr="001849E3" w:rsidRDefault="002A22B3" w:rsidP="002A22B3">
      <w:pPr>
        <w:pStyle w:val="a"/>
        <w:spacing w:before="120" w:after="120"/>
        <w:ind w:firstLine="482"/>
        <w:rPr>
          <w:rFonts w:ascii="Arial" w:hAnsi="Arial" w:cs="Arial"/>
          <w:b/>
          <w:bCs/>
          <w:lang w:eastAsia="zh-CN"/>
        </w:rPr>
      </w:pPr>
      <w:r w:rsidRPr="001849E3">
        <w:rPr>
          <w:rFonts w:ascii="Arial" w:hAnsi="Arial" w:cs="Arial"/>
          <w:b/>
          <w:bCs/>
        </w:rPr>
        <w:t>Supplementary Table 3: Cell-type distribution and fractional abundance across datasets.</w:t>
      </w:r>
      <w:r>
        <w:rPr>
          <w:rFonts w:ascii="Arial" w:hAnsi="Arial" w:cs="Arial" w:hint="eastAsia"/>
          <w:b/>
          <w:bCs/>
          <w:lang w:eastAsia="zh-CN"/>
        </w:rPr>
        <w:t xml:space="preserve"> </w:t>
      </w:r>
      <w:r w:rsidRPr="001849E3">
        <w:rPr>
          <w:rFonts w:ascii="Arial" w:hAnsi="Arial" w:cs="Arial"/>
        </w:rPr>
        <w:t xml:space="preserve">Cellular census, exact positive cell counts, and percentage frequencies of annotated lineages across the sc/snRNA-seq and snRNA-seq validation cohorts, serving as the source data for the compositional shifts and proportional enrichment illustrated in </w:t>
      </w:r>
      <w:r w:rsidRPr="001849E3">
        <w:rPr>
          <w:rFonts w:ascii="Arial" w:hAnsi="Arial" w:cs="Arial"/>
          <w:color w:val="EE0000"/>
        </w:rPr>
        <w:t>Figure 1B</w:t>
      </w:r>
      <w:r w:rsidRPr="007C7E4F">
        <w:rPr>
          <w:rFonts w:ascii="Arial" w:hAnsi="Arial" w:cs="Arial" w:hint="eastAsia"/>
          <w:lang w:eastAsia="zh-CN"/>
        </w:rPr>
        <w:t>.</w:t>
      </w:r>
    </w:p>
    <w:p w14:paraId="749F5B7A" w14:textId="77777777" w:rsidR="002A22B3" w:rsidRPr="001849E3" w:rsidRDefault="002A22B3" w:rsidP="002A22B3">
      <w:pPr>
        <w:pStyle w:val="a"/>
        <w:spacing w:before="120" w:after="120"/>
        <w:ind w:firstLine="482"/>
        <w:rPr>
          <w:rFonts w:ascii="Arial" w:hAnsi="Arial" w:cs="Arial"/>
          <w:b/>
          <w:bCs/>
        </w:rPr>
      </w:pPr>
      <w:r w:rsidRPr="001849E3">
        <w:rPr>
          <w:rFonts w:ascii="Arial" w:hAnsi="Arial" w:cs="Arial"/>
          <w:b/>
          <w:bCs/>
        </w:rPr>
        <w:t>Supplementary Table 4: Recurrence-associated cellular subpopulations and marker genes from the GRTI-atlas.</w:t>
      </w:r>
      <w:r>
        <w:rPr>
          <w:rFonts w:ascii="Arial" w:hAnsi="Arial" w:cs="Arial" w:hint="eastAsia"/>
          <w:b/>
          <w:bCs/>
          <w:lang w:eastAsia="zh-CN"/>
        </w:rPr>
        <w:t xml:space="preserve"> </w:t>
      </w:r>
      <w:r w:rsidRPr="001849E3">
        <w:rPr>
          <w:rFonts w:ascii="Arial" w:hAnsi="Arial" w:cs="Arial"/>
        </w:rPr>
        <w:t xml:space="preserve">Analytical subsets comprising: </w:t>
      </w:r>
      <w:r w:rsidRPr="001849E3">
        <w:rPr>
          <w:rFonts w:ascii="Arial" w:hAnsi="Arial" w:cs="Arial"/>
          <w:b/>
          <w:bCs/>
        </w:rPr>
        <w:t>(i)</w:t>
      </w:r>
      <w:r w:rsidRPr="001849E3">
        <w:rPr>
          <w:rFonts w:ascii="Arial" w:hAnsi="Arial" w:cs="Arial"/>
        </w:rPr>
        <w:t xml:space="preserve"> prioritization matrices for the 11 recurrence-associated cellular clusters mapped to the GRTI-atlas reference; and </w:t>
      </w:r>
      <w:r w:rsidRPr="001849E3">
        <w:rPr>
          <w:rFonts w:ascii="Arial" w:hAnsi="Arial" w:cs="Arial"/>
          <w:b/>
          <w:bCs/>
        </w:rPr>
        <w:t>(ii)</w:t>
      </w:r>
      <w:r w:rsidRPr="001849E3">
        <w:rPr>
          <w:rFonts w:ascii="Arial" w:hAnsi="Arial" w:cs="Arial"/>
        </w:rPr>
        <w:t xml:space="preserve"> the top 100 differentially expressed marker genes for each subpopulation derived via </w:t>
      </w:r>
      <w:r w:rsidRPr="001849E3">
        <w:rPr>
          <w:rFonts w:ascii="Arial" w:hAnsi="Arial" w:cs="Arial"/>
          <w:i/>
          <w:iCs/>
        </w:rPr>
        <w:t>FindMarkers</w:t>
      </w:r>
      <w:r w:rsidRPr="001849E3">
        <w:rPr>
          <w:rFonts w:ascii="Arial" w:hAnsi="Arial" w:cs="Arial"/>
        </w:rPr>
        <w:t xml:space="preserve">. Statistical outputs include </w:t>
      </w:r>
      <m:oMath>
        <m:r>
          <w:rPr>
            <w:rFonts w:ascii="Cambria Math" w:hAnsi="Cambria Math" w:cs="Arial"/>
          </w:rPr>
          <m:t>lo</m:t>
        </m:r>
        <m:sSub>
          <m:sSubPr>
            <m:ctrlPr>
              <w:rPr>
                <w:rFonts w:ascii="Cambria Math" w:hAnsi="Cambria Math" w:cs="Arial"/>
              </w:rPr>
            </m:ctrlPr>
          </m:sSubPr>
          <m:e>
            <m:r>
              <w:rPr>
                <w:rFonts w:ascii="Cambria Math" w:hAnsi="Cambria Math" w:cs="Arial"/>
              </w:rPr>
              <m:t>g</m:t>
            </m:r>
          </m:e>
          <m:sub>
            <m:r>
              <w:rPr>
                <w:rFonts w:ascii="Cambria Math" w:hAnsi="Cambria Math" w:cs="Arial"/>
              </w:rPr>
              <m:t>2</m:t>
            </m:r>
          </m:sub>
        </m:sSub>
        <m:r>
          <m:rPr>
            <m:nor/>
          </m:rPr>
          <w:rPr>
            <w:rFonts w:ascii="Arial" w:hAnsi="Arial" w:cs="Arial"/>
          </w:rPr>
          <m:t>FC</m:t>
        </m:r>
      </m:oMath>
      <w:r w:rsidRPr="001849E3">
        <w:rPr>
          <w:rFonts w:ascii="Arial" w:hAnsi="Arial" w:cs="Arial"/>
        </w:rPr>
        <w:t>, cell expression ratios (</w:t>
      </w:r>
      <w:r w:rsidRPr="001849E3">
        <w:rPr>
          <w:rFonts w:ascii="Arial" w:hAnsi="Arial" w:cs="Arial"/>
          <w:i/>
          <w:iCs/>
        </w:rPr>
        <w:t>pct.1</w:t>
      </w:r>
      <w:r w:rsidRPr="001849E3">
        <w:rPr>
          <w:rFonts w:ascii="Arial" w:hAnsi="Arial" w:cs="Arial"/>
        </w:rPr>
        <w:t xml:space="preserve"> and </w:t>
      </w:r>
      <w:r w:rsidRPr="001849E3">
        <w:rPr>
          <w:rFonts w:ascii="Arial" w:hAnsi="Arial" w:cs="Arial"/>
          <w:i/>
          <w:iCs/>
        </w:rPr>
        <w:t>pct.2</w:t>
      </w:r>
      <w:r w:rsidRPr="001849E3">
        <w:rPr>
          <w:rFonts w:ascii="Arial" w:hAnsi="Arial" w:cs="Arial"/>
        </w:rPr>
        <w:t xml:space="preserve">), and adjusted </w:t>
      </w:r>
      <w:r w:rsidRPr="001849E3">
        <w:rPr>
          <w:rFonts w:ascii="Arial" w:hAnsi="Arial" w:cs="Arial"/>
          <w:i/>
          <w:iCs/>
        </w:rPr>
        <w:t>p</w:t>
      </w:r>
      <w:r w:rsidRPr="001849E3">
        <w:rPr>
          <w:rFonts w:ascii="Arial" w:hAnsi="Arial" w:cs="Arial"/>
        </w:rPr>
        <w:t>-values (</w:t>
      </w:r>
      <w:r w:rsidRPr="001849E3">
        <w:rPr>
          <w:rFonts w:ascii="Arial" w:hAnsi="Arial" w:cs="Arial"/>
          <w:i/>
          <w:iCs/>
        </w:rPr>
        <w:t>p</w:t>
      </w:r>
      <w:r w:rsidRPr="001849E3">
        <w:rPr>
          <w:rFonts w:ascii="Arial" w:hAnsi="Arial" w:cs="Arial"/>
        </w:rPr>
        <w:t>_val_adj).</w:t>
      </w:r>
    </w:p>
    <w:p w14:paraId="2085435F" w14:textId="77777777" w:rsidR="002A22B3" w:rsidRPr="001849E3" w:rsidRDefault="002A22B3" w:rsidP="002A22B3">
      <w:pPr>
        <w:pStyle w:val="a"/>
        <w:spacing w:before="120" w:after="120"/>
        <w:ind w:firstLine="482"/>
        <w:rPr>
          <w:rFonts w:ascii="Arial" w:hAnsi="Arial" w:cs="Arial"/>
          <w:b/>
          <w:bCs/>
        </w:rPr>
      </w:pPr>
      <w:r w:rsidRPr="001849E3">
        <w:rPr>
          <w:rFonts w:ascii="Arial" w:hAnsi="Arial" w:cs="Arial"/>
          <w:b/>
          <w:bCs/>
        </w:rPr>
        <w:t>Supplementary Table 5: High-throughput screening source matrices for the multi-scale filtering pipeline.</w:t>
      </w:r>
      <w:r>
        <w:rPr>
          <w:rFonts w:ascii="Arial" w:hAnsi="Arial" w:cs="Arial" w:hint="eastAsia"/>
          <w:b/>
          <w:bCs/>
          <w:lang w:eastAsia="zh-CN"/>
        </w:rPr>
        <w:t xml:space="preserve"> </w:t>
      </w:r>
      <w:r w:rsidRPr="001849E3">
        <w:rPr>
          <w:rFonts w:ascii="Arial" w:hAnsi="Arial" w:cs="Arial"/>
        </w:rPr>
        <w:t>Foundational input gene sets and hub modules utilized during the multi-scale filtering pipeline (</w:t>
      </w:r>
      <w:r w:rsidRPr="001849E3">
        <w:rPr>
          <w:rFonts w:ascii="Arial" w:hAnsi="Arial" w:cs="Arial"/>
          <w:color w:val="EE0000"/>
        </w:rPr>
        <w:t>Figure 4A</w:t>
      </w:r>
      <w:r w:rsidRPr="001849E3">
        <w:rPr>
          <w:rFonts w:ascii="Arial" w:hAnsi="Arial" w:cs="Arial"/>
        </w:rPr>
        <w:t xml:space="preserve">), divided into three sub-tables: </w:t>
      </w:r>
      <w:r w:rsidRPr="001849E3">
        <w:rPr>
          <w:rFonts w:ascii="Arial" w:hAnsi="Arial" w:cs="Arial"/>
          <w:b/>
          <w:bCs/>
        </w:rPr>
        <w:t>(i)</w:t>
      </w:r>
      <w:r w:rsidRPr="001849E3">
        <w:rPr>
          <w:rFonts w:ascii="Arial" w:hAnsi="Arial" w:cs="Arial"/>
        </w:rPr>
        <w:t xml:space="preserve"> co-expressed genes assigned to distinct color modules via WGCNA; </w:t>
      </w:r>
      <w:r w:rsidRPr="001849E3">
        <w:rPr>
          <w:rFonts w:ascii="Arial" w:hAnsi="Arial" w:cs="Arial"/>
          <w:b/>
          <w:bCs/>
        </w:rPr>
        <w:t>(ii)</w:t>
      </w:r>
      <w:r w:rsidRPr="001849E3">
        <w:rPr>
          <w:rFonts w:ascii="Arial" w:hAnsi="Arial" w:cs="Arial"/>
        </w:rPr>
        <w:t xml:space="preserve"> core tumor-associated malignant cell markers from three independent single-cell datasets; and </w:t>
      </w:r>
      <w:r w:rsidRPr="001849E3">
        <w:rPr>
          <w:rFonts w:ascii="Arial" w:hAnsi="Arial" w:cs="Arial"/>
          <w:b/>
          <w:bCs/>
        </w:rPr>
        <w:t>(iii)</w:t>
      </w:r>
      <w:r w:rsidRPr="001849E3">
        <w:rPr>
          <w:rFonts w:ascii="Arial" w:hAnsi="Arial" w:cs="Arial"/>
        </w:rPr>
        <w:t xml:space="preserve"> univariate Cox regression statistics (HRs and 95% CIs) linking candidate genes with survival in bulk cohorts.</w:t>
      </w:r>
    </w:p>
    <w:p w14:paraId="3376444B" w14:textId="77777777" w:rsidR="002A22B3" w:rsidRPr="001849E3" w:rsidRDefault="002A22B3" w:rsidP="002A22B3">
      <w:pPr>
        <w:pStyle w:val="a"/>
        <w:spacing w:before="120" w:after="120"/>
        <w:ind w:firstLine="482"/>
        <w:rPr>
          <w:rFonts w:ascii="Arial" w:hAnsi="Arial" w:cs="Arial"/>
          <w:b/>
          <w:bCs/>
        </w:rPr>
      </w:pPr>
      <w:r w:rsidRPr="001849E3">
        <w:rPr>
          <w:rFonts w:ascii="Arial" w:hAnsi="Arial" w:cs="Arial"/>
          <w:b/>
          <w:bCs/>
        </w:rPr>
        <w:t xml:space="preserve">Supplementary Table 6: Normalized transcriptomic expression matrices of ECM components in </w:t>
      </w:r>
      <w:r w:rsidRPr="001849E3">
        <w:rPr>
          <w:rFonts w:ascii="Arial" w:hAnsi="Arial" w:cs="Arial"/>
          <w:b/>
          <w:bCs/>
          <w:i/>
          <w:iCs/>
        </w:rPr>
        <w:t>PLOD2</w:t>
      </w:r>
      <w:r w:rsidRPr="001849E3">
        <w:rPr>
          <w:rFonts w:ascii="Arial" w:hAnsi="Arial" w:cs="Arial"/>
          <w:b/>
          <w:bCs/>
        </w:rPr>
        <w:t>-stratified tumors.</w:t>
      </w:r>
      <w:r>
        <w:rPr>
          <w:rFonts w:ascii="Arial" w:hAnsi="Arial" w:cs="Arial" w:hint="eastAsia"/>
          <w:b/>
          <w:bCs/>
          <w:lang w:eastAsia="zh-CN"/>
        </w:rPr>
        <w:t xml:space="preserve"> </w:t>
      </w:r>
      <w:r w:rsidRPr="001849E3">
        <w:rPr>
          <w:rFonts w:ascii="Arial" w:hAnsi="Arial" w:cs="Arial"/>
        </w:rPr>
        <w:t xml:space="preserve">Continuous, normalized transcript expression values of collagens, core glycoproteins, and proteoglycans in glioblastoma samples stratified by median </w:t>
      </w:r>
      <w:r w:rsidRPr="001849E3">
        <w:rPr>
          <w:rFonts w:ascii="Arial" w:hAnsi="Arial" w:cs="Arial"/>
          <w:i/>
          <w:iCs/>
        </w:rPr>
        <w:t>PLOD2</w:t>
      </w:r>
      <w:r w:rsidRPr="001849E3">
        <w:rPr>
          <w:rFonts w:ascii="Arial" w:hAnsi="Arial" w:cs="Arial"/>
        </w:rPr>
        <w:t xml:space="preserve"> expression, serving as the source data for the extracellular matrix (ECM) alterations profiling in the </w:t>
      </w:r>
      <w:r w:rsidRPr="001849E3">
        <w:rPr>
          <w:rFonts w:ascii="Arial" w:hAnsi="Arial" w:cs="Arial"/>
          <w:color w:val="EE0000"/>
        </w:rPr>
        <w:t xml:space="preserve">Figure 4I </w:t>
      </w:r>
      <w:r w:rsidRPr="001849E3">
        <w:rPr>
          <w:rFonts w:ascii="Arial" w:hAnsi="Arial" w:cs="Arial"/>
        </w:rPr>
        <w:t>heatmap.</w:t>
      </w:r>
    </w:p>
    <w:p w14:paraId="5B26AE3D" w14:textId="77777777" w:rsidR="002A22B3" w:rsidRPr="00BA6638" w:rsidRDefault="002A22B3" w:rsidP="002A22B3">
      <w:pPr>
        <w:pStyle w:val="a"/>
        <w:spacing w:before="120" w:after="120"/>
        <w:ind w:firstLine="482"/>
        <w:rPr>
          <w:rFonts w:ascii="Arial" w:hAnsi="Arial" w:cs="Arial"/>
          <w:b/>
          <w:bCs/>
          <w:lang w:eastAsia="zh-CN"/>
        </w:rPr>
      </w:pPr>
      <w:r w:rsidRPr="001849E3">
        <w:rPr>
          <w:rFonts w:ascii="Arial" w:hAnsi="Arial" w:cs="Arial"/>
          <w:b/>
          <w:bCs/>
        </w:rPr>
        <w:t xml:space="preserve">Supplementary Table 7: Differential ECM protein expression profiling following </w:t>
      </w:r>
      <w:r w:rsidRPr="001849E3">
        <w:rPr>
          <w:rFonts w:ascii="Arial" w:hAnsi="Arial" w:cs="Arial"/>
          <w:b/>
          <w:bCs/>
          <w:i/>
          <w:iCs/>
        </w:rPr>
        <w:t>PLOD2</w:t>
      </w:r>
      <w:r w:rsidRPr="001849E3">
        <w:rPr>
          <w:rFonts w:ascii="Arial" w:hAnsi="Arial" w:cs="Arial"/>
          <w:b/>
          <w:bCs/>
        </w:rPr>
        <w:t xml:space="preserve"> knockdown.</w:t>
      </w:r>
      <w:r>
        <w:rPr>
          <w:rFonts w:ascii="Arial" w:hAnsi="Arial" w:cs="Arial" w:hint="eastAsia"/>
          <w:b/>
          <w:bCs/>
          <w:lang w:eastAsia="zh-CN"/>
        </w:rPr>
        <w:t xml:space="preserve"> </w:t>
      </w:r>
      <w:r w:rsidRPr="001849E3">
        <w:rPr>
          <w:rFonts w:ascii="Arial" w:hAnsi="Arial" w:cs="Arial"/>
        </w:rPr>
        <w:t>Raw and normalized chemiluminescence signal intensities of 67 assayed ECM-receptor interaction-related proteins in culture supernatants from sh-</w:t>
      </w:r>
      <w:r w:rsidRPr="001849E3">
        <w:rPr>
          <w:rFonts w:ascii="Arial" w:hAnsi="Arial" w:cs="Arial"/>
          <w:i/>
          <w:iCs/>
        </w:rPr>
        <w:t>PLOD2</w:t>
      </w:r>
      <w:r w:rsidRPr="001849E3">
        <w:rPr>
          <w:rFonts w:ascii="Arial" w:hAnsi="Arial" w:cs="Arial"/>
        </w:rPr>
        <w:t xml:space="preserve"> versus Vector U251 cells. Metrics include relative expression ratios, </w:t>
      </w:r>
      <m:oMath>
        <m:r>
          <w:rPr>
            <w:rFonts w:ascii="Cambria Math" w:hAnsi="Cambria Math" w:cs="Arial"/>
          </w:rPr>
          <m:t>lo</m:t>
        </m:r>
        <m:sSub>
          <m:sSubPr>
            <m:ctrlPr>
              <w:rPr>
                <w:rFonts w:ascii="Cambria Math" w:hAnsi="Cambria Math" w:cs="Arial"/>
              </w:rPr>
            </m:ctrlPr>
          </m:sSubPr>
          <m:e>
            <m:r>
              <w:rPr>
                <w:rFonts w:ascii="Cambria Math" w:hAnsi="Cambria Math" w:cs="Arial"/>
              </w:rPr>
              <m:t>g</m:t>
            </m:r>
          </m:e>
          <m:sub>
            <m:r>
              <w:rPr>
                <w:rFonts w:ascii="Cambria Math" w:hAnsi="Cambria Math" w:cs="Arial"/>
              </w:rPr>
              <m:t>2</m:t>
            </m:r>
          </m:sub>
        </m:sSub>
        <m:r>
          <m:rPr>
            <m:nor/>
          </m:rPr>
          <w:rPr>
            <w:rFonts w:ascii="Arial" w:hAnsi="Arial" w:cs="Arial"/>
          </w:rPr>
          <m:t>FC</m:t>
        </m:r>
      </m:oMath>
      <w:r w:rsidRPr="001849E3">
        <w:rPr>
          <w:rFonts w:ascii="Arial" w:hAnsi="Arial" w:cs="Arial"/>
        </w:rPr>
        <w:t xml:space="preserve">, and false discovery rate (FDR) values from the RayBio® L-series array, supporting data illustrated in </w:t>
      </w:r>
      <w:r w:rsidRPr="001849E3">
        <w:rPr>
          <w:rFonts w:ascii="Arial" w:hAnsi="Arial" w:cs="Arial"/>
          <w:color w:val="EE0000"/>
        </w:rPr>
        <w:t>Figure 6D</w:t>
      </w:r>
      <w:r w:rsidRPr="001849E3">
        <w:rPr>
          <w:rFonts w:ascii="Arial" w:hAnsi="Arial" w:cs="Arial"/>
        </w:rPr>
        <w:t>.</w:t>
      </w:r>
    </w:p>
    <w:p w14:paraId="64E812C4" w14:textId="77777777" w:rsidR="008B07A6" w:rsidRDefault="008B07A6"/>
    <w:sectPr w:rsidR="008B07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2B3"/>
    <w:rsid w:val="00066677"/>
    <w:rsid w:val="00153A17"/>
    <w:rsid w:val="001A37F3"/>
    <w:rsid w:val="002A22B3"/>
    <w:rsid w:val="003A4E89"/>
    <w:rsid w:val="00556784"/>
    <w:rsid w:val="008B07A6"/>
    <w:rsid w:val="00987B63"/>
    <w:rsid w:val="00A234E6"/>
    <w:rsid w:val="00D31E7D"/>
    <w:rsid w:val="00E36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06D66"/>
  <w15:chartTrackingRefBased/>
  <w15:docId w15:val="{E11D1E51-8DB3-4D3C-9C13-6BEA572C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2B3"/>
    <w:pPr>
      <w:spacing w:after="0" w:line="240" w:lineRule="auto"/>
    </w:pPr>
    <w:rPr>
      <w:rFonts w:eastAsiaTheme="minorEastAsia"/>
      <w:kern w:val="0"/>
      <w14:ligatures w14:val="none"/>
    </w:rPr>
  </w:style>
  <w:style w:type="paragraph" w:styleId="Heading1">
    <w:name w:val="heading 1"/>
    <w:basedOn w:val="Normal"/>
    <w:next w:val="Normal"/>
    <w:link w:val="Heading1Char"/>
    <w:uiPriority w:val="9"/>
    <w:qFormat/>
    <w:rsid w:val="002A22B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A22B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A22B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A22B3"/>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A22B3"/>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A22B3"/>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A22B3"/>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A22B3"/>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A22B3"/>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2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2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2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2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2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2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2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2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2B3"/>
    <w:rPr>
      <w:rFonts w:eastAsiaTheme="majorEastAsia" w:cstheme="majorBidi"/>
      <w:color w:val="272727" w:themeColor="text1" w:themeTint="D8"/>
    </w:rPr>
  </w:style>
  <w:style w:type="paragraph" w:styleId="Title">
    <w:name w:val="Title"/>
    <w:basedOn w:val="Normal"/>
    <w:next w:val="Normal"/>
    <w:link w:val="TitleChar"/>
    <w:uiPriority w:val="10"/>
    <w:qFormat/>
    <w:rsid w:val="002A22B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A22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2B3"/>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A22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2B3"/>
    <w:pPr>
      <w:spacing w:before="160" w:after="160" w:line="278" w:lineRule="auto"/>
      <w:jc w:val="center"/>
    </w:pPr>
    <w:rPr>
      <w:rFonts w:eastAsia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2A22B3"/>
    <w:rPr>
      <w:i/>
      <w:iCs/>
      <w:color w:val="404040" w:themeColor="text1" w:themeTint="BF"/>
    </w:rPr>
  </w:style>
  <w:style w:type="paragraph" w:styleId="ListParagraph">
    <w:name w:val="List Paragraph"/>
    <w:basedOn w:val="Normal"/>
    <w:uiPriority w:val="34"/>
    <w:qFormat/>
    <w:rsid w:val="002A22B3"/>
    <w:pPr>
      <w:spacing w:after="160" w:line="278" w:lineRule="auto"/>
      <w:ind w:left="720"/>
      <w:contextualSpacing/>
    </w:pPr>
    <w:rPr>
      <w:rFonts w:eastAsiaTheme="minorHAnsi"/>
      <w:kern w:val="2"/>
      <w14:ligatures w14:val="standardContextual"/>
    </w:rPr>
  </w:style>
  <w:style w:type="character" w:styleId="IntenseEmphasis">
    <w:name w:val="Intense Emphasis"/>
    <w:basedOn w:val="DefaultParagraphFont"/>
    <w:uiPriority w:val="21"/>
    <w:qFormat/>
    <w:rsid w:val="002A22B3"/>
    <w:rPr>
      <w:i/>
      <w:iCs/>
      <w:color w:val="0F4761" w:themeColor="accent1" w:themeShade="BF"/>
    </w:rPr>
  </w:style>
  <w:style w:type="paragraph" w:styleId="IntenseQuote">
    <w:name w:val="Intense Quote"/>
    <w:basedOn w:val="Normal"/>
    <w:next w:val="Normal"/>
    <w:link w:val="IntenseQuoteChar"/>
    <w:uiPriority w:val="30"/>
    <w:qFormat/>
    <w:rsid w:val="002A22B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A22B3"/>
    <w:rPr>
      <w:i/>
      <w:iCs/>
      <w:color w:val="0F4761" w:themeColor="accent1" w:themeShade="BF"/>
    </w:rPr>
  </w:style>
  <w:style w:type="character" w:styleId="IntenseReference">
    <w:name w:val="Intense Reference"/>
    <w:basedOn w:val="DefaultParagraphFont"/>
    <w:uiPriority w:val="32"/>
    <w:qFormat/>
    <w:rsid w:val="002A22B3"/>
    <w:rPr>
      <w:b/>
      <w:bCs/>
      <w:smallCaps/>
      <w:color w:val="0F4761" w:themeColor="accent1" w:themeShade="BF"/>
      <w:spacing w:val="5"/>
    </w:rPr>
  </w:style>
  <w:style w:type="paragraph" w:customStyle="1" w:styleId="a">
    <w:name w:val="正文（期刊）"/>
    <w:basedOn w:val="Normal"/>
    <w:link w:val="a0"/>
    <w:qFormat/>
    <w:rsid w:val="002A22B3"/>
    <w:pPr>
      <w:spacing w:beforeLines="50" w:before="50" w:afterLines="50" w:after="50"/>
      <w:ind w:firstLineChars="200" w:firstLine="200"/>
      <w:jc w:val="both"/>
    </w:pPr>
    <w:rPr>
      <w:rFonts w:ascii="Times New Roman" w:eastAsia="SimSun" w:hAnsi="Times New Roman"/>
    </w:rPr>
  </w:style>
  <w:style w:type="character" w:customStyle="1" w:styleId="a0">
    <w:name w:val="正文（期刊） 字符"/>
    <w:basedOn w:val="DefaultParagraphFont"/>
    <w:link w:val="a"/>
    <w:rsid w:val="002A22B3"/>
    <w:rPr>
      <w:rFonts w:ascii="Times New Roman" w:eastAsia="SimSun" w:hAnsi="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929</Words>
  <Characters>5296</Characters>
  <Application>Microsoft Office Word</Application>
  <DocSecurity>0</DocSecurity>
  <Lines>44</Lines>
  <Paragraphs>12</Paragraphs>
  <ScaleCrop>false</ScaleCrop>
  <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2026-07-07T15:20:00Z</dcterms:created>
  <dcterms:modified xsi:type="dcterms:W3CDTF">2026-07-07T15:20:00Z</dcterms:modified>
</cp:coreProperties>
</file>