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5E8F9" w14:textId="77777777" w:rsidR="00B7633D" w:rsidRPr="00CB2671" w:rsidRDefault="00B7633D" w:rsidP="00B7633D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B2671">
        <w:rPr>
          <w:rFonts w:ascii="Times New Roman" w:hAnsi="Times New Roman" w:cs="Times New Roman"/>
          <w:b/>
          <w:bCs/>
        </w:rPr>
        <w:t>Supplementary Figures</w:t>
      </w:r>
    </w:p>
    <w:p w14:paraId="55576AA7" w14:textId="77777777" w:rsidR="00B7633D" w:rsidRPr="00CB2671" w:rsidRDefault="00B7633D" w:rsidP="00B7633D">
      <w:pPr>
        <w:spacing w:line="360" w:lineRule="auto"/>
        <w:jc w:val="both"/>
        <w:rPr>
          <w:rFonts w:ascii="Times New Roman" w:hAnsi="Times New Roman" w:cs="Times New Roman"/>
        </w:rPr>
      </w:pPr>
    </w:p>
    <w:p w14:paraId="15A36C7A" w14:textId="77777777" w:rsidR="00B7633D" w:rsidRPr="00CB2671" w:rsidRDefault="00B7633D" w:rsidP="00B7633D">
      <w:pPr>
        <w:spacing w:line="360" w:lineRule="auto"/>
        <w:jc w:val="both"/>
        <w:rPr>
          <w:rFonts w:ascii="Times New Roman" w:hAnsi="Times New Roman" w:cs="Times New Roman"/>
        </w:rPr>
      </w:pPr>
      <w:r w:rsidRPr="00CB2671">
        <w:rPr>
          <w:rFonts w:ascii="Times New Roman" w:hAnsi="Times New Roman" w:cs="Times New Roman"/>
          <w:noProof/>
        </w:rPr>
        <w:drawing>
          <wp:inline distT="0" distB="0" distL="0" distR="0" wp14:anchorId="1C92CCC0" wp14:editId="46C5AB8E">
            <wp:extent cx="5943600" cy="3342640"/>
            <wp:effectExtent l="0" t="0" r="0" b="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8535B3" w14:textId="77777777" w:rsidR="00B7633D" w:rsidRPr="00CB2671" w:rsidRDefault="00B7633D" w:rsidP="00B7633D">
      <w:pPr>
        <w:spacing w:line="360" w:lineRule="auto"/>
        <w:jc w:val="both"/>
        <w:rPr>
          <w:rFonts w:ascii="Times New Roman" w:hAnsi="Times New Roman" w:cs="Times New Roman"/>
        </w:rPr>
      </w:pPr>
      <w:r w:rsidRPr="002A21C0">
        <w:rPr>
          <w:rFonts w:ascii="Times New Roman" w:hAnsi="Times New Roman" w:cs="Times New Roman"/>
          <w:b/>
          <w:bCs/>
        </w:rPr>
        <w:t>Supplementary Figure S1.</w:t>
      </w:r>
      <w:r w:rsidRPr="00CB2671">
        <w:rPr>
          <w:rFonts w:ascii="Times New Roman" w:hAnsi="Times New Roman" w:cs="Times New Roman"/>
        </w:rPr>
        <w:t xml:space="preserve"> Spatial distribution of sampling effort overlaid with species-specific habitat suitability across the Eastern Highlands of Zimbabwe for (a) </w:t>
      </w:r>
      <w:r w:rsidRPr="002A21C0">
        <w:rPr>
          <w:rFonts w:ascii="Times New Roman" w:hAnsi="Times New Roman" w:cs="Times New Roman"/>
          <w:i/>
          <w:iCs/>
        </w:rPr>
        <w:t>Chlorolestes elegans</w:t>
      </w:r>
      <w:r w:rsidRPr="00CB2671">
        <w:rPr>
          <w:rFonts w:ascii="Times New Roman" w:hAnsi="Times New Roman" w:cs="Times New Roman"/>
        </w:rPr>
        <w:t xml:space="preserve">, (b) </w:t>
      </w:r>
      <w:r w:rsidRPr="002A21C0">
        <w:rPr>
          <w:rFonts w:ascii="Times New Roman" w:hAnsi="Times New Roman" w:cs="Times New Roman"/>
          <w:i/>
          <w:iCs/>
        </w:rPr>
        <w:t>Pseudagrion vumbaense</w:t>
      </w:r>
      <w:r w:rsidRPr="00CB2671">
        <w:rPr>
          <w:rFonts w:ascii="Times New Roman" w:hAnsi="Times New Roman" w:cs="Times New Roman"/>
        </w:rPr>
        <w:t xml:space="preserve">, and (c) </w:t>
      </w:r>
      <w:r w:rsidRPr="002A21C0">
        <w:rPr>
          <w:rFonts w:ascii="Times New Roman" w:hAnsi="Times New Roman" w:cs="Times New Roman"/>
          <w:i/>
          <w:iCs/>
        </w:rPr>
        <w:t>Platycypha inyangae</w:t>
      </w:r>
      <w:r w:rsidRPr="00CB2671">
        <w:rPr>
          <w:rFonts w:ascii="Times New Roman" w:hAnsi="Times New Roman" w:cs="Times New Roman"/>
        </w:rPr>
        <w:t>. Sampling effort is represented by a kernel density surface derived from historical Odonata records, while coloured areas indicate predicted suitable habitat.</w:t>
      </w:r>
    </w:p>
    <w:p w14:paraId="4669E267" w14:textId="77777777" w:rsidR="00B7633D" w:rsidRPr="00CB2671" w:rsidRDefault="00B7633D" w:rsidP="00B7633D">
      <w:pPr>
        <w:spacing w:line="360" w:lineRule="auto"/>
        <w:jc w:val="both"/>
        <w:rPr>
          <w:rFonts w:ascii="Times New Roman" w:hAnsi="Times New Roman" w:cs="Times New Roman"/>
        </w:rPr>
      </w:pPr>
    </w:p>
    <w:p w14:paraId="671F631B" w14:textId="77777777" w:rsidR="00B7633D" w:rsidRPr="00CB2671" w:rsidRDefault="00B7633D" w:rsidP="00B7633D">
      <w:pPr>
        <w:rPr>
          <w:rFonts w:ascii="Times New Roman" w:hAnsi="Times New Roman" w:cs="Times New Roman"/>
        </w:rPr>
      </w:pPr>
      <w:r w:rsidRPr="00CB267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8533D34" wp14:editId="1C5FCCD5">
            <wp:extent cx="5943600" cy="3962400"/>
            <wp:effectExtent l="0" t="0" r="0" b="0"/>
            <wp:docPr id="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29ECE8" w14:textId="77777777" w:rsidR="00B7633D" w:rsidRPr="00CB2671" w:rsidRDefault="00B7633D" w:rsidP="00B7633D">
      <w:pPr>
        <w:spacing w:line="360" w:lineRule="auto"/>
        <w:jc w:val="both"/>
        <w:rPr>
          <w:rFonts w:ascii="Times New Roman" w:hAnsi="Times New Roman" w:cs="Times New Roman"/>
        </w:rPr>
      </w:pPr>
      <w:r w:rsidRPr="00CB2671">
        <w:rPr>
          <w:rFonts w:ascii="Times New Roman" w:hAnsi="Times New Roman" w:cs="Times New Roman"/>
          <w:b/>
          <w:bCs/>
        </w:rPr>
        <w:t>Supplementary Figure S2.</w:t>
      </w:r>
      <w:r w:rsidRPr="00CB2671">
        <w:rPr>
          <w:rFonts w:ascii="Times New Roman" w:hAnsi="Times New Roman" w:cs="Times New Roman"/>
        </w:rPr>
        <w:t xml:space="preserve"> MaxEnt response curves for </w:t>
      </w:r>
      <w:r w:rsidRPr="00CB2671">
        <w:rPr>
          <w:rFonts w:ascii="Times New Roman" w:hAnsi="Times New Roman" w:cs="Times New Roman"/>
          <w:i/>
          <w:iCs/>
        </w:rPr>
        <w:t>Chlorolestes elegans.</w:t>
      </w:r>
    </w:p>
    <w:p w14:paraId="757261E9" w14:textId="77777777" w:rsidR="00B7633D" w:rsidRPr="00CB2671" w:rsidRDefault="00B7633D" w:rsidP="00B7633D">
      <w:pPr>
        <w:spacing w:line="360" w:lineRule="auto"/>
        <w:jc w:val="both"/>
        <w:rPr>
          <w:rFonts w:ascii="Times New Roman" w:hAnsi="Times New Roman" w:cs="Times New Roman"/>
        </w:rPr>
      </w:pPr>
    </w:p>
    <w:p w14:paraId="40231B7C" w14:textId="77777777" w:rsidR="00B7633D" w:rsidRPr="00CB2671" w:rsidRDefault="00B7633D" w:rsidP="00B7633D">
      <w:pPr>
        <w:spacing w:line="360" w:lineRule="auto"/>
        <w:jc w:val="both"/>
        <w:rPr>
          <w:rFonts w:ascii="Times New Roman" w:hAnsi="Times New Roman" w:cs="Times New Roman"/>
        </w:rPr>
      </w:pPr>
      <w:r w:rsidRPr="00CB267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241D229" wp14:editId="52282D02">
            <wp:extent cx="5943600" cy="3962400"/>
            <wp:effectExtent l="0" t="0" r="0" b="0"/>
            <wp:docPr id="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E236FF" w14:textId="77777777" w:rsidR="00B7633D" w:rsidRPr="00CB2671" w:rsidRDefault="00B7633D" w:rsidP="00B7633D">
      <w:pPr>
        <w:spacing w:line="360" w:lineRule="auto"/>
        <w:jc w:val="both"/>
        <w:rPr>
          <w:rFonts w:ascii="Times New Roman" w:hAnsi="Times New Roman" w:cs="Times New Roman"/>
        </w:rPr>
      </w:pPr>
      <w:r w:rsidRPr="00CB2671">
        <w:rPr>
          <w:rFonts w:ascii="Times New Roman" w:hAnsi="Times New Roman" w:cs="Times New Roman"/>
          <w:b/>
          <w:bCs/>
        </w:rPr>
        <w:t>Supplementary Figure S3.</w:t>
      </w:r>
      <w:r w:rsidRPr="00CB2671">
        <w:rPr>
          <w:rFonts w:ascii="Times New Roman" w:hAnsi="Times New Roman" w:cs="Times New Roman"/>
        </w:rPr>
        <w:t xml:space="preserve"> MaxEnt response curves for </w:t>
      </w:r>
      <w:r w:rsidRPr="00CB2671">
        <w:rPr>
          <w:rFonts w:ascii="Times New Roman" w:hAnsi="Times New Roman" w:cs="Times New Roman"/>
          <w:i/>
          <w:iCs/>
        </w:rPr>
        <w:t>Platycypha inyangae.</w:t>
      </w:r>
    </w:p>
    <w:p w14:paraId="0A648B0A" w14:textId="77777777" w:rsidR="00B7633D" w:rsidRPr="00CB2671" w:rsidRDefault="00B7633D" w:rsidP="00B7633D">
      <w:pPr>
        <w:spacing w:line="360" w:lineRule="auto"/>
        <w:jc w:val="both"/>
        <w:rPr>
          <w:rFonts w:ascii="Times New Roman" w:hAnsi="Times New Roman" w:cs="Times New Roman"/>
        </w:rPr>
      </w:pPr>
    </w:p>
    <w:p w14:paraId="4E36AD2A" w14:textId="77777777" w:rsidR="00B7633D" w:rsidRPr="00CB2671" w:rsidRDefault="00B7633D" w:rsidP="00B7633D">
      <w:pPr>
        <w:spacing w:line="360" w:lineRule="auto"/>
        <w:jc w:val="both"/>
        <w:rPr>
          <w:rFonts w:ascii="Times New Roman" w:hAnsi="Times New Roman" w:cs="Times New Roman"/>
        </w:rPr>
      </w:pPr>
      <w:r w:rsidRPr="00CB267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A5395D1" wp14:editId="23A768F1">
            <wp:extent cx="5943600" cy="3962400"/>
            <wp:effectExtent l="0" t="0" r="0" b="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9DF662" w14:textId="77777777" w:rsidR="00B7633D" w:rsidRPr="00CB2671" w:rsidRDefault="00B7633D" w:rsidP="00B7633D">
      <w:pPr>
        <w:spacing w:line="360" w:lineRule="auto"/>
        <w:jc w:val="both"/>
        <w:rPr>
          <w:rFonts w:ascii="Times New Roman" w:hAnsi="Times New Roman" w:cs="Times New Roman"/>
          <w:i/>
          <w:iCs/>
        </w:rPr>
      </w:pPr>
      <w:r w:rsidRPr="00CB2671">
        <w:rPr>
          <w:rFonts w:ascii="Times New Roman" w:hAnsi="Times New Roman" w:cs="Times New Roman"/>
          <w:b/>
          <w:bCs/>
        </w:rPr>
        <w:t>Supplementary Figure S4.</w:t>
      </w:r>
      <w:r w:rsidRPr="00CB2671">
        <w:rPr>
          <w:rFonts w:ascii="Times New Roman" w:hAnsi="Times New Roman" w:cs="Times New Roman"/>
        </w:rPr>
        <w:t xml:space="preserve"> MaxEnt response curves for </w:t>
      </w:r>
      <w:r w:rsidRPr="00CB2671">
        <w:rPr>
          <w:rFonts w:ascii="Times New Roman" w:hAnsi="Times New Roman" w:cs="Times New Roman"/>
          <w:i/>
          <w:iCs/>
        </w:rPr>
        <w:t>Pseudagrion vumbaense</w:t>
      </w:r>
      <w:r w:rsidRPr="00CB2671">
        <w:rPr>
          <w:rFonts w:ascii="Times New Roman" w:hAnsi="Times New Roman" w:cs="Times New Roman"/>
        </w:rPr>
        <w:br w:type="page"/>
      </w:r>
    </w:p>
    <w:p w14:paraId="2101C414" w14:textId="77777777" w:rsidR="00B7633D" w:rsidRPr="002A21C0" w:rsidRDefault="00B7633D" w:rsidP="00B7633D">
      <w:pPr>
        <w:spacing w:after="200" w:line="360" w:lineRule="auto"/>
        <w:jc w:val="both"/>
        <w:rPr>
          <w:rFonts w:ascii="Times New Roman" w:hAnsi="Times New Roman" w:cs="Times New Roman"/>
        </w:rPr>
      </w:pPr>
      <w:r w:rsidRPr="002A21C0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</w:rPr>
        <w:t>S</w:t>
      </w:r>
      <w:r w:rsidRPr="002A21C0">
        <w:rPr>
          <w:rFonts w:ascii="Times New Roman" w:hAnsi="Times New Roman" w:cs="Times New Roman"/>
          <w:b/>
          <w:bCs/>
        </w:rPr>
        <w:t>1.</w:t>
      </w:r>
      <w:r w:rsidRPr="002A21C0">
        <w:rPr>
          <w:rFonts w:ascii="Times New Roman" w:hAnsi="Times New Roman" w:cs="Times New Roman"/>
        </w:rPr>
        <w:t xml:space="preserve"> Interpretation thresholds for these metrics</w:t>
      </w:r>
    </w:p>
    <w:tbl>
      <w:tblPr>
        <w:tblW w:w="104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05"/>
        <w:gridCol w:w="1905"/>
        <w:gridCol w:w="4980"/>
        <w:gridCol w:w="420"/>
      </w:tblGrid>
      <w:tr w:rsidR="00B7633D" w:rsidRPr="00CB2671" w14:paraId="5D13A2C9" w14:textId="77777777" w:rsidTr="00A321DD">
        <w:trPr>
          <w:trHeight w:val="285"/>
        </w:trPr>
        <w:tc>
          <w:tcPr>
            <w:tcW w:w="3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CBE8C3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B2671">
              <w:rPr>
                <w:rFonts w:ascii="Times New Roman" w:hAnsi="Times New Roman" w:cs="Times New Roman"/>
                <w:b/>
                <w:bCs/>
              </w:rPr>
              <w:t>Metric</w:t>
            </w:r>
          </w:p>
        </w:tc>
        <w:tc>
          <w:tcPr>
            <w:tcW w:w="19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AD7534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B2671">
              <w:rPr>
                <w:rFonts w:ascii="Times New Roman" w:hAnsi="Times New Roman" w:cs="Times New Roman"/>
                <w:b/>
                <w:bCs/>
              </w:rPr>
              <w:t>Range</w:t>
            </w:r>
          </w:p>
        </w:tc>
        <w:tc>
          <w:tcPr>
            <w:tcW w:w="540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762919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B2671">
              <w:rPr>
                <w:rFonts w:ascii="Times New Roman" w:hAnsi="Times New Roman" w:cs="Times New Roman"/>
                <w:b/>
                <w:bCs/>
              </w:rPr>
              <w:t>Interpretation</w:t>
            </w:r>
          </w:p>
        </w:tc>
      </w:tr>
      <w:tr w:rsidR="00B7633D" w:rsidRPr="00CB2671" w14:paraId="08D24A1F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58D8DA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AUC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84093F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≥ 0.90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639EDE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High discrimination</w:t>
            </w:r>
          </w:p>
        </w:tc>
      </w:tr>
      <w:tr w:rsidR="00B7633D" w:rsidRPr="00CB2671" w14:paraId="09380516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7245D5" w14:textId="77777777" w:rsidR="00B7633D" w:rsidRPr="00CB2671" w:rsidRDefault="00B7633D" w:rsidP="00A321D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EDB191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0.70–0.89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C1F747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Moderate to good discrimination</w:t>
            </w:r>
          </w:p>
        </w:tc>
      </w:tr>
      <w:tr w:rsidR="00B7633D" w:rsidRPr="00CB2671" w14:paraId="3BA80655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27C980" w14:textId="77777777" w:rsidR="00B7633D" w:rsidRPr="00CB2671" w:rsidRDefault="00B7633D" w:rsidP="00A321D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6A204A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≈ 0.50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65778B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No better than random</w:t>
            </w:r>
          </w:p>
        </w:tc>
      </w:tr>
      <w:tr w:rsidR="00B7633D" w:rsidRPr="00CB2671" w14:paraId="4E30FBB6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07C7DE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Sensitivity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8B5316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≥ 0.80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F38C1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Strong detection of presences</w:t>
            </w:r>
          </w:p>
        </w:tc>
      </w:tr>
      <w:tr w:rsidR="00B7633D" w:rsidRPr="00CB2671" w14:paraId="7CDA7744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35466A" w14:textId="77777777" w:rsidR="00B7633D" w:rsidRPr="00CB2671" w:rsidRDefault="00B7633D" w:rsidP="00A321D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DB2D6B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0.60–0.79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6A44B3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Moderate detection</w:t>
            </w:r>
          </w:p>
        </w:tc>
      </w:tr>
      <w:tr w:rsidR="00B7633D" w:rsidRPr="00CB2671" w14:paraId="79114BB6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1E6FCD" w14:textId="77777777" w:rsidR="00B7633D" w:rsidRPr="00CB2671" w:rsidRDefault="00B7633D" w:rsidP="00A321D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B3EE4D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≈ 0.50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C9F037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Poor detection</w:t>
            </w:r>
          </w:p>
        </w:tc>
      </w:tr>
      <w:tr w:rsidR="00B7633D" w:rsidRPr="00CB2671" w14:paraId="33CE021D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928E3D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Specificity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677D39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≥ 0.80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3BBCFC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Strong identification and rejection of unsuitable areas</w:t>
            </w:r>
          </w:p>
        </w:tc>
      </w:tr>
      <w:tr w:rsidR="00B7633D" w:rsidRPr="00CB2671" w14:paraId="758C58C0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33E1F7" w14:textId="77777777" w:rsidR="00B7633D" w:rsidRPr="00CB2671" w:rsidRDefault="00B7633D" w:rsidP="00A321D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706286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0.60–0.79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808572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Moderate rejection</w:t>
            </w:r>
          </w:p>
        </w:tc>
      </w:tr>
      <w:tr w:rsidR="00B7633D" w:rsidRPr="00CB2671" w14:paraId="32A10EB9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35C526" w14:textId="77777777" w:rsidR="00B7633D" w:rsidRPr="00CB2671" w:rsidRDefault="00B7633D" w:rsidP="00A321D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D8FEF9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≈ 0.50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BA6AD3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Weak discrimination</w:t>
            </w:r>
          </w:p>
        </w:tc>
      </w:tr>
      <w:tr w:rsidR="00B7633D" w:rsidRPr="00CB2671" w14:paraId="16ECA732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BEA286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Omission rate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6DEE49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&lt; 0.20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5B26CE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Low omission (good)</w:t>
            </w:r>
          </w:p>
        </w:tc>
      </w:tr>
      <w:tr w:rsidR="00B7633D" w:rsidRPr="00CB2671" w14:paraId="25B74B49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D6F478" w14:textId="77777777" w:rsidR="00B7633D" w:rsidRPr="00CB2671" w:rsidRDefault="00B7633D" w:rsidP="00A321D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6D6820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0.20–0.40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4066DF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Moderate omission</w:t>
            </w:r>
          </w:p>
        </w:tc>
      </w:tr>
      <w:tr w:rsidR="00B7633D" w:rsidRPr="00CB2671" w14:paraId="481FB068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CFF3EF" w14:textId="77777777" w:rsidR="00B7633D" w:rsidRPr="00CB2671" w:rsidRDefault="00B7633D" w:rsidP="00A321D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CDC514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&gt; 0.40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E8562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High omission</w:t>
            </w:r>
          </w:p>
        </w:tc>
      </w:tr>
      <w:tr w:rsidR="00B7633D" w:rsidRPr="00CB2671" w14:paraId="5170850B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BF5B48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Proportion correctly classified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1D7D93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≥ 0.80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672E85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High overall accuracy</w:t>
            </w:r>
          </w:p>
        </w:tc>
      </w:tr>
      <w:tr w:rsidR="00B7633D" w:rsidRPr="00CB2671" w14:paraId="71B26ECD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ACDC4C" w14:textId="77777777" w:rsidR="00B7633D" w:rsidRPr="00CB2671" w:rsidRDefault="00B7633D" w:rsidP="00A321D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8C3FA0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0.65–0.79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71CC2B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Moderate accuracy</w:t>
            </w:r>
          </w:p>
        </w:tc>
      </w:tr>
      <w:tr w:rsidR="00B7633D" w:rsidRPr="00CB2671" w14:paraId="7DEDB231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19EDD" w14:textId="77777777" w:rsidR="00B7633D" w:rsidRPr="00CB2671" w:rsidRDefault="00B7633D" w:rsidP="00A321D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486FD0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≈ 0.50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624C8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Random expectation</w:t>
            </w:r>
          </w:p>
        </w:tc>
      </w:tr>
      <w:tr w:rsidR="00B7633D" w:rsidRPr="00CB2671" w14:paraId="627B10FC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DA0215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Cohen’s Kappa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8E9D72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&lt; 0.20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3AF2A3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Slight agreement</w:t>
            </w:r>
          </w:p>
        </w:tc>
      </w:tr>
      <w:tr w:rsidR="00B7633D" w:rsidRPr="00CB2671" w14:paraId="7B7BEB32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476F1C" w14:textId="77777777" w:rsidR="00B7633D" w:rsidRPr="00CB2671" w:rsidRDefault="00B7633D" w:rsidP="00A321D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E5DAA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0.21–0.40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DC0A18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Fair agreement</w:t>
            </w:r>
          </w:p>
        </w:tc>
      </w:tr>
      <w:tr w:rsidR="00B7633D" w:rsidRPr="00CB2671" w14:paraId="3003108A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FACB02" w14:textId="77777777" w:rsidR="00B7633D" w:rsidRPr="00CB2671" w:rsidRDefault="00B7633D" w:rsidP="00A321D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4AF0A8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0.41–0.60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FF2A35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Moderate agreement</w:t>
            </w:r>
          </w:p>
        </w:tc>
      </w:tr>
      <w:tr w:rsidR="00B7633D" w:rsidRPr="00CB2671" w14:paraId="2CFD65BB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9E5D72" w14:textId="77777777" w:rsidR="00B7633D" w:rsidRPr="00CB2671" w:rsidRDefault="00B7633D" w:rsidP="00A321D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7393B0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0.61–0.80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F5A666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Substantial agreement</w:t>
            </w:r>
          </w:p>
        </w:tc>
      </w:tr>
      <w:tr w:rsidR="00B7633D" w:rsidRPr="00CB2671" w14:paraId="7F2C42AC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348623" w14:textId="77777777" w:rsidR="00B7633D" w:rsidRPr="00CB2671" w:rsidRDefault="00B7633D" w:rsidP="00A321D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0A9FF7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&gt; 0.80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A7A9DD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Near-perfect agreement</w:t>
            </w:r>
          </w:p>
        </w:tc>
      </w:tr>
      <w:tr w:rsidR="00B7633D" w:rsidRPr="00CB2671" w14:paraId="4B81A675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06B3F2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Calibration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3247AB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≥ 0.80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F45585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Well calibrated</w:t>
            </w:r>
          </w:p>
        </w:tc>
      </w:tr>
      <w:tr w:rsidR="00B7633D" w:rsidRPr="00CB2671" w14:paraId="7AA03711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DBB9DC" w14:textId="77777777" w:rsidR="00B7633D" w:rsidRPr="00CB2671" w:rsidRDefault="00B7633D" w:rsidP="00A321D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60137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0.50–0.79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198214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Moderate calibration</w:t>
            </w:r>
          </w:p>
        </w:tc>
      </w:tr>
      <w:tr w:rsidR="00B7633D" w:rsidRPr="00CB2671" w14:paraId="7CBD2FD2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6D867A" w14:textId="77777777" w:rsidR="00B7633D" w:rsidRPr="00CB2671" w:rsidRDefault="00B7633D" w:rsidP="00A321D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CCE789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&lt; 0.50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DB5E4A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Poor calibration</w:t>
            </w:r>
          </w:p>
        </w:tc>
      </w:tr>
      <w:tr w:rsidR="00B7633D" w:rsidRPr="00CB2671" w14:paraId="6FEF3315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E07DB5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Threshold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434A51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≥ threshold value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86DCCC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Suitable</w:t>
            </w:r>
          </w:p>
        </w:tc>
        <w:tc>
          <w:tcPr>
            <w:tcW w:w="4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D1351C" w14:textId="77777777" w:rsidR="00B7633D" w:rsidRPr="00CB2671" w:rsidRDefault="00B7633D" w:rsidP="00A321D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633D" w:rsidRPr="00CB2671" w14:paraId="3F2B4D7A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87AA82" w14:textId="77777777" w:rsidR="00B7633D" w:rsidRPr="00CB2671" w:rsidRDefault="00B7633D" w:rsidP="00A321D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A51D0F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&lt; threshold value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58AE81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Unsuitable</w:t>
            </w:r>
          </w:p>
        </w:tc>
      </w:tr>
      <w:tr w:rsidR="00B7633D" w:rsidRPr="00CB2671" w14:paraId="72040521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480726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kept.model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474819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A5B455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Retained in ensemble</w:t>
            </w:r>
          </w:p>
        </w:tc>
      </w:tr>
      <w:tr w:rsidR="00B7633D" w:rsidRPr="00CB2671" w14:paraId="4A0F6119" w14:textId="77777777" w:rsidTr="00A321DD">
        <w:trPr>
          <w:trHeight w:val="285"/>
        </w:trPr>
        <w:tc>
          <w:tcPr>
            <w:tcW w:w="3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45C48B" w14:textId="77777777" w:rsidR="00B7633D" w:rsidRPr="00CB2671" w:rsidRDefault="00B7633D" w:rsidP="00A321D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91BE38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3B4D40" w14:textId="77777777" w:rsidR="00B7633D" w:rsidRPr="00CB2671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CB2671">
              <w:rPr>
                <w:rFonts w:ascii="Times New Roman" w:hAnsi="Times New Roman" w:cs="Times New Roman"/>
              </w:rPr>
              <w:t>Excluded from ensemble</w:t>
            </w:r>
          </w:p>
        </w:tc>
      </w:tr>
    </w:tbl>
    <w:p w14:paraId="4B0CD58C" w14:textId="77777777" w:rsidR="00B7633D" w:rsidRPr="00CB2671" w:rsidRDefault="00B7633D" w:rsidP="00B7633D">
      <w:pPr>
        <w:spacing w:line="360" w:lineRule="auto"/>
        <w:jc w:val="both"/>
        <w:rPr>
          <w:rFonts w:ascii="Times New Roman" w:hAnsi="Times New Roman" w:cs="Times New Roman"/>
          <w:i/>
          <w:iCs/>
        </w:rPr>
      </w:pPr>
      <w:r w:rsidRPr="00CB2671">
        <w:rPr>
          <w:rFonts w:ascii="Times New Roman" w:hAnsi="Times New Roman" w:cs="Times New Roman"/>
          <w:i/>
          <w:iCs/>
        </w:rPr>
        <w:t xml:space="preserve"> </w:t>
      </w:r>
    </w:p>
    <w:p w14:paraId="4669310E" w14:textId="77777777" w:rsidR="00B7633D" w:rsidRPr="00CB2671" w:rsidRDefault="00B7633D" w:rsidP="00B7633D">
      <w:pPr>
        <w:spacing w:line="360" w:lineRule="auto"/>
        <w:jc w:val="both"/>
        <w:rPr>
          <w:rFonts w:ascii="Times New Roman" w:hAnsi="Times New Roman" w:cs="Times New Roman"/>
          <w:i/>
          <w:iCs/>
        </w:rPr>
      </w:pPr>
      <w:r w:rsidRPr="00CB2671">
        <w:rPr>
          <w:rFonts w:ascii="Times New Roman" w:hAnsi="Times New Roman" w:cs="Times New Roman"/>
          <w:i/>
          <w:iCs/>
        </w:rPr>
        <w:t xml:space="preserve"> </w:t>
      </w:r>
    </w:p>
    <w:p w14:paraId="4C8BADB8" w14:textId="77777777" w:rsidR="00B7633D" w:rsidRPr="00CB2671" w:rsidRDefault="00B7633D" w:rsidP="00B7633D">
      <w:pPr>
        <w:spacing w:after="200" w:line="360" w:lineRule="auto"/>
        <w:jc w:val="both"/>
        <w:rPr>
          <w:rFonts w:ascii="Times New Roman" w:hAnsi="Times New Roman" w:cs="Times New Roman"/>
          <w:i/>
          <w:iCs/>
        </w:rPr>
      </w:pPr>
      <w:r w:rsidRPr="00CB2671">
        <w:rPr>
          <w:rFonts w:ascii="Times New Roman" w:hAnsi="Times New Roman" w:cs="Times New Roman"/>
        </w:rPr>
        <w:br w:type="page"/>
      </w:r>
    </w:p>
    <w:p w14:paraId="25943833" w14:textId="77777777" w:rsidR="00B7633D" w:rsidRDefault="00B7633D" w:rsidP="00B7633D">
      <w:pPr>
        <w:spacing w:after="200" w:line="360" w:lineRule="auto"/>
        <w:jc w:val="both"/>
        <w:rPr>
          <w:rFonts w:ascii="Times New Roman" w:hAnsi="Times New Roman" w:cs="Times New Roman"/>
          <w:i/>
          <w:iCs/>
        </w:rPr>
        <w:sectPr w:rsidR="00B7633D" w:rsidSect="00B7633D">
          <w:type w:val="continuous"/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</w:sectPr>
      </w:pPr>
    </w:p>
    <w:p w14:paraId="423CB386" w14:textId="77777777" w:rsidR="00B7633D" w:rsidRPr="002A21C0" w:rsidRDefault="00B7633D" w:rsidP="00B7633D">
      <w:pPr>
        <w:spacing w:after="200" w:line="360" w:lineRule="auto"/>
        <w:jc w:val="both"/>
        <w:rPr>
          <w:rFonts w:ascii="Times New Roman" w:hAnsi="Times New Roman" w:cs="Times New Roman"/>
          <w:b/>
          <w:bCs/>
        </w:rPr>
      </w:pPr>
      <w:r w:rsidRPr="002A21C0">
        <w:rPr>
          <w:rFonts w:ascii="Times New Roman" w:hAnsi="Times New Roman" w:cs="Times New Roman"/>
          <w:b/>
          <w:bCs/>
        </w:rPr>
        <w:lastRenderedPageBreak/>
        <w:t>Supplementary Table S2</w:t>
      </w:r>
      <w:r>
        <w:rPr>
          <w:rFonts w:ascii="Times New Roman" w:hAnsi="Times New Roman" w:cs="Times New Roman"/>
          <w:b/>
          <w:bCs/>
        </w:rPr>
        <w:t>.</w:t>
      </w:r>
    </w:p>
    <w:tbl>
      <w:tblPr>
        <w:tblW w:w="129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77"/>
        <w:gridCol w:w="1956"/>
        <w:gridCol w:w="905"/>
        <w:gridCol w:w="839"/>
        <w:gridCol w:w="1227"/>
        <w:gridCol w:w="962"/>
        <w:gridCol w:w="1116"/>
        <w:gridCol w:w="1127"/>
        <w:gridCol w:w="839"/>
        <w:gridCol w:w="984"/>
        <w:gridCol w:w="1028"/>
      </w:tblGrid>
      <w:tr w:rsidR="00B7633D" w:rsidRPr="00CB2671" w14:paraId="0D72E884" w14:textId="77777777" w:rsidTr="00A321DD">
        <w:trPr>
          <w:trHeight w:val="285"/>
        </w:trPr>
        <w:tc>
          <w:tcPr>
            <w:tcW w:w="1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001F5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ensemble name</w:t>
            </w:r>
          </w:p>
        </w:tc>
        <w:tc>
          <w:tcPr>
            <w:tcW w:w="19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17EB85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species name</w:t>
            </w:r>
          </w:p>
        </w:tc>
        <w:tc>
          <w:tcPr>
            <w:tcW w:w="9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B32D26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threshold</w:t>
            </w:r>
          </w:p>
        </w:tc>
        <w:tc>
          <w:tcPr>
            <w:tcW w:w="83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7F0DB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AUC</w:t>
            </w:r>
          </w:p>
        </w:tc>
        <w:tc>
          <w:tcPr>
            <w:tcW w:w="12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3FEA88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omission.rate</w:t>
            </w:r>
          </w:p>
        </w:tc>
        <w:tc>
          <w:tcPr>
            <w:tcW w:w="96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154FAD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sensitivity</w:t>
            </w:r>
          </w:p>
        </w:tc>
        <w:tc>
          <w:tcPr>
            <w:tcW w:w="111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9E8BD1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specificity</w:t>
            </w:r>
          </w:p>
        </w:tc>
        <w:tc>
          <w:tcPr>
            <w:tcW w:w="11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66C751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prop.correct</w:t>
            </w:r>
          </w:p>
        </w:tc>
        <w:tc>
          <w:tcPr>
            <w:tcW w:w="83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F9219A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Kappa</w:t>
            </w:r>
          </w:p>
        </w:tc>
        <w:tc>
          <w:tcPr>
            <w:tcW w:w="98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8AED1C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calibration</w:t>
            </w:r>
          </w:p>
        </w:tc>
        <w:tc>
          <w:tcPr>
            <w:tcW w:w="102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B71A25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kept.model</w:t>
            </w:r>
          </w:p>
        </w:tc>
      </w:tr>
      <w:tr w:rsidR="00B7633D" w:rsidRPr="00CB2671" w14:paraId="27D9B237" w14:textId="77777777" w:rsidTr="00A321DD">
        <w:trPr>
          <w:trHeight w:val="285"/>
        </w:trPr>
        <w:tc>
          <w:tcPr>
            <w:tcW w:w="197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4ED916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GLM.SDM.ensemble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EADF42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Chlorolestes elegans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83BEA5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0.048895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35875A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0.888325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963F24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0.149253731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0131CE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E06AA1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0.847715736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675E35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0.850746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95E82D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0.181374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F8F23E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0.892148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7223F2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</w:tr>
      <w:tr w:rsidR="00B7633D" w:rsidRPr="00CB2671" w14:paraId="59676F92" w14:textId="77777777" w:rsidTr="00A321DD">
        <w:trPr>
          <w:trHeight w:val="285"/>
        </w:trPr>
        <w:tc>
          <w:tcPr>
            <w:tcW w:w="197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969D67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RF.SDM.ensemble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2165D0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Chlorolestes elegans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4BBDE5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0.529093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C0D228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0.833333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4B2BCF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0.285714286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DC97F7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BEAAA1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0.666666667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A4E2C4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0.714286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9C51D9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0.416667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CA0BD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0.761209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AF4143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</w:tr>
      <w:tr w:rsidR="00B7633D" w:rsidRPr="00CB2671" w14:paraId="501E7B1E" w14:textId="77777777" w:rsidTr="00A321DD">
        <w:trPr>
          <w:trHeight w:val="285"/>
        </w:trPr>
        <w:tc>
          <w:tcPr>
            <w:tcW w:w="197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3011C6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MAXENT.SDM.ensemble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6BBAF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Chlorolestes elegans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FB1200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0.525834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E535B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0.921501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009D3C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0.497137788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9CABBD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0.918241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753A31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0.502611871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463D0C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0.502862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A0C7A1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0.002821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175642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0.342938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551BF7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</w:tr>
      <w:tr w:rsidR="00B7633D" w:rsidRPr="00CB2671" w14:paraId="2067C4CA" w14:textId="77777777" w:rsidTr="00A321DD">
        <w:trPr>
          <w:trHeight w:val="285"/>
        </w:trPr>
        <w:tc>
          <w:tcPr>
            <w:tcW w:w="197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660411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GLM.SDM.ensemble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6D5AC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Platycypha inyangae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2FE4A0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0.024924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62B05B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0.778912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1471FE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0.331658291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65FC6F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0.666667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91FC06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0.668367347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7E59E2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0.668342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4AF58F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0.029125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BB7392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0.924532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4D955C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</w:tr>
      <w:tr w:rsidR="00B7633D" w:rsidRPr="00CB2671" w14:paraId="43DAEDBA" w14:textId="77777777" w:rsidTr="00A321DD">
        <w:trPr>
          <w:trHeight w:val="285"/>
        </w:trPr>
        <w:tc>
          <w:tcPr>
            <w:tcW w:w="197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F52F1B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RF.SDM.ensemble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1D01B7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Platycypha inyangae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79A55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0.838873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4861FA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E3AF60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CBE3F1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F48E4E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044CE8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0742D1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AF9EF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0.48022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730D87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</w:tr>
      <w:tr w:rsidR="00B7633D" w:rsidRPr="00CB2671" w14:paraId="40925BE2" w14:textId="77777777" w:rsidTr="00A321DD">
        <w:trPr>
          <w:trHeight w:val="285"/>
        </w:trPr>
        <w:tc>
          <w:tcPr>
            <w:tcW w:w="197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DED1CF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MAXENT.SDM.ensemble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23D8DA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Platycypha inyangae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42F730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0.853662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11DE07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0.949816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F9A78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0.49766625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55C508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0.946653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74C323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0.502129183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ED9AE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0.502334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A19205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0.001967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6BB14B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0.247771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7D5E2B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</w:tr>
      <w:tr w:rsidR="00B7633D" w:rsidRPr="00CB2671" w14:paraId="60E088C4" w14:textId="77777777" w:rsidTr="00A321DD">
        <w:trPr>
          <w:trHeight w:val="285"/>
        </w:trPr>
        <w:tc>
          <w:tcPr>
            <w:tcW w:w="197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BB2C9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GLM.SDM.ensemble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66A004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Pseudagrion vumbaense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156882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0.029766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571FC3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0.952736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6A6231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0.093596059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45D048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545C3C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0.905472637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6329DC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0.906404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9C261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0.158779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B2B49D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0.897969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C7DFC5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</w:tr>
      <w:tr w:rsidR="00B7633D" w:rsidRPr="00CB2671" w14:paraId="1A4E1AE4" w14:textId="77777777" w:rsidTr="00A321DD">
        <w:trPr>
          <w:trHeight w:val="285"/>
        </w:trPr>
        <w:tc>
          <w:tcPr>
            <w:tcW w:w="197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EBBF51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RF.SDM.ensemble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17406C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Pseudagrion vumbaense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0F3958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0.6495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178ABD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3216C0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9FB663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4F0E0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396CFD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16CE73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FADB04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0.620707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B113B6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</w:tr>
      <w:tr w:rsidR="00B7633D" w:rsidRPr="00CB2671" w14:paraId="3579CBF9" w14:textId="77777777" w:rsidTr="00A321DD">
        <w:trPr>
          <w:trHeight w:val="285"/>
        </w:trPr>
        <w:tc>
          <w:tcPr>
            <w:tcW w:w="197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6A545A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MAXENT.SDM.ensemble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32CB07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Pseudagrion vumbaense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A38636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0.918017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0A813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0.981346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1CAE4E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0.498141353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57B22A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0.978607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5AC834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0.501713452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F4FA8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0.501859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5F8E90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0.00205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ECFC6F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0.393094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9D16A0" w14:textId="77777777" w:rsidR="00B7633D" w:rsidRPr="002A21C0" w:rsidRDefault="00B7633D" w:rsidP="00A321DD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A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</w:tr>
    </w:tbl>
    <w:p w14:paraId="2A8E41AD" w14:textId="77777777" w:rsidR="00EB4A2D" w:rsidRDefault="00EB4A2D"/>
    <w:sectPr w:rsidR="00EB4A2D" w:rsidSect="00B7633D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3D"/>
    <w:rsid w:val="001D3053"/>
    <w:rsid w:val="001E3A92"/>
    <w:rsid w:val="00217E67"/>
    <w:rsid w:val="002C7D54"/>
    <w:rsid w:val="0033371E"/>
    <w:rsid w:val="005C0D39"/>
    <w:rsid w:val="0070406C"/>
    <w:rsid w:val="00724754"/>
    <w:rsid w:val="007B36B1"/>
    <w:rsid w:val="00A157F5"/>
    <w:rsid w:val="00B7633D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8BE2F"/>
  <w15:chartTrackingRefBased/>
  <w15:docId w15:val="{CE3353CB-6E6A-4A64-B17D-5603F02E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33D"/>
    <w:rPr>
      <w:rFonts w:ascii="Aptos" w:eastAsia="Aptos" w:hAnsi="Aptos" w:cs="Aptos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6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6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33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633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33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33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33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33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33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76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33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76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633D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76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33D"/>
    <w:pPr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76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33D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B76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2026-07-31T11:05:00Z</dcterms:created>
  <dcterms:modified xsi:type="dcterms:W3CDTF">2026-07-31T11:06:00Z</dcterms:modified>
</cp:coreProperties>
</file>