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A8061" w14:textId="174A05BD" w:rsid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Supplementary Materials</w:t>
      </w:r>
    </w:p>
    <w:p w14:paraId="5DE1EEB8" w14:textId="671E02F6" w:rsidR="000A16AA" w:rsidRPr="00184B6F" w:rsidRDefault="00746155" w:rsidP="000A16AA">
      <w:pPr>
        <w:jc w:val="both"/>
        <w:rPr>
          <w:rFonts w:ascii="Arial" w:hAnsi="Arial" w:cs="Arial"/>
          <w:b/>
          <w:bCs/>
          <w:sz w:val="22"/>
          <w:szCs w:val="22"/>
        </w:rPr>
      </w:pPr>
      <w:r>
        <w:rPr>
          <w:rFonts w:ascii="Arial" w:hAnsi="Arial" w:cs="Arial"/>
          <w:b/>
          <w:bCs/>
          <w:sz w:val="22"/>
          <w:szCs w:val="22"/>
        </w:rPr>
        <w:t xml:space="preserve">Section S1: </w:t>
      </w:r>
      <w:r w:rsidR="000A16AA" w:rsidRPr="00184B6F">
        <w:rPr>
          <w:rFonts w:ascii="Arial" w:hAnsi="Arial" w:cs="Arial"/>
          <w:b/>
          <w:bCs/>
          <w:sz w:val="22"/>
          <w:szCs w:val="22"/>
        </w:rPr>
        <w:t>Cancer type-specific mutation prediction reveals widespread genotype–phenotype encoding across solid tumors</w:t>
      </w:r>
    </w:p>
    <w:p w14:paraId="033D46DA" w14:textId="4A711C31" w:rsidR="000A16AA" w:rsidRPr="008E0F47" w:rsidRDefault="000A16AA" w:rsidP="006A3C3C">
      <w:pPr>
        <w:jc w:val="both"/>
        <w:rPr>
          <w:rFonts w:ascii="Arial" w:hAnsi="Arial" w:cs="Arial"/>
          <w:sz w:val="22"/>
          <w:szCs w:val="22"/>
        </w:rPr>
      </w:pPr>
      <w:r w:rsidRPr="008E0F47">
        <w:rPr>
          <w:rFonts w:ascii="Arial" w:hAnsi="Arial" w:cs="Arial"/>
          <w:sz w:val="22"/>
          <w:szCs w:val="22"/>
        </w:rPr>
        <w:t>We evaluated GenoGlyph in a cancer-specific setting, training independent models for each mutation within each tumor type using five-fold patient-level cross-validation. Across 14 cancer types and 34 mutation prediction tasks, GenoGlyph demonstrated consistent performance, supporting the hypothesis that mutation-associated morphological signals are detectable within individual tumor contexts</w:t>
      </w:r>
      <w:r>
        <w:rPr>
          <w:rFonts w:ascii="Arial" w:hAnsi="Arial" w:cs="Arial"/>
          <w:sz w:val="22"/>
          <w:szCs w:val="22"/>
        </w:rPr>
        <w:t xml:space="preserve"> (</w:t>
      </w:r>
      <w:r w:rsidRPr="00235CB9">
        <w:rPr>
          <w:rFonts w:ascii="Arial" w:hAnsi="Arial" w:cs="Arial"/>
          <w:b/>
          <w:bCs/>
          <w:sz w:val="22"/>
          <w:szCs w:val="22"/>
        </w:rPr>
        <w:t xml:space="preserve">Table </w:t>
      </w:r>
      <w:r w:rsidR="00235CB9" w:rsidRPr="00235CB9">
        <w:rPr>
          <w:rFonts w:ascii="Arial" w:hAnsi="Arial" w:cs="Arial"/>
          <w:b/>
          <w:bCs/>
          <w:sz w:val="22"/>
          <w:szCs w:val="22"/>
        </w:rPr>
        <w:t>S</w:t>
      </w:r>
      <w:r w:rsidRPr="00235CB9">
        <w:rPr>
          <w:rFonts w:ascii="Arial" w:hAnsi="Arial" w:cs="Arial"/>
          <w:b/>
          <w:bCs/>
          <w:sz w:val="22"/>
          <w:szCs w:val="22"/>
        </w:rPr>
        <w:t>5</w:t>
      </w:r>
      <w:r>
        <w:rPr>
          <w:rFonts w:ascii="Arial" w:hAnsi="Arial" w:cs="Arial"/>
          <w:sz w:val="22"/>
          <w:szCs w:val="22"/>
        </w:rPr>
        <w:t>)</w:t>
      </w:r>
      <w:r w:rsidRPr="008E0F47">
        <w:rPr>
          <w:rFonts w:ascii="Arial" w:hAnsi="Arial" w:cs="Arial"/>
          <w:sz w:val="22"/>
          <w:szCs w:val="22"/>
        </w:rPr>
        <w:t>.</w:t>
      </w:r>
    </w:p>
    <w:p w14:paraId="2F40BAAF" w14:textId="77777777" w:rsidR="006A3C3C" w:rsidRDefault="00D40ABA" w:rsidP="00D40ABA">
      <w:pPr>
        <w:jc w:val="both"/>
        <w:rPr>
          <w:rFonts w:ascii="Arial" w:hAnsi="Arial" w:cs="Arial"/>
          <w:sz w:val="22"/>
          <w:szCs w:val="22"/>
        </w:rPr>
      </w:pPr>
      <w:r w:rsidRPr="00D40ABA">
        <w:rPr>
          <w:rFonts w:ascii="Arial" w:hAnsi="Arial" w:cs="Arial"/>
          <w:sz w:val="22"/>
          <w:szCs w:val="22"/>
        </w:rPr>
        <w:t xml:space="preserve">Overall, predictive performance varied across cancer types and genes. In PAAD, GenoGlyph achieved an AUC of 0.71 ± 0.07 for </w:t>
      </w:r>
      <w:r w:rsidRPr="006A3C3C">
        <w:rPr>
          <w:rFonts w:ascii="Arial" w:hAnsi="Arial" w:cs="Arial"/>
          <w:i/>
          <w:iCs/>
          <w:sz w:val="22"/>
          <w:szCs w:val="22"/>
        </w:rPr>
        <w:t>KRAS</w:t>
      </w:r>
      <w:r w:rsidRPr="00D40ABA">
        <w:rPr>
          <w:rFonts w:ascii="Arial" w:hAnsi="Arial" w:cs="Arial"/>
          <w:sz w:val="22"/>
          <w:szCs w:val="22"/>
        </w:rPr>
        <w:t xml:space="preserve"> and 0.66 ± 0.11 for </w:t>
      </w:r>
      <w:r w:rsidRPr="006A3C3C">
        <w:rPr>
          <w:rFonts w:ascii="Arial" w:hAnsi="Arial" w:cs="Arial"/>
          <w:i/>
          <w:iCs/>
          <w:sz w:val="22"/>
          <w:szCs w:val="22"/>
        </w:rPr>
        <w:t>TP53</w:t>
      </w:r>
      <w:r w:rsidRPr="00D40ABA">
        <w:rPr>
          <w:rFonts w:ascii="Arial" w:hAnsi="Arial" w:cs="Arial"/>
          <w:sz w:val="22"/>
          <w:szCs w:val="22"/>
        </w:rPr>
        <w:t xml:space="preserve">. In </w:t>
      </w:r>
      <w:r>
        <w:rPr>
          <w:rFonts w:ascii="Arial" w:hAnsi="Arial" w:cs="Arial"/>
          <w:sz w:val="22"/>
          <w:szCs w:val="22"/>
        </w:rPr>
        <w:t>CRC</w:t>
      </w:r>
      <w:r w:rsidRPr="00D40ABA">
        <w:rPr>
          <w:rFonts w:ascii="Arial" w:hAnsi="Arial" w:cs="Arial"/>
          <w:sz w:val="22"/>
          <w:szCs w:val="22"/>
        </w:rPr>
        <w:t xml:space="preserve">, the model achieved an AUC of 0.75 ± 0.06 for </w:t>
      </w:r>
      <w:r w:rsidRPr="006A3C3C">
        <w:rPr>
          <w:rFonts w:ascii="Arial" w:hAnsi="Arial" w:cs="Arial"/>
          <w:i/>
          <w:iCs/>
          <w:sz w:val="22"/>
          <w:szCs w:val="22"/>
        </w:rPr>
        <w:t>TP53</w:t>
      </w:r>
      <w:r w:rsidRPr="00D40ABA">
        <w:rPr>
          <w:rFonts w:ascii="Arial" w:hAnsi="Arial" w:cs="Arial"/>
          <w:sz w:val="22"/>
          <w:szCs w:val="22"/>
        </w:rPr>
        <w:t xml:space="preserve">, 0.71 ± 0.02 for </w:t>
      </w:r>
      <w:r w:rsidRPr="006A3C3C">
        <w:rPr>
          <w:rFonts w:ascii="Arial" w:hAnsi="Arial" w:cs="Arial"/>
          <w:i/>
          <w:iCs/>
          <w:sz w:val="22"/>
          <w:szCs w:val="22"/>
        </w:rPr>
        <w:t>APC</w:t>
      </w:r>
      <w:r w:rsidRPr="00D40ABA">
        <w:rPr>
          <w:rFonts w:ascii="Arial" w:hAnsi="Arial" w:cs="Arial"/>
          <w:sz w:val="22"/>
          <w:szCs w:val="22"/>
        </w:rPr>
        <w:t xml:space="preserve">, 0.63 ± 0.08 for </w:t>
      </w:r>
      <w:r w:rsidRPr="006A3C3C">
        <w:rPr>
          <w:rFonts w:ascii="Arial" w:hAnsi="Arial" w:cs="Arial"/>
          <w:i/>
          <w:iCs/>
          <w:sz w:val="22"/>
          <w:szCs w:val="22"/>
        </w:rPr>
        <w:t>KRAS</w:t>
      </w:r>
      <w:r w:rsidRPr="00D40ABA">
        <w:rPr>
          <w:rFonts w:ascii="Arial" w:hAnsi="Arial" w:cs="Arial"/>
          <w:sz w:val="22"/>
          <w:szCs w:val="22"/>
        </w:rPr>
        <w:t xml:space="preserve">, 0.63 ± 0.05 for </w:t>
      </w:r>
      <w:r w:rsidRPr="006A3C3C">
        <w:rPr>
          <w:rFonts w:ascii="Arial" w:hAnsi="Arial" w:cs="Arial"/>
          <w:i/>
          <w:iCs/>
          <w:sz w:val="22"/>
          <w:szCs w:val="22"/>
        </w:rPr>
        <w:t>PIK3CA</w:t>
      </w:r>
      <w:r w:rsidRPr="00D40ABA">
        <w:rPr>
          <w:rFonts w:ascii="Arial" w:hAnsi="Arial" w:cs="Arial"/>
          <w:sz w:val="22"/>
          <w:szCs w:val="22"/>
        </w:rPr>
        <w:t xml:space="preserve">, 0.63 ± 0.05 for </w:t>
      </w:r>
      <w:r w:rsidRPr="006A3C3C">
        <w:rPr>
          <w:rFonts w:ascii="Arial" w:hAnsi="Arial" w:cs="Arial"/>
          <w:i/>
          <w:iCs/>
          <w:sz w:val="22"/>
          <w:szCs w:val="22"/>
        </w:rPr>
        <w:t>TTN</w:t>
      </w:r>
      <w:r>
        <w:rPr>
          <w:rFonts w:ascii="Arial" w:hAnsi="Arial" w:cs="Arial"/>
          <w:sz w:val="22"/>
          <w:szCs w:val="22"/>
        </w:rPr>
        <w:t xml:space="preserve">, </w:t>
      </w:r>
      <w:r w:rsidRPr="00D40ABA">
        <w:rPr>
          <w:rFonts w:ascii="Arial" w:hAnsi="Arial" w:cs="Arial"/>
          <w:sz w:val="22"/>
          <w:szCs w:val="22"/>
        </w:rPr>
        <w:t xml:space="preserve">0.84 ± 0.07 for </w:t>
      </w:r>
      <w:r w:rsidRPr="006A3C3C">
        <w:rPr>
          <w:rFonts w:ascii="Arial" w:hAnsi="Arial" w:cs="Arial"/>
          <w:i/>
          <w:iCs/>
          <w:sz w:val="22"/>
          <w:szCs w:val="22"/>
        </w:rPr>
        <w:t>BRAF</w:t>
      </w:r>
      <w:r w:rsidRPr="00D40ABA">
        <w:rPr>
          <w:rFonts w:ascii="Arial" w:hAnsi="Arial" w:cs="Arial"/>
          <w:sz w:val="22"/>
          <w:szCs w:val="22"/>
        </w:rPr>
        <w:t xml:space="preserve"> and 0.63 ± 0.05 for </w:t>
      </w:r>
      <w:r w:rsidRPr="006A3C3C">
        <w:rPr>
          <w:rFonts w:ascii="Arial" w:hAnsi="Arial" w:cs="Arial"/>
          <w:i/>
          <w:iCs/>
          <w:sz w:val="22"/>
          <w:szCs w:val="22"/>
        </w:rPr>
        <w:t>COX2</w:t>
      </w:r>
      <w:r w:rsidRPr="00D40ABA">
        <w:rPr>
          <w:rFonts w:ascii="Arial" w:hAnsi="Arial" w:cs="Arial"/>
          <w:sz w:val="22"/>
          <w:szCs w:val="22"/>
        </w:rPr>
        <w:t>.</w:t>
      </w:r>
      <w:r>
        <w:rPr>
          <w:rFonts w:ascii="Arial" w:hAnsi="Arial" w:cs="Arial"/>
          <w:sz w:val="22"/>
          <w:szCs w:val="22"/>
        </w:rPr>
        <w:t xml:space="preserve"> </w:t>
      </w:r>
      <w:r w:rsidRPr="00D40ABA">
        <w:rPr>
          <w:rFonts w:ascii="Arial" w:hAnsi="Arial" w:cs="Arial"/>
          <w:sz w:val="22"/>
          <w:szCs w:val="22"/>
        </w:rPr>
        <w:t xml:space="preserve">In BRCA, GenoGlyph achieved an AUC of 0.84 ± 0.04 for </w:t>
      </w:r>
      <w:r w:rsidRPr="006A3C3C">
        <w:rPr>
          <w:rFonts w:ascii="Arial" w:hAnsi="Arial" w:cs="Arial"/>
          <w:i/>
          <w:iCs/>
          <w:sz w:val="22"/>
          <w:szCs w:val="22"/>
        </w:rPr>
        <w:t>TP53</w:t>
      </w:r>
      <w:r w:rsidRPr="00D40ABA">
        <w:rPr>
          <w:rFonts w:ascii="Arial" w:hAnsi="Arial" w:cs="Arial"/>
          <w:sz w:val="22"/>
          <w:szCs w:val="22"/>
        </w:rPr>
        <w:t xml:space="preserve"> and 0.65 ± 0.03 for </w:t>
      </w:r>
      <w:r w:rsidRPr="006A3C3C">
        <w:rPr>
          <w:rFonts w:ascii="Arial" w:hAnsi="Arial" w:cs="Arial"/>
          <w:i/>
          <w:iCs/>
          <w:sz w:val="22"/>
          <w:szCs w:val="22"/>
        </w:rPr>
        <w:t>PIK3CA</w:t>
      </w:r>
      <w:r w:rsidRPr="00D40ABA">
        <w:rPr>
          <w:rFonts w:ascii="Arial" w:hAnsi="Arial" w:cs="Arial"/>
          <w:sz w:val="22"/>
          <w:szCs w:val="22"/>
        </w:rPr>
        <w:t>.</w:t>
      </w:r>
    </w:p>
    <w:p w14:paraId="2B1DBFBF" w14:textId="41B3F166" w:rsidR="00D40ABA" w:rsidRPr="00D40ABA" w:rsidRDefault="00D40ABA" w:rsidP="00D40ABA">
      <w:pPr>
        <w:jc w:val="both"/>
        <w:rPr>
          <w:rFonts w:ascii="Arial" w:hAnsi="Arial" w:cs="Arial"/>
          <w:sz w:val="22"/>
          <w:szCs w:val="22"/>
        </w:rPr>
      </w:pPr>
      <w:r w:rsidRPr="00D40ABA">
        <w:rPr>
          <w:rFonts w:ascii="Arial" w:hAnsi="Arial" w:cs="Arial"/>
          <w:sz w:val="22"/>
          <w:szCs w:val="22"/>
        </w:rPr>
        <w:t xml:space="preserve">Across additional tumor types, GenoGlyph achieved an AUC of 0.70 ± 0.04 for </w:t>
      </w:r>
      <w:r w:rsidRPr="006A3C3C">
        <w:rPr>
          <w:rFonts w:ascii="Arial" w:hAnsi="Arial" w:cs="Arial"/>
          <w:i/>
          <w:iCs/>
          <w:sz w:val="22"/>
          <w:szCs w:val="22"/>
        </w:rPr>
        <w:t>TP53</w:t>
      </w:r>
      <w:r w:rsidRPr="00D40ABA">
        <w:rPr>
          <w:rFonts w:ascii="Arial" w:hAnsi="Arial" w:cs="Arial"/>
          <w:sz w:val="22"/>
          <w:szCs w:val="22"/>
        </w:rPr>
        <w:t xml:space="preserve"> in LUAD. In kidney cancers (KICH + KIRC + KIRP), </w:t>
      </w:r>
      <w:r w:rsidRPr="006A3C3C">
        <w:rPr>
          <w:rFonts w:ascii="Arial" w:hAnsi="Arial" w:cs="Arial"/>
          <w:i/>
          <w:iCs/>
          <w:sz w:val="22"/>
          <w:szCs w:val="22"/>
        </w:rPr>
        <w:t>PBRM1</w:t>
      </w:r>
      <w:r w:rsidRPr="00D40ABA">
        <w:rPr>
          <w:rFonts w:ascii="Arial" w:hAnsi="Arial" w:cs="Arial"/>
          <w:sz w:val="22"/>
          <w:szCs w:val="22"/>
        </w:rPr>
        <w:t xml:space="preserve"> mutation prediction achieved an AUC of 0.78 ± 0.08. In LIHC, </w:t>
      </w:r>
      <w:r w:rsidRPr="006A3C3C">
        <w:rPr>
          <w:rFonts w:ascii="Arial" w:hAnsi="Arial" w:cs="Arial"/>
          <w:i/>
          <w:iCs/>
          <w:sz w:val="22"/>
          <w:szCs w:val="22"/>
        </w:rPr>
        <w:t>CTNNB1</w:t>
      </w:r>
      <w:r w:rsidRPr="00D40ABA">
        <w:rPr>
          <w:rFonts w:ascii="Arial" w:hAnsi="Arial" w:cs="Arial"/>
          <w:sz w:val="22"/>
          <w:szCs w:val="22"/>
        </w:rPr>
        <w:t xml:space="preserve"> achieved an AUC of 0.78 ± 0.06 and </w:t>
      </w:r>
      <w:r w:rsidRPr="006A3C3C">
        <w:rPr>
          <w:rFonts w:ascii="Arial" w:hAnsi="Arial" w:cs="Arial"/>
          <w:i/>
          <w:iCs/>
          <w:sz w:val="22"/>
          <w:szCs w:val="22"/>
        </w:rPr>
        <w:t>TP53</w:t>
      </w:r>
      <w:r w:rsidRPr="00D40ABA">
        <w:rPr>
          <w:rFonts w:ascii="Arial" w:hAnsi="Arial" w:cs="Arial"/>
          <w:sz w:val="22"/>
          <w:szCs w:val="22"/>
        </w:rPr>
        <w:t xml:space="preserve"> achieved an AUC of 0.69 ± 0.06.</w:t>
      </w:r>
    </w:p>
    <w:p w14:paraId="652880CC" w14:textId="2F51C839" w:rsidR="000A16AA" w:rsidRPr="007839EF" w:rsidRDefault="00D40ABA" w:rsidP="00D40ABA">
      <w:pPr>
        <w:jc w:val="both"/>
        <w:rPr>
          <w:rFonts w:ascii="Arial" w:hAnsi="Arial" w:cs="Arial"/>
          <w:sz w:val="22"/>
          <w:szCs w:val="22"/>
        </w:rPr>
      </w:pPr>
      <w:r w:rsidRPr="00D40ABA">
        <w:rPr>
          <w:rFonts w:ascii="Arial" w:hAnsi="Arial" w:cs="Arial"/>
          <w:sz w:val="22"/>
          <w:szCs w:val="22"/>
        </w:rPr>
        <w:t xml:space="preserve">In squamous malignancies, HNSC achieved an AUC of 0.72 ± 0.10 for </w:t>
      </w:r>
      <w:r w:rsidRPr="006A3C3C">
        <w:rPr>
          <w:rFonts w:ascii="Arial" w:hAnsi="Arial" w:cs="Arial"/>
          <w:i/>
          <w:iCs/>
          <w:sz w:val="22"/>
          <w:szCs w:val="22"/>
        </w:rPr>
        <w:t>TP53</w:t>
      </w:r>
      <w:r w:rsidRPr="00D40ABA">
        <w:rPr>
          <w:rFonts w:ascii="Arial" w:hAnsi="Arial" w:cs="Arial"/>
          <w:sz w:val="22"/>
          <w:szCs w:val="22"/>
        </w:rPr>
        <w:t xml:space="preserve"> prediction, while LUSC achieved an AUC of 0.61 ± 0.02. In STAD, </w:t>
      </w:r>
      <w:r w:rsidRPr="006A3C3C">
        <w:rPr>
          <w:rFonts w:ascii="Arial" w:hAnsi="Arial" w:cs="Arial"/>
          <w:i/>
          <w:iCs/>
          <w:sz w:val="22"/>
          <w:szCs w:val="22"/>
        </w:rPr>
        <w:t>ARID1A</w:t>
      </w:r>
      <w:r w:rsidRPr="00D40ABA">
        <w:rPr>
          <w:rFonts w:ascii="Arial" w:hAnsi="Arial" w:cs="Arial"/>
          <w:sz w:val="22"/>
          <w:szCs w:val="22"/>
        </w:rPr>
        <w:t xml:space="preserve"> achieved an AUC of 0.73 ± 0.05, </w:t>
      </w:r>
      <w:r w:rsidRPr="006A3C3C">
        <w:rPr>
          <w:rFonts w:ascii="Arial" w:hAnsi="Arial" w:cs="Arial"/>
          <w:i/>
          <w:iCs/>
          <w:sz w:val="22"/>
          <w:szCs w:val="22"/>
        </w:rPr>
        <w:t>TP53</w:t>
      </w:r>
      <w:r w:rsidRPr="00D40ABA">
        <w:rPr>
          <w:rFonts w:ascii="Arial" w:hAnsi="Arial" w:cs="Arial"/>
          <w:sz w:val="22"/>
          <w:szCs w:val="22"/>
        </w:rPr>
        <w:t xml:space="preserve"> achieved an AUC of 0.68 ± 0.06, and </w:t>
      </w:r>
      <w:r w:rsidRPr="006A3C3C">
        <w:rPr>
          <w:rFonts w:ascii="Arial" w:hAnsi="Arial" w:cs="Arial"/>
          <w:i/>
          <w:iCs/>
          <w:sz w:val="22"/>
          <w:szCs w:val="22"/>
        </w:rPr>
        <w:t>TTN</w:t>
      </w:r>
      <w:r w:rsidRPr="00D40ABA">
        <w:rPr>
          <w:rFonts w:ascii="Arial" w:hAnsi="Arial" w:cs="Arial"/>
          <w:sz w:val="22"/>
          <w:szCs w:val="22"/>
        </w:rPr>
        <w:t xml:space="preserve"> achieved an AUC of 0.61 ± 0.07.</w:t>
      </w:r>
    </w:p>
    <w:p w14:paraId="638C0073" w14:textId="460A1B23" w:rsidR="00850AD7" w:rsidRPr="00850AD7" w:rsidRDefault="00535A8C" w:rsidP="00850AD7">
      <w:pPr>
        <w:spacing w:line="240" w:lineRule="auto"/>
        <w:jc w:val="both"/>
        <w:rPr>
          <w:rFonts w:ascii="Arial" w:hAnsi="Arial" w:cs="Arial"/>
          <w:b/>
          <w:bCs/>
          <w:i/>
          <w:iCs/>
          <w:sz w:val="22"/>
          <w:szCs w:val="22"/>
        </w:rPr>
      </w:pPr>
      <w:r>
        <w:rPr>
          <w:rFonts w:ascii="Arial" w:hAnsi="Arial" w:cs="Arial"/>
          <w:b/>
          <w:bCs/>
          <w:sz w:val="22"/>
          <w:szCs w:val="22"/>
        </w:rPr>
        <w:t xml:space="preserve">Section </w:t>
      </w:r>
      <w:r w:rsidR="00850AD7" w:rsidRPr="00850AD7">
        <w:rPr>
          <w:rFonts w:ascii="Arial" w:hAnsi="Arial" w:cs="Arial"/>
          <w:b/>
          <w:bCs/>
          <w:sz w:val="22"/>
          <w:szCs w:val="22"/>
        </w:rPr>
        <w:t>S</w:t>
      </w:r>
      <w:r w:rsidR="00153689">
        <w:rPr>
          <w:rFonts w:ascii="Arial" w:hAnsi="Arial" w:cs="Arial"/>
          <w:b/>
          <w:bCs/>
          <w:sz w:val="22"/>
          <w:szCs w:val="22"/>
        </w:rPr>
        <w:t>2</w:t>
      </w:r>
      <w:r w:rsidR="00850AD7" w:rsidRPr="00850AD7">
        <w:rPr>
          <w:rFonts w:ascii="Arial" w:hAnsi="Arial" w:cs="Arial"/>
          <w:b/>
          <w:bCs/>
          <w:sz w:val="22"/>
          <w:szCs w:val="22"/>
        </w:rPr>
        <w:t>: Prognostic Survival Analysis</w:t>
      </w:r>
    </w:p>
    <w:p w14:paraId="0CFA1552" w14:textId="59785AF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Survival analyses were performed to evaluate whether GenoGlyph's predicted mutation probability scores carry independent prognostic information, separate from the mutation classification task itself. For each of the six pan-cancer gene models (</w:t>
      </w:r>
      <w:r w:rsidR="00445CAB" w:rsidRPr="00445CAB">
        <w:rPr>
          <w:rFonts w:ascii="Arial" w:hAnsi="Arial" w:cs="Arial"/>
          <w:i/>
          <w:iCs/>
          <w:sz w:val="22"/>
          <w:szCs w:val="22"/>
        </w:rPr>
        <w:t>APC</w:t>
      </w:r>
      <w:r w:rsidRPr="00850AD7">
        <w:rPr>
          <w:rFonts w:ascii="Arial" w:hAnsi="Arial" w:cs="Arial"/>
          <w:sz w:val="22"/>
          <w:szCs w:val="22"/>
        </w:rPr>
        <w:t xml:space="preserve">, </w:t>
      </w:r>
      <w:r w:rsidR="00445CAB" w:rsidRPr="00445CAB">
        <w:rPr>
          <w:rFonts w:ascii="Arial" w:hAnsi="Arial" w:cs="Arial"/>
          <w:i/>
          <w:iCs/>
          <w:sz w:val="22"/>
          <w:szCs w:val="22"/>
        </w:rPr>
        <w:t>BRAF</w:t>
      </w:r>
      <w:r w:rsidRPr="00850AD7">
        <w:rPr>
          <w:rFonts w:ascii="Arial" w:hAnsi="Arial" w:cs="Arial"/>
          <w:sz w:val="22"/>
          <w:szCs w:val="22"/>
        </w:rPr>
        <w:t xml:space="preserve">, </w:t>
      </w:r>
      <w:r w:rsidR="00445CAB" w:rsidRPr="00445CAB">
        <w:rPr>
          <w:rFonts w:ascii="Arial" w:hAnsi="Arial" w:cs="Arial"/>
          <w:i/>
          <w:iCs/>
          <w:sz w:val="22"/>
          <w:szCs w:val="22"/>
        </w:rPr>
        <w:t>KRAS</w:t>
      </w:r>
      <w:r w:rsidRPr="00850AD7">
        <w:rPr>
          <w:rFonts w:ascii="Arial" w:hAnsi="Arial" w:cs="Arial"/>
          <w:sz w:val="22"/>
          <w:szCs w:val="22"/>
        </w:rPr>
        <w:t xml:space="preserve">, </w:t>
      </w:r>
      <w:r w:rsidR="00445CAB" w:rsidRPr="00445CAB">
        <w:rPr>
          <w:rFonts w:ascii="Arial" w:hAnsi="Arial" w:cs="Arial"/>
          <w:i/>
          <w:iCs/>
          <w:sz w:val="22"/>
          <w:szCs w:val="22"/>
        </w:rPr>
        <w:t>KMT2D</w:t>
      </w:r>
      <w:r w:rsidRPr="00850AD7">
        <w:rPr>
          <w:rFonts w:ascii="Arial" w:hAnsi="Arial" w:cs="Arial"/>
          <w:sz w:val="22"/>
          <w:szCs w:val="22"/>
        </w:rPr>
        <w:t xml:space="preserve">, </w:t>
      </w:r>
      <w:r w:rsidR="00445CAB" w:rsidRPr="00445CAB">
        <w:rPr>
          <w:rFonts w:ascii="Arial" w:hAnsi="Arial" w:cs="Arial"/>
          <w:i/>
          <w:iCs/>
          <w:sz w:val="22"/>
          <w:szCs w:val="22"/>
        </w:rPr>
        <w:t>PIK3CA</w:t>
      </w:r>
      <w:r w:rsidRPr="00850AD7">
        <w:rPr>
          <w:rFonts w:ascii="Arial" w:hAnsi="Arial" w:cs="Arial"/>
          <w:sz w:val="22"/>
          <w:szCs w:val="22"/>
        </w:rPr>
        <w:t xml:space="preserve">, </w:t>
      </w:r>
      <w:r w:rsidR="00445CAB" w:rsidRPr="00445CAB">
        <w:rPr>
          <w:rFonts w:ascii="Arial" w:hAnsi="Arial" w:cs="Arial"/>
          <w:i/>
          <w:iCs/>
          <w:sz w:val="22"/>
          <w:szCs w:val="22"/>
        </w:rPr>
        <w:t>TP53</w:t>
      </w:r>
      <w:r w:rsidRPr="00850AD7">
        <w:rPr>
          <w:rFonts w:ascii="Arial" w:hAnsi="Arial" w:cs="Arial"/>
          <w:sz w:val="22"/>
          <w:szCs w:val="22"/>
        </w:rPr>
        <w:t xml:space="preserve">, </w:t>
      </w:r>
      <w:r w:rsidR="00445CAB" w:rsidRPr="00445CAB">
        <w:rPr>
          <w:rFonts w:ascii="Arial" w:hAnsi="Arial" w:cs="Arial"/>
          <w:i/>
          <w:iCs/>
          <w:sz w:val="22"/>
          <w:szCs w:val="22"/>
        </w:rPr>
        <w:t>TTN</w:t>
      </w:r>
      <w:r w:rsidRPr="00850AD7">
        <w:rPr>
          <w:rFonts w:ascii="Arial" w:hAnsi="Arial" w:cs="Arial"/>
          <w:sz w:val="22"/>
          <w:szCs w:val="22"/>
        </w:rPr>
        <w:t>), we assessed prognostic utility across four independent, multi-institutional external cohorts</w:t>
      </w:r>
      <w:r>
        <w:rPr>
          <w:rFonts w:ascii="Arial" w:hAnsi="Arial" w:cs="Arial"/>
          <w:sz w:val="22"/>
          <w:szCs w:val="22"/>
        </w:rPr>
        <w:t xml:space="preserve"> including,</w:t>
      </w:r>
      <w:r w:rsidRPr="00850AD7">
        <w:rPr>
          <w:rFonts w:ascii="Arial" w:hAnsi="Arial" w:cs="Arial"/>
          <w:sz w:val="22"/>
          <w:szCs w:val="22"/>
        </w:rPr>
        <w:t xml:space="preserve"> invasive lung adenocarcinoma (LUAD; n = 189), colorectal adenocarcinoma (CRC; n = 422), pancreatic ductal adenocarcinoma (PDAC; n = 275), and metastatic hormone receptor-positive, HER2-negative breast carcinoma (BRCA; n = 94), comprising 982 patients in total.</w:t>
      </w:r>
    </w:p>
    <w:p w14:paraId="7110A096" w14:textId="77777777" w:rsidR="00850AD7" w:rsidRP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Survival Endpoints</w:t>
      </w:r>
    </w:p>
    <w:p w14:paraId="25ED845E"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Survival endpoints varied by cohort and clinical setting. For LUAD, overall survival (OS), disease-free survival (DFS), and recurrence-free survival (RFS) were evaluated. For CRC, OS, DFS, and RFS were evaluated. For PDAC, OS was the sole available endpoint given the aggressive natural history of pancreatic cancer and short follow-up. For BRCA, OS and progression-free survival (PFS) were evaluated, reflecting the metastatic setting. Time was measured in days from enrollment to event or last follow-up. The censoring indicator was coded 1 for the event occurred and 0 for censored.</w:t>
      </w:r>
    </w:p>
    <w:p w14:paraId="23FBD6F4" w14:textId="77777777" w:rsidR="00850AD7" w:rsidRP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Analytical Framework</w:t>
      </w:r>
    </w:p>
    <w:p w14:paraId="0F720917"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 xml:space="preserve">Three complementary analytical approaches were applied for each gene–cohort–endpoint combination. First, univariable Cox proportional hazards regression with the raw continuous predicted probability score (0–1) as the covariate was performed to assess whether the continuous probability gradient carries prognostic information. A </w:t>
      </w:r>
      <w:proofErr w:type="spellStart"/>
      <w:r w:rsidRPr="00850AD7">
        <w:rPr>
          <w:rFonts w:ascii="Arial" w:hAnsi="Arial" w:cs="Arial"/>
          <w:sz w:val="22"/>
          <w:szCs w:val="22"/>
        </w:rPr>
        <w:t>penalizer</w:t>
      </w:r>
      <w:proofErr w:type="spellEnd"/>
      <w:r w:rsidRPr="00850AD7">
        <w:rPr>
          <w:rFonts w:ascii="Arial" w:hAnsi="Arial" w:cs="Arial"/>
          <w:sz w:val="22"/>
          <w:szCs w:val="22"/>
        </w:rPr>
        <w:t xml:space="preserve"> of 0.01 was applied for numerical stability. Second, binary Cox regression using a median probability split was performed, categorizing patients into High (probability ≥ cohort median) and Low (probability &lt; cohort median) groups. Third, concordance index (C-index) was computed using the continuous predicted probability negated (such that higher probability corresponds to higher risk), providing a threshold-free discrimination metric. Cells with fewer than 10 total events or fewer than 5 events per arm were flagged and excluded from analysis to ensure model stability. Multiple testing correction was applied using the Benjamini-Hochberg false discovery rate (FDR) procedure per outcome group.</w:t>
      </w:r>
    </w:p>
    <w:p w14:paraId="24D35E8C" w14:textId="77777777" w:rsidR="00850AD7" w:rsidRP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Landmark Analysis</w:t>
      </w:r>
    </w:p>
    <w:p w14:paraId="5BDED442" w14:textId="0221968D"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 xml:space="preserve">To characterize the temporal dynamics of prognostic separation, landmark log-rank tests were performed at 1, 2, 3, 4, and 5 years post-enrollment. At each landmark, patients were censored at the respective timepoint, and </w:t>
      </w:r>
      <w:r w:rsidRPr="00850AD7">
        <w:rPr>
          <w:rFonts w:ascii="Arial" w:hAnsi="Arial" w:cs="Arial"/>
          <w:sz w:val="22"/>
          <w:szCs w:val="22"/>
        </w:rPr>
        <w:lastRenderedPageBreak/>
        <w:t>the log-rank test evaluated whether survival curves in the High and Low predicted probability groups differed significantly up to that point. Landmark analyses provide complementary information to the overall log-rank statistic</w:t>
      </w:r>
      <w:r>
        <w:rPr>
          <w:rFonts w:ascii="Arial" w:hAnsi="Arial" w:cs="Arial"/>
          <w:sz w:val="22"/>
          <w:szCs w:val="22"/>
        </w:rPr>
        <w:t>,</w:t>
      </w:r>
      <w:r w:rsidRPr="00850AD7">
        <w:rPr>
          <w:rFonts w:ascii="Arial" w:hAnsi="Arial" w:cs="Arial"/>
          <w:sz w:val="22"/>
          <w:szCs w:val="22"/>
        </w:rPr>
        <w:t xml:space="preserve"> particularly for detecting early divergence (which may appear ns in the global test if curves reconverge) or late divergence (which may be missed if censoring is heavy at later timepoints). Landmark years extending beyond the maximum observed follow-up in a cohort were coded N/A.</w:t>
      </w:r>
    </w:p>
    <w:p w14:paraId="3F004114" w14:textId="72EB8DA4" w:rsidR="00850AD7" w:rsidRPr="00850AD7" w:rsidRDefault="00850AD7" w:rsidP="00C03201">
      <w:pPr>
        <w:spacing w:line="240" w:lineRule="auto"/>
        <w:jc w:val="both"/>
        <w:rPr>
          <w:rFonts w:ascii="Arial" w:hAnsi="Arial" w:cs="Arial"/>
          <w:b/>
          <w:bCs/>
          <w:sz w:val="22"/>
          <w:szCs w:val="22"/>
        </w:rPr>
      </w:pPr>
      <w:r w:rsidRPr="00850AD7">
        <w:rPr>
          <w:rFonts w:ascii="Arial" w:hAnsi="Arial" w:cs="Arial"/>
          <w:sz w:val="22"/>
          <w:szCs w:val="22"/>
        </w:rPr>
        <w:t xml:space="preserve">For all analyses, significance thresholds were defined as: **** p &lt; 0.0001, *** p &lt; 0.001, ** p &lt; 0.01, * p &lt; 0.05. Statistical analyses were performed in Python 3 using the lifelines library (v0.28) for survival modeling and the </w:t>
      </w:r>
      <w:proofErr w:type="spellStart"/>
      <w:r w:rsidRPr="00850AD7">
        <w:rPr>
          <w:rFonts w:ascii="Arial" w:hAnsi="Arial" w:cs="Arial"/>
          <w:sz w:val="22"/>
          <w:szCs w:val="22"/>
        </w:rPr>
        <w:t>statsmodels</w:t>
      </w:r>
      <w:proofErr w:type="spellEnd"/>
      <w:r w:rsidRPr="00850AD7">
        <w:rPr>
          <w:rFonts w:ascii="Arial" w:hAnsi="Arial" w:cs="Arial"/>
          <w:sz w:val="22"/>
          <w:szCs w:val="22"/>
        </w:rPr>
        <w:t xml:space="preserve"> library for FDR correction.</w:t>
      </w:r>
    </w:p>
    <w:p w14:paraId="07CD6B8B" w14:textId="77777777" w:rsidR="00850AD7" w:rsidRP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Lung Adenocarcinoma (LUAD; n = 189)</w:t>
      </w:r>
    </w:p>
    <w:p w14:paraId="6EA36DB6"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The LUAD cohort comprised 189 patients with 44 OS events, 72 DFS events, and 71 RFS events. Median survival was not reached (NR) for either High or Low probability groups across all genes and endpoints, reflecting early-stage disease composition and adequate follow-up relative to event rates.</w:t>
      </w:r>
    </w:p>
    <w:p w14:paraId="0EB4E47E" w14:textId="5331E539"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KRAS</w:t>
      </w:r>
      <w:r w:rsidR="00850AD7" w:rsidRPr="00850AD7">
        <w:rPr>
          <w:rFonts w:ascii="Arial" w:hAnsi="Arial" w:cs="Arial"/>
          <w:sz w:val="22"/>
          <w:szCs w:val="22"/>
        </w:rPr>
        <w:t xml:space="preserve"> mutation probability was the dominant prognostic predictor in this cohort, yielding significant stratification across all three survival endpoints. By median split, </w:t>
      </w:r>
      <w:r w:rsidRPr="00445CAB">
        <w:rPr>
          <w:rFonts w:ascii="Arial" w:hAnsi="Arial" w:cs="Arial"/>
          <w:i/>
          <w:iCs/>
          <w:sz w:val="22"/>
          <w:szCs w:val="22"/>
        </w:rPr>
        <w:t>KRAS</w:t>
      </w:r>
      <w:r w:rsidR="00850AD7" w:rsidRPr="00850AD7">
        <w:rPr>
          <w:rFonts w:ascii="Arial" w:hAnsi="Arial" w:cs="Arial"/>
          <w:sz w:val="22"/>
          <w:szCs w:val="22"/>
        </w:rPr>
        <w:t xml:space="preserve">-High patients demonstrated significantly inferior OS (HR = 1.83, 95% CI 1.01–3.34, p = 0.047), DFS (HR = 1.83, 95% CI 1.15–2.92, p = 0.011), and RFS (HR = 1.78, 95% CI 1.11–2.84, p = 0.016). The concordance index for </w:t>
      </w:r>
      <w:r w:rsidRPr="00445CAB">
        <w:rPr>
          <w:rFonts w:ascii="Arial" w:hAnsi="Arial" w:cs="Arial"/>
          <w:i/>
          <w:iCs/>
          <w:sz w:val="22"/>
          <w:szCs w:val="22"/>
        </w:rPr>
        <w:t>KRAS</w:t>
      </w:r>
      <w:r w:rsidR="00850AD7" w:rsidRPr="00850AD7">
        <w:rPr>
          <w:rFonts w:ascii="Arial" w:hAnsi="Arial" w:cs="Arial"/>
          <w:sz w:val="22"/>
          <w:szCs w:val="22"/>
        </w:rPr>
        <w:t xml:space="preserve"> was the highest in this cohort: 0.616 for OS, 0.636 for DFS, and 0.631 for RFS. Importantly, the landmark analysis confirmed that this prognostic separation is sustained over time rather than driven by early events: for OS, significant landmark tests were observed at 1, 4, and 5 years; for DFS and RFS, landmark tests reached significance at 1, 2, 3, 4, and 5 years, with 5-year DFS rates of 53.7% (High) versus 70.2% (Low).</w:t>
      </w:r>
    </w:p>
    <w:p w14:paraId="4CAE7589" w14:textId="5B04D8F0"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TP53</w:t>
      </w:r>
      <w:r w:rsidR="00850AD7" w:rsidRPr="00850AD7">
        <w:rPr>
          <w:rFonts w:ascii="Arial" w:hAnsi="Arial" w:cs="Arial"/>
          <w:sz w:val="22"/>
          <w:szCs w:val="22"/>
        </w:rPr>
        <w:t xml:space="preserve"> mutation probability provided secondary prognostic information. Overall log-rank was significant for DFS (p = 0.015) and RFS (p = 0.022), with HRs of 1.76 and 1.71, respectively, by median split. The continuous Cox model also identified </w:t>
      </w:r>
      <w:r w:rsidRPr="00445CAB">
        <w:rPr>
          <w:rFonts w:ascii="Arial" w:hAnsi="Arial" w:cs="Arial"/>
          <w:i/>
          <w:iCs/>
          <w:sz w:val="22"/>
          <w:szCs w:val="22"/>
        </w:rPr>
        <w:t>TP53</w:t>
      </w:r>
      <w:r w:rsidR="00850AD7" w:rsidRPr="00850AD7">
        <w:rPr>
          <w:rFonts w:ascii="Arial" w:hAnsi="Arial" w:cs="Arial"/>
          <w:sz w:val="22"/>
          <w:szCs w:val="22"/>
        </w:rPr>
        <w:t xml:space="preserve"> as a significant DFS predictor (HR = 4.00, 95% CI 1.14–14.00, p = 0.030). Landmark analysis revealed a distinct temporal pattern: OS differences were concentrated in the early period (1yr: 95.8% vs 100.0%, p = 0.033; 2yr: 90.5% vs 98.9%, p = 0.044), whereas DFS and RFS differences emerged at 2 years and persisted through year 5 (5yr DFS: 53.7% High vs 70.2% Low, p = 0.049).</w:t>
      </w:r>
    </w:p>
    <w:p w14:paraId="601BEF12" w14:textId="185A7044" w:rsid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TTN</w:t>
      </w:r>
      <w:r w:rsidR="00850AD7" w:rsidRPr="00850AD7">
        <w:rPr>
          <w:rFonts w:ascii="Arial" w:hAnsi="Arial" w:cs="Arial"/>
          <w:sz w:val="22"/>
          <w:szCs w:val="22"/>
        </w:rPr>
        <w:t xml:space="preserve"> reached nominal significance for OS by median split (HR = 1.85, p = 0.043), with significant OS landmark tests at 1, 3, 4, and 5 years (5yr: 70.5% vs 83.0%). However, DFS and RFS log-rank tests were non-significant, and the wide confidence intervals in continuous Cox models indicate that </w:t>
      </w:r>
      <w:r w:rsidRPr="00445CAB">
        <w:rPr>
          <w:rFonts w:ascii="Arial" w:hAnsi="Arial" w:cs="Arial"/>
          <w:i/>
          <w:iCs/>
          <w:sz w:val="22"/>
          <w:szCs w:val="22"/>
        </w:rPr>
        <w:t>TTN</w:t>
      </w:r>
      <w:r w:rsidR="00850AD7" w:rsidRPr="00850AD7">
        <w:rPr>
          <w:rFonts w:ascii="Arial" w:hAnsi="Arial" w:cs="Arial"/>
          <w:sz w:val="22"/>
          <w:szCs w:val="22"/>
        </w:rPr>
        <w:t xml:space="preserve"> probability does not provide a stable prognostic signal in this cohort beyond OS. </w:t>
      </w:r>
      <w:r w:rsidRPr="00445CAB">
        <w:rPr>
          <w:rFonts w:ascii="Arial" w:hAnsi="Arial" w:cs="Arial"/>
          <w:i/>
          <w:iCs/>
          <w:sz w:val="22"/>
          <w:szCs w:val="22"/>
        </w:rPr>
        <w:t>PIK3CA</w:t>
      </w:r>
      <w:r w:rsidR="00850AD7" w:rsidRPr="00850AD7">
        <w:rPr>
          <w:rFonts w:ascii="Arial" w:hAnsi="Arial" w:cs="Arial"/>
          <w:sz w:val="22"/>
          <w:szCs w:val="22"/>
        </w:rPr>
        <w:t xml:space="preserve"> demonstrated a nominally significant continuous DFS association (HR = 10.09, p = 0.044), which did not survive FDR correction and was accompanied by wide confidence intervals reflecting limited separation. </w:t>
      </w:r>
      <w:r w:rsidRPr="00445CAB">
        <w:rPr>
          <w:rFonts w:ascii="Arial" w:hAnsi="Arial" w:cs="Arial"/>
          <w:i/>
          <w:iCs/>
          <w:sz w:val="22"/>
          <w:szCs w:val="22"/>
        </w:rPr>
        <w:t>APC</w:t>
      </w:r>
      <w:r w:rsidR="00850AD7" w:rsidRPr="00850AD7">
        <w:rPr>
          <w:rFonts w:ascii="Arial" w:hAnsi="Arial" w:cs="Arial"/>
          <w:sz w:val="22"/>
          <w:szCs w:val="22"/>
        </w:rPr>
        <w:t xml:space="preserve"> and </w:t>
      </w:r>
      <w:r w:rsidRPr="00445CAB">
        <w:rPr>
          <w:rFonts w:ascii="Arial" w:hAnsi="Arial" w:cs="Arial"/>
          <w:i/>
          <w:iCs/>
          <w:sz w:val="22"/>
          <w:szCs w:val="22"/>
        </w:rPr>
        <w:t>KMT2D</w:t>
      </w:r>
      <w:r w:rsidR="00850AD7" w:rsidRPr="00850AD7">
        <w:rPr>
          <w:rFonts w:ascii="Arial" w:hAnsi="Arial" w:cs="Arial"/>
          <w:sz w:val="22"/>
          <w:szCs w:val="22"/>
        </w:rPr>
        <w:t xml:space="preserve"> showed no prognostic utility in LUAD.</w:t>
      </w:r>
    </w:p>
    <w:p w14:paraId="69EE81F0" w14:textId="3C9D8537" w:rsidR="0045577C" w:rsidRDefault="0045577C"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020C56D7" wp14:editId="4F217A4E">
            <wp:extent cx="6858000" cy="3446145"/>
            <wp:effectExtent l="0" t="0" r="0" b="1905"/>
            <wp:docPr id="1618162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62556" name="Picture 16181625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58000" cy="3446145"/>
                    </a:xfrm>
                    <a:prstGeom prst="rect">
                      <a:avLst/>
                    </a:prstGeom>
                  </pic:spPr>
                </pic:pic>
              </a:graphicData>
            </a:graphic>
          </wp:inline>
        </w:drawing>
      </w:r>
    </w:p>
    <w:p w14:paraId="329494AE" w14:textId="0CBFFA70" w:rsidR="00330AB9" w:rsidRDefault="00330AB9" w:rsidP="00850AD7">
      <w:pPr>
        <w:spacing w:line="240" w:lineRule="auto"/>
        <w:jc w:val="both"/>
        <w:rPr>
          <w:rFonts w:ascii="Arial" w:hAnsi="Arial" w:cs="Arial"/>
          <w:sz w:val="22"/>
          <w:szCs w:val="22"/>
        </w:rPr>
      </w:pPr>
      <w:r w:rsidRPr="00330AB9">
        <w:rPr>
          <w:rFonts w:ascii="Arial" w:hAnsi="Arial" w:cs="Arial"/>
          <w:b/>
          <w:bCs/>
          <w:sz w:val="20"/>
          <w:szCs w:val="20"/>
        </w:rPr>
        <w:t xml:space="preserve">Figure </w:t>
      </w:r>
      <w:r w:rsidR="00C03201">
        <w:rPr>
          <w:rFonts w:ascii="Arial" w:hAnsi="Arial" w:cs="Arial"/>
          <w:b/>
          <w:bCs/>
          <w:sz w:val="20"/>
          <w:szCs w:val="20"/>
        </w:rPr>
        <w:t>S</w:t>
      </w:r>
      <w:r w:rsidRPr="00330AB9">
        <w:rPr>
          <w:rFonts w:ascii="Arial" w:hAnsi="Arial" w:cs="Arial"/>
          <w:b/>
          <w:bCs/>
          <w:sz w:val="20"/>
          <w:szCs w:val="20"/>
        </w:rPr>
        <w:t>1 | Summary of univariable Cox regression hazard ratios and concordance indices for all gene mutation probability scores in invasive lung adenocarcinoma</w:t>
      </w:r>
      <w:r w:rsidR="00612840">
        <w:rPr>
          <w:rFonts w:ascii="Arial" w:hAnsi="Arial" w:cs="Arial"/>
          <w:b/>
          <w:bCs/>
          <w:sz w:val="20"/>
          <w:szCs w:val="20"/>
        </w:rPr>
        <w:t xml:space="preserve"> (LUAD)</w:t>
      </w:r>
      <w:r w:rsidRPr="00330AB9">
        <w:rPr>
          <w:rFonts w:ascii="Arial" w:hAnsi="Arial" w:cs="Arial"/>
          <w:b/>
          <w:bCs/>
          <w:sz w:val="20"/>
          <w:szCs w:val="20"/>
        </w:rPr>
        <w:t>.</w:t>
      </w:r>
      <w:r w:rsidRPr="00330AB9">
        <w:rPr>
          <w:rFonts w:ascii="Arial" w:hAnsi="Arial" w:cs="Arial"/>
          <w:sz w:val="22"/>
          <w:szCs w:val="22"/>
        </w:rPr>
        <w:t xml:space="preserve"> </w:t>
      </w:r>
      <w:r w:rsidR="00E64B01" w:rsidRPr="00E64B01">
        <w:rPr>
          <w:rFonts w:ascii="Arial" w:hAnsi="Arial" w:cs="Arial"/>
          <w:sz w:val="16"/>
          <w:szCs w:val="16"/>
        </w:rPr>
        <w:t xml:space="preserve">Three-panel visualization of prognostic utility across OS and PFS. </w:t>
      </w:r>
      <w:r w:rsidR="00E64B01" w:rsidRPr="00E64B01">
        <w:rPr>
          <w:rFonts w:ascii="Arial" w:hAnsi="Arial" w:cs="Arial"/>
          <w:b/>
          <w:bCs/>
          <w:i/>
          <w:iCs/>
          <w:sz w:val="16"/>
          <w:szCs w:val="16"/>
        </w:rPr>
        <w:t>Left:</w:t>
      </w:r>
      <w:r w:rsidR="00E64B01" w:rsidRPr="00E64B01">
        <w:rPr>
          <w:rFonts w:ascii="Arial" w:hAnsi="Arial" w:cs="Arial"/>
          <w:sz w:val="16"/>
          <w:szCs w:val="16"/>
        </w:rPr>
        <w:t xml:space="preserve"> Hazard ratio heatmap from univariable Cox regression using the continuous predicted probability as covariate. Cell color encodes HR magnitude on a red (adverse; HR &gt; 1) to blue (protective; HR &lt; 1) scale. HR point estimates and 95% confidence intervals are shown within each cell. Grey cells indicate insufficient events or unstable estimates. </w:t>
      </w:r>
      <w:r w:rsidR="00E64B01" w:rsidRPr="00A8335C">
        <w:rPr>
          <w:rFonts w:ascii="Arial" w:hAnsi="Arial" w:cs="Arial"/>
          <w:b/>
          <w:bCs/>
          <w:i/>
          <w:iCs/>
          <w:sz w:val="16"/>
          <w:szCs w:val="16"/>
        </w:rPr>
        <w:t>Centre:</w:t>
      </w:r>
      <w:r w:rsidR="00E64B01" w:rsidRPr="00E64B01">
        <w:rPr>
          <w:rFonts w:ascii="Arial" w:hAnsi="Arial" w:cs="Arial"/>
          <w:sz w:val="16"/>
          <w:szCs w:val="16"/>
        </w:rPr>
        <w:t xml:space="preserve"> Hazard ratio heatmap from univariable Cox regression using </w:t>
      </w:r>
      <w:proofErr w:type="gramStart"/>
      <w:r w:rsidR="00E64B01" w:rsidRPr="00E64B01">
        <w:rPr>
          <w:rFonts w:ascii="Arial" w:hAnsi="Arial" w:cs="Arial"/>
          <w:sz w:val="16"/>
          <w:szCs w:val="16"/>
        </w:rPr>
        <w:t>median</w:t>
      </w:r>
      <w:proofErr w:type="gramEnd"/>
      <w:r w:rsidR="00E64B01" w:rsidRPr="00E64B01">
        <w:rPr>
          <w:rFonts w:ascii="Arial" w:hAnsi="Arial" w:cs="Arial"/>
          <w:sz w:val="16"/>
          <w:szCs w:val="16"/>
        </w:rPr>
        <w:t xml:space="preserve">-split binary classification. </w:t>
      </w:r>
      <w:r w:rsidR="00E64B01" w:rsidRPr="00A8335C">
        <w:rPr>
          <w:rFonts w:ascii="Arial" w:hAnsi="Arial" w:cs="Arial"/>
          <w:b/>
          <w:bCs/>
          <w:i/>
          <w:iCs/>
          <w:sz w:val="16"/>
          <w:szCs w:val="16"/>
        </w:rPr>
        <w:t>Right:</w:t>
      </w:r>
      <w:r w:rsidR="00E64B01" w:rsidRPr="00E64B01">
        <w:rPr>
          <w:rFonts w:ascii="Arial" w:hAnsi="Arial" w:cs="Arial"/>
          <w:sz w:val="16"/>
          <w:szCs w:val="16"/>
        </w:rPr>
        <w:t xml:space="preserve"> Concordance index (C-index) heatmap for the continuous predicted probability score (negated, such that higher probability corresponds to higher predicted risk), with a blue color scale ranging from 0.50 (random cla</w:t>
      </w:r>
      <w:r w:rsidR="003701F3">
        <w:rPr>
          <w:rFonts w:ascii="Arial" w:hAnsi="Arial" w:cs="Arial"/>
          <w:sz w:val="16"/>
          <w:szCs w:val="16"/>
        </w:rPr>
        <w:t>ssifier)</w:t>
      </w:r>
      <w:r w:rsidR="00E64B01" w:rsidRPr="00E64B01">
        <w:rPr>
          <w:rFonts w:ascii="Arial" w:hAnsi="Arial" w:cs="Arial"/>
          <w:sz w:val="16"/>
          <w:szCs w:val="16"/>
        </w:rPr>
        <w:t xml:space="preserve"> to 1.00 (perfect discrimination). Significance designations reflect unadjusted P values: ns P ≥ 0.05; *P &lt; 0.05; **P &lt; 0.01; ***P &lt; 0.001; ****P &lt; 0.0001. Grey cells indicate insufficient data or unstable estimates.</w:t>
      </w:r>
    </w:p>
    <w:p w14:paraId="6974D3ED" w14:textId="56E4BAEA" w:rsidR="001168D9" w:rsidRDefault="001168D9"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6D0D4980" wp14:editId="4E02945D">
            <wp:extent cx="3393440" cy="9144000"/>
            <wp:effectExtent l="0" t="0" r="0" b="0"/>
            <wp:docPr id="1334471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471661" name="Picture 133447166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93440" cy="9144000"/>
                    </a:xfrm>
                    <a:prstGeom prst="rect">
                      <a:avLst/>
                    </a:prstGeom>
                  </pic:spPr>
                </pic:pic>
              </a:graphicData>
            </a:graphic>
          </wp:inline>
        </w:drawing>
      </w:r>
      <w:r w:rsidR="00C81C7D">
        <w:rPr>
          <w:rFonts w:ascii="Arial" w:hAnsi="Arial" w:cs="Arial"/>
          <w:noProof/>
          <w:sz w:val="22"/>
          <w:szCs w:val="22"/>
        </w:rPr>
        <w:drawing>
          <wp:inline distT="0" distB="0" distL="0" distR="0" wp14:anchorId="1FE37ECC" wp14:editId="3C414A53">
            <wp:extent cx="3397885" cy="9144000"/>
            <wp:effectExtent l="0" t="0" r="0" b="0"/>
            <wp:docPr id="935484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84100" name="Picture 9354841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97885" cy="9144000"/>
                    </a:xfrm>
                    <a:prstGeom prst="rect">
                      <a:avLst/>
                    </a:prstGeom>
                  </pic:spPr>
                </pic:pic>
              </a:graphicData>
            </a:graphic>
          </wp:inline>
        </w:drawing>
      </w:r>
    </w:p>
    <w:p w14:paraId="242A312E" w14:textId="43FCA479" w:rsidR="00DF035E" w:rsidRPr="00850AD7" w:rsidRDefault="00DF035E" w:rsidP="00850AD7">
      <w:pPr>
        <w:spacing w:line="240" w:lineRule="auto"/>
        <w:jc w:val="both"/>
        <w:rPr>
          <w:rFonts w:ascii="Arial" w:hAnsi="Arial" w:cs="Arial"/>
          <w:sz w:val="22"/>
          <w:szCs w:val="22"/>
        </w:rPr>
      </w:pPr>
      <w:r w:rsidRPr="007B070A">
        <w:rPr>
          <w:rFonts w:ascii="Arial" w:hAnsi="Arial" w:cs="Arial"/>
          <w:b/>
          <w:bCs/>
          <w:sz w:val="20"/>
          <w:szCs w:val="20"/>
        </w:rPr>
        <w:lastRenderedPageBreak/>
        <w:t xml:space="preserve">Figure </w:t>
      </w:r>
      <w:r w:rsidR="00C03201">
        <w:rPr>
          <w:rFonts w:ascii="Arial" w:hAnsi="Arial" w:cs="Arial"/>
          <w:b/>
          <w:bCs/>
          <w:sz w:val="20"/>
          <w:szCs w:val="20"/>
        </w:rPr>
        <w:t>S</w:t>
      </w:r>
      <w:r w:rsidR="00153689">
        <w:rPr>
          <w:rFonts w:ascii="Arial" w:hAnsi="Arial" w:cs="Arial"/>
          <w:b/>
          <w:bCs/>
          <w:sz w:val="20"/>
          <w:szCs w:val="20"/>
        </w:rPr>
        <w:t>2</w:t>
      </w:r>
      <w:r w:rsidRPr="007B070A">
        <w:rPr>
          <w:rFonts w:ascii="Arial" w:hAnsi="Arial" w:cs="Arial"/>
          <w:b/>
          <w:bCs/>
          <w:sz w:val="20"/>
          <w:szCs w:val="20"/>
        </w:rPr>
        <w:t xml:space="preserve"> | Kaplan–Meier survival analysis for </w:t>
      </w:r>
      <w:r w:rsidR="00445CAB" w:rsidRPr="00445CAB">
        <w:rPr>
          <w:rFonts w:ascii="Arial" w:hAnsi="Arial" w:cs="Arial"/>
          <w:b/>
          <w:bCs/>
          <w:i/>
          <w:iCs/>
          <w:sz w:val="20"/>
          <w:szCs w:val="20"/>
        </w:rPr>
        <w:t>APC</w:t>
      </w:r>
      <w:r w:rsidRPr="007B070A">
        <w:rPr>
          <w:rFonts w:ascii="Arial" w:hAnsi="Arial" w:cs="Arial"/>
          <w:b/>
          <w:bCs/>
          <w:sz w:val="20"/>
          <w:szCs w:val="20"/>
        </w:rPr>
        <w:t xml:space="preserve">, </w:t>
      </w:r>
      <w:r w:rsidR="00445CAB" w:rsidRPr="00445CAB">
        <w:rPr>
          <w:rFonts w:ascii="Arial" w:hAnsi="Arial" w:cs="Arial"/>
          <w:b/>
          <w:bCs/>
          <w:i/>
          <w:iCs/>
          <w:sz w:val="20"/>
          <w:szCs w:val="20"/>
        </w:rPr>
        <w:t>PIK3CA</w:t>
      </w:r>
      <w:r w:rsidRPr="007B070A">
        <w:rPr>
          <w:rFonts w:ascii="Arial" w:hAnsi="Arial" w:cs="Arial"/>
          <w:b/>
          <w:bCs/>
          <w:sz w:val="20"/>
          <w:szCs w:val="20"/>
        </w:rPr>
        <w:t xml:space="preserve">, </w:t>
      </w:r>
      <w:r w:rsidR="00445CAB" w:rsidRPr="00445CAB">
        <w:rPr>
          <w:rFonts w:ascii="Arial" w:hAnsi="Arial" w:cs="Arial"/>
          <w:b/>
          <w:bCs/>
          <w:i/>
          <w:iCs/>
          <w:sz w:val="20"/>
          <w:szCs w:val="20"/>
        </w:rPr>
        <w:t>KMT2D</w:t>
      </w:r>
      <w:r w:rsidRPr="007B070A">
        <w:rPr>
          <w:rFonts w:ascii="Arial" w:hAnsi="Arial" w:cs="Arial"/>
          <w:b/>
          <w:bCs/>
          <w:sz w:val="20"/>
          <w:szCs w:val="20"/>
        </w:rPr>
        <w:t xml:space="preserve">, </w:t>
      </w:r>
      <w:r w:rsidR="00445CAB" w:rsidRPr="00445CAB">
        <w:rPr>
          <w:rFonts w:ascii="Arial" w:hAnsi="Arial" w:cs="Arial"/>
          <w:b/>
          <w:bCs/>
          <w:i/>
          <w:iCs/>
          <w:sz w:val="20"/>
          <w:szCs w:val="20"/>
        </w:rPr>
        <w:t>KRAS</w:t>
      </w:r>
      <w:r w:rsidRPr="007B070A">
        <w:rPr>
          <w:rFonts w:ascii="Arial" w:hAnsi="Arial" w:cs="Arial"/>
          <w:b/>
          <w:bCs/>
          <w:sz w:val="20"/>
          <w:szCs w:val="20"/>
        </w:rPr>
        <w:t xml:space="preserve">, </w:t>
      </w:r>
      <w:r w:rsidR="00445CAB" w:rsidRPr="00445CAB">
        <w:rPr>
          <w:rFonts w:ascii="Arial" w:hAnsi="Arial" w:cs="Arial"/>
          <w:b/>
          <w:bCs/>
          <w:i/>
          <w:iCs/>
          <w:sz w:val="20"/>
          <w:szCs w:val="20"/>
        </w:rPr>
        <w:t>TTN</w:t>
      </w:r>
      <w:r w:rsidR="007B070A" w:rsidRPr="007B070A">
        <w:rPr>
          <w:rFonts w:ascii="Arial" w:hAnsi="Arial" w:cs="Arial"/>
          <w:b/>
          <w:bCs/>
          <w:sz w:val="20"/>
          <w:szCs w:val="20"/>
        </w:rPr>
        <w:t xml:space="preserve">, and </w:t>
      </w:r>
      <w:r w:rsidR="00445CAB" w:rsidRPr="00445CAB">
        <w:rPr>
          <w:rFonts w:ascii="Arial" w:hAnsi="Arial" w:cs="Arial"/>
          <w:b/>
          <w:bCs/>
          <w:i/>
          <w:iCs/>
          <w:sz w:val="20"/>
          <w:szCs w:val="20"/>
        </w:rPr>
        <w:t>TP53</w:t>
      </w:r>
      <w:r w:rsidRPr="007B070A">
        <w:rPr>
          <w:rFonts w:ascii="Arial" w:hAnsi="Arial" w:cs="Arial"/>
          <w:b/>
          <w:bCs/>
          <w:sz w:val="20"/>
          <w:szCs w:val="20"/>
        </w:rPr>
        <w:t xml:space="preserve"> mutation probability scores </w:t>
      </w:r>
      <w:r w:rsidR="000433B6" w:rsidRPr="000433B6">
        <w:rPr>
          <w:rFonts w:ascii="Arial" w:hAnsi="Arial" w:cs="Arial"/>
          <w:b/>
          <w:bCs/>
          <w:sz w:val="20"/>
          <w:szCs w:val="20"/>
        </w:rPr>
        <w:t>across DFS, OS, and RFS in invasive lung adenocarcinoma (LUAD; n = 189)</w:t>
      </w:r>
      <w:r w:rsidRPr="007B070A">
        <w:rPr>
          <w:rFonts w:ascii="Arial" w:hAnsi="Arial" w:cs="Arial"/>
          <w:b/>
          <w:bCs/>
          <w:sz w:val="20"/>
          <w:szCs w:val="20"/>
        </w:rPr>
        <w:t>.</w:t>
      </w:r>
      <w:r w:rsidRPr="00DF035E">
        <w:rPr>
          <w:rFonts w:ascii="Arial" w:hAnsi="Arial" w:cs="Arial"/>
          <w:sz w:val="22"/>
          <w:szCs w:val="22"/>
        </w:rPr>
        <w:t xml:space="preserve"> </w:t>
      </w:r>
      <w:r w:rsidRPr="007B070A">
        <w:rPr>
          <w:rFonts w:ascii="Arial" w:hAnsi="Arial" w:cs="Arial"/>
          <w:sz w:val="16"/>
          <w:szCs w:val="16"/>
        </w:rPr>
        <w:t xml:space="preserve">Kaplan–Meier curves for </w:t>
      </w:r>
      <w:r w:rsidR="00612840">
        <w:rPr>
          <w:rFonts w:ascii="Arial" w:hAnsi="Arial" w:cs="Arial"/>
          <w:sz w:val="16"/>
          <w:szCs w:val="16"/>
        </w:rPr>
        <w:t xml:space="preserve">disease-free survival (DFS), </w:t>
      </w:r>
      <w:r w:rsidRPr="007B070A">
        <w:rPr>
          <w:rFonts w:ascii="Arial" w:hAnsi="Arial" w:cs="Arial"/>
          <w:sz w:val="16"/>
          <w:szCs w:val="16"/>
        </w:rPr>
        <w:t>overall survival (OS) and progression-free survival (PFS) stratified by GenoGlyph-predicted mutation probability using two thresholding strategies: median split</w:t>
      </w:r>
      <w:r w:rsidR="00053CC6">
        <w:rPr>
          <w:rFonts w:ascii="Arial" w:hAnsi="Arial" w:cs="Arial"/>
          <w:sz w:val="16"/>
          <w:szCs w:val="16"/>
        </w:rPr>
        <w:t xml:space="preserve"> (left)</w:t>
      </w:r>
      <w:r w:rsidRPr="007B070A">
        <w:rPr>
          <w:rFonts w:ascii="Arial" w:hAnsi="Arial" w:cs="Arial"/>
          <w:sz w:val="16"/>
          <w:szCs w:val="16"/>
        </w:rPr>
        <w:t xml:space="preserve"> and binary threshold at 0.5 (right). Red curves indicate the High-probability group; blue curves indicate the Low-probability group. Shaded regions represent 95% confidence intervals. Number-at-risk tables are shown below each panel. P values from log-rank tests are displayed in the upper right of each panel; ns, not significant (P ≥ 0.05); *P &lt; 0.05.</w:t>
      </w:r>
    </w:p>
    <w:p w14:paraId="3A554631" w14:textId="77777777" w:rsidR="00850AD7" w:rsidRPr="00850AD7" w:rsidRDefault="00850AD7" w:rsidP="00850AD7">
      <w:pPr>
        <w:spacing w:line="240" w:lineRule="auto"/>
        <w:jc w:val="both"/>
        <w:rPr>
          <w:rFonts w:ascii="Arial" w:hAnsi="Arial" w:cs="Arial"/>
          <w:b/>
          <w:bCs/>
          <w:sz w:val="22"/>
          <w:szCs w:val="22"/>
        </w:rPr>
      </w:pPr>
      <w:r w:rsidRPr="00850AD7">
        <w:rPr>
          <w:rFonts w:ascii="Arial" w:hAnsi="Arial" w:cs="Arial"/>
          <w:b/>
          <w:bCs/>
          <w:sz w:val="22"/>
          <w:szCs w:val="22"/>
        </w:rPr>
        <w:t>Colorectal Adenocarcinoma (CRC; n = 422)</w:t>
      </w:r>
    </w:p>
    <w:p w14:paraId="7472AB1A"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The CRC cohort was the largest in this study, comprising 422 patients with 144 OS events, 144 DFS events, and 137 RFS events, with follow-up sufficient to evaluate all five landmark timepoints.</w:t>
      </w:r>
    </w:p>
    <w:p w14:paraId="6E1AF476" w14:textId="6D4C7EB2"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BRAF</w:t>
      </w:r>
      <w:r w:rsidR="00850AD7" w:rsidRPr="00850AD7">
        <w:rPr>
          <w:rFonts w:ascii="Arial" w:hAnsi="Arial" w:cs="Arial"/>
          <w:sz w:val="22"/>
          <w:szCs w:val="22"/>
        </w:rPr>
        <w:t xml:space="preserve"> mutation probability yielded the strongest and most statistically robust continuous Cox associations in the entire dataset. Continuous Cox regression demonstrated significant adverse associations with OS (HR = 2.01, 95% CI 1.28–3.16, p = 0.003, FDR q = 0.018), DFS (HR = 2.17, 95% CI 1.39–3.40, p = 0.001, FDR q = 0.005), and RFS (HR = 2.28, 95% CI 1.45–3.59, p &lt; 0.001, FDR q = 0.003). These FDR-adjusted associations confirm that </w:t>
      </w:r>
      <w:r w:rsidRPr="00445CAB">
        <w:rPr>
          <w:rFonts w:ascii="Arial" w:hAnsi="Arial" w:cs="Arial"/>
          <w:i/>
          <w:iCs/>
          <w:sz w:val="22"/>
          <w:szCs w:val="22"/>
        </w:rPr>
        <w:t>BRAF</w:t>
      </w:r>
      <w:r w:rsidR="00850AD7" w:rsidRPr="00850AD7">
        <w:rPr>
          <w:rFonts w:ascii="Arial" w:hAnsi="Arial" w:cs="Arial"/>
          <w:sz w:val="22"/>
          <w:szCs w:val="22"/>
        </w:rPr>
        <w:t xml:space="preserve"> probability carries robust prognostic information independent of multiple testing. The binary median split did not reach significance (p = 0.09–0.15), indicating that the prognostic information is encoded in the continuous probability gradient and is partially lost upon dichotomization. Consistently with this, landmark analyses revealed significant differences at all five timepoints for OS (1yr p &lt; 0.05 through 4yr), with </w:t>
      </w:r>
      <w:r w:rsidRPr="00445CAB">
        <w:rPr>
          <w:rFonts w:ascii="Arial" w:hAnsi="Arial" w:cs="Arial"/>
          <w:i/>
          <w:iCs/>
          <w:sz w:val="22"/>
          <w:szCs w:val="22"/>
        </w:rPr>
        <w:t>BRAF</w:t>
      </w:r>
      <w:r w:rsidR="00850AD7" w:rsidRPr="00850AD7">
        <w:rPr>
          <w:rFonts w:ascii="Arial" w:hAnsi="Arial" w:cs="Arial"/>
          <w:sz w:val="22"/>
          <w:szCs w:val="22"/>
        </w:rPr>
        <w:t xml:space="preserve">-High patients showing notably lower 2-year OS (83.9% vs 92.4%). These findings are consistent with the well-established adverse prognostic role of </w:t>
      </w:r>
      <w:r w:rsidRPr="00445CAB">
        <w:rPr>
          <w:rFonts w:ascii="Arial" w:hAnsi="Arial" w:cs="Arial"/>
          <w:i/>
          <w:iCs/>
          <w:sz w:val="22"/>
          <w:szCs w:val="22"/>
        </w:rPr>
        <w:t>BRAF</w:t>
      </w:r>
      <w:r w:rsidR="00850AD7" w:rsidRPr="00850AD7">
        <w:rPr>
          <w:rFonts w:ascii="Arial" w:hAnsi="Arial" w:cs="Arial"/>
          <w:sz w:val="22"/>
          <w:szCs w:val="22"/>
        </w:rPr>
        <w:t xml:space="preserve"> mutation in CRC, particularly in microsatellite-stable tumors.</w:t>
      </w:r>
    </w:p>
    <w:p w14:paraId="1B2141FD" w14:textId="226BC2E4"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KRAS</w:t>
      </w:r>
      <w:r w:rsidR="00850AD7" w:rsidRPr="00850AD7">
        <w:rPr>
          <w:rFonts w:ascii="Arial" w:hAnsi="Arial" w:cs="Arial"/>
          <w:sz w:val="22"/>
          <w:szCs w:val="22"/>
        </w:rPr>
        <w:t xml:space="preserve"> mutation probability provided the most stable, temporally consistent prognostic stratification across all survival endpoints. Binary median split yielded HRs of 1.68 (OS, p = 0.002), 1.60 (DFS, p = 0.005), and 1.55 (RFS, p = 0.011), demonstrating that patients with high predicted </w:t>
      </w:r>
      <w:r w:rsidRPr="00445CAB">
        <w:rPr>
          <w:rFonts w:ascii="Arial" w:hAnsi="Arial" w:cs="Arial"/>
          <w:i/>
          <w:iCs/>
          <w:sz w:val="22"/>
          <w:szCs w:val="22"/>
        </w:rPr>
        <w:t>KRAS</w:t>
      </w:r>
      <w:r w:rsidR="00850AD7" w:rsidRPr="00850AD7">
        <w:rPr>
          <w:rFonts w:ascii="Arial" w:hAnsi="Arial" w:cs="Arial"/>
          <w:sz w:val="22"/>
          <w:szCs w:val="22"/>
        </w:rPr>
        <w:t xml:space="preserve"> mutation probability have uniformly inferior outcomes across recurrence and survival metrics. Landmark analyses were remarkable for their consistency: OS differences reached significance at 1, 2, 3, 4, and 5 years (2yr OS: 82.9% vs 93.4%, p &lt; 0.001; 5yr OS: 69.7% vs 82.0%, p &lt; 0.01), as did DFS and RFS across all five timepoints. This landmark-persistent signal represents the most temporally sustained prognostic stratification observed across all cohorts and genes in this study.</w:t>
      </w:r>
    </w:p>
    <w:p w14:paraId="65ED48C5" w14:textId="1DAE4EC4"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KMT2D</w:t>
      </w:r>
      <w:r w:rsidR="00850AD7" w:rsidRPr="00850AD7">
        <w:rPr>
          <w:rFonts w:ascii="Arial" w:hAnsi="Arial" w:cs="Arial"/>
          <w:sz w:val="22"/>
          <w:szCs w:val="22"/>
        </w:rPr>
        <w:t xml:space="preserve"> mutation probability demonstrated consistent prognostic significance across all three endpoints by binary median split (OS HR = 1.40, p = 0.042; DFS HR = 1.43, p = 0.031; RFS HR = 1.47, p = 0.024). Landmark analyses were particularly compelling, with 2-year and beyond landmark tests reaching ** or *** across OS, DFS, and RFS (5yr OS: 69.2% High vs 82.5% Low, p &lt; 0.001). Notably, </w:t>
      </w:r>
      <w:r w:rsidRPr="00445CAB">
        <w:rPr>
          <w:rFonts w:ascii="Arial" w:hAnsi="Arial" w:cs="Arial"/>
          <w:i/>
          <w:iCs/>
          <w:sz w:val="22"/>
          <w:szCs w:val="22"/>
        </w:rPr>
        <w:t>KMT2D</w:t>
      </w:r>
      <w:r w:rsidR="00850AD7" w:rsidRPr="00850AD7">
        <w:rPr>
          <w:rFonts w:ascii="Arial" w:hAnsi="Arial" w:cs="Arial"/>
          <w:sz w:val="22"/>
          <w:szCs w:val="22"/>
        </w:rPr>
        <w:t>'s landmark profile was among the strongest in the cohort at the 3–</w:t>
      </w:r>
      <w:proofErr w:type="gramStart"/>
      <w:r w:rsidR="00850AD7" w:rsidRPr="00850AD7">
        <w:rPr>
          <w:rFonts w:ascii="Arial" w:hAnsi="Arial" w:cs="Arial"/>
          <w:sz w:val="22"/>
          <w:szCs w:val="22"/>
        </w:rPr>
        <w:t>5 year</w:t>
      </w:r>
      <w:proofErr w:type="gramEnd"/>
      <w:r w:rsidR="00850AD7" w:rsidRPr="00850AD7">
        <w:rPr>
          <w:rFonts w:ascii="Arial" w:hAnsi="Arial" w:cs="Arial"/>
          <w:sz w:val="22"/>
          <w:szCs w:val="22"/>
        </w:rPr>
        <w:t xml:space="preserve"> timepoints, with OS differences of approximately 13 percentage points persisting at year 5. These findings implicate </w:t>
      </w:r>
      <w:r w:rsidRPr="00445CAB">
        <w:rPr>
          <w:rFonts w:ascii="Arial" w:hAnsi="Arial" w:cs="Arial"/>
          <w:i/>
          <w:iCs/>
          <w:sz w:val="22"/>
          <w:szCs w:val="22"/>
        </w:rPr>
        <w:t>KMT2D</w:t>
      </w:r>
      <w:r w:rsidR="00850AD7" w:rsidRPr="00850AD7">
        <w:rPr>
          <w:rFonts w:ascii="Arial" w:hAnsi="Arial" w:cs="Arial"/>
          <w:sz w:val="22"/>
          <w:szCs w:val="22"/>
        </w:rPr>
        <w:t>-associated chromatin remodeling phenotypes as a durable histomorphological marker of CRC prognosis.</w:t>
      </w:r>
    </w:p>
    <w:p w14:paraId="5B0DA0CE" w14:textId="2CC9D702" w:rsid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APC</w:t>
      </w:r>
      <w:r w:rsidR="00850AD7" w:rsidRPr="00850AD7">
        <w:rPr>
          <w:rFonts w:ascii="Arial" w:hAnsi="Arial" w:cs="Arial"/>
          <w:sz w:val="22"/>
          <w:szCs w:val="22"/>
        </w:rPr>
        <w:t xml:space="preserve"> and </w:t>
      </w:r>
      <w:r w:rsidRPr="00445CAB">
        <w:rPr>
          <w:rFonts w:ascii="Arial" w:hAnsi="Arial" w:cs="Arial"/>
          <w:i/>
          <w:iCs/>
          <w:sz w:val="22"/>
          <w:szCs w:val="22"/>
        </w:rPr>
        <w:t>TP53</w:t>
      </w:r>
      <w:r w:rsidR="00850AD7" w:rsidRPr="00850AD7">
        <w:rPr>
          <w:rFonts w:ascii="Arial" w:hAnsi="Arial" w:cs="Arial"/>
          <w:sz w:val="22"/>
          <w:szCs w:val="22"/>
        </w:rPr>
        <w:t xml:space="preserve"> probability scores did not reach overall log-rank significance in CRC. However, both showed isolated significant landmark tests</w:t>
      </w:r>
      <w:r w:rsidR="00850AD7">
        <w:rPr>
          <w:rFonts w:ascii="Arial" w:hAnsi="Arial" w:cs="Arial"/>
          <w:sz w:val="22"/>
          <w:szCs w:val="22"/>
        </w:rPr>
        <w:t>,</w:t>
      </w:r>
      <w:r w:rsidR="00850AD7" w:rsidRPr="00850AD7">
        <w:rPr>
          <w:rFonts w:ascii="Arial" w:hAnsi="Arial" w:cs="Arial"/>
          <w:sz w:val="22"/>
          <w:szCs w:val="22"/>
        </w:rPr>
        <w:t xml:space="preserve"> </w:t>
      </w:r>
      <w:r w:rsidRPr="00445CAB">
        <w:rPr>
          <w:rFonts w:ascii="Arial" w:hAnsi="Arial" w:cs="Arial"/>
          <w:i/>
          <w:iCs/>
          <w:sz w:val="22"/>
          <w:szCs w:val="22"/>
        </w:rPr>
        <w:t>APC</w:t>
      </w:r>
      <w:r w:rsidR="00850AD7" w:rsidRPr="00850AD7">
        <w:rPr>
          <w:rFonts w:ascii="Arial" w:hAnsi="Arial" w:cs="Arial"/>
          <w:sz w:val="22"/>
          <w:szCs w:val="22"/>
        </w:rPr>
        <w:t xml:space="preserve"> at the 1-year DFS landmark (**) and </w:t>
      </w:r>
      <w:r w:rsidRPr="00445CAB">
        <w:rPr>
          <w:rFonts w:ascii="Arial" w:hAnsi="Arial" w:cs="Arial"/>
          <w:i/>
          <w:sz w:val="22"/>
          <w:szCs w:val="22"/>
        </w:rPr>
        <w:t>TP53</w:t>
      </w:r>
      <w:r w:rsidR="00850AD7" w:rsidRPr="00850AD7">
        <w:rPr>
          <w:rFonts w:ascii="Arial" w:hAnsi="Arial" w:cs="Arial"/>
          <w:sz w:val="22"/>
          <w:szCs w:val="22"/>
        </w:rPr>
        <w:t xml:space="preserve"> at OS landmarks at 3 and 4 years (*). Notably, both </w:t>
      </w:r>
      <w:r w:rsidRPr="00445CAB">
        <w:rPr>
          <w:rFonts w:ascii="Arial" w:hAnsi="Arial" w:cs="Arial"/>
          <w:i/>
          <w:iCs/>
          <w:sz w:val="22"/>
          <w:szCs w:val="22"/>
        </w:rPr>
        <w:t>APC</w:t>
      </w:r>
      <w:r w:rsidR="00850AD7" w:rsidRPr="00850AD7">
        <w:rPr>
          <w:rFonts w:ascii="Arial" w:hAnsi="Arial" w:cs="Arial"/>
          <w:sz w:val="22"/>
          <w:szCs w:val="22"/>
        </w:rPr>
        <w:t xml:space="preserve"> and </w:t>
      </w:r>
      <w:r w:rsidRPr="00445CAB">
        <w:rPr>
          <w:rFonts w:ascii="Arial" w:hAnsi="Arial" w:cs="Arial"/>
          <w:i/>
          <w:iCs/>
          <w:sz w:val="22"/>
          <w:szCs w:val="22"/>
        </w:rPr>
        <w:t>TP53</w:t>
      </w:r>
      <w:r w:rsidR="00850AD7" w:rsidRPr="00850AD7">
        <w:rPr>
          <w:rFonts w:ascii="Arial" w:hAnsi="Arial" w:cs="Arial"/>
          <w:sz w:val="22"/>
          <w:szCs w:val="22"/>
        </w:rPr>
        <w:t xml:space="preserve"> were associated with better early survival in their High probability groups (e.g., 1yr OS: </w:t>
      </w:r>
      <w:r w:rsidRPr="00445CAB">
        <w:rPr>
          <w:rFonts w:ascii="Arial" w:hAnsi="Arial" w:cs="Arial"/>
          <w:i/>
          <w:iCs/>
          <w:sz w:val="22"/>
          <w:szCs w:val="22"/>
        </w:rPr>
        <w:t>TP53</w:t>
      </w:r>
      <w:r w:rsidR="00850AD7" w:rsidRPr="00850AD7">
        <w:rPr>
          <w:rFonts w:ascii="Arial" w:hAnsi="Arial" w:cs="Arial"/>
          <w:sz w:val="22"/>
          <w:szCs w:val="22"/>
        </w:rPr>
        <w:t xml:space="preserve">-High 98.6% vs Low 95.3%), suggesting a paradoxical protective directionality of these probability scores in CRC, possibly reflecting that histomorphological features associated with high </w:t>
      </w:r>
      <w:r w:rsidRPr="00445CAB">
        <w:rPr>
          <w:rFonts w:ascii="Arial" w:hAnsi="Arial" w:cs="Arial"/>
          <w:i/>
          <w:iCs/>
          <w:sz w:val="22"/>
          <w:szCs w:val="22"/>
        </w:rPr>
        <w:t>TP53</w:t>
      </w:r>
      <w:r w:rsidR="00850AD7" w:rsidRPr="00850AD7">
        <w:rPr>
          <w:rFonts w:ascii="Arial" w:hAnsi="Arial" w:cs="Arial"/>
          <w:sz w:val="22"/>
          <w:szCs w:val="22"/>
        </w:rPr>
        <w:t>/</w:t>
      </w:r>
      <w:r w:rsidRPr="00445CAB">
        <w:rPr>
          <w:rFonts w:ascii="Arial" w:hAnsi="Arial" w:cs="Arial"/>
          <w:i/>
          <w:iCs/>
          <w:sz w:val="22"/>
          <w:szCs w:val="22"/>
        </w:rPr>
        <w:t>APC</w:t>
      </w:r>
      <w:r w:rsidR="00850AD7" w:rsidRPr="00850AD7">
        <w:rPr>
          <w:rFonts w:ascii="Arial" w:hAnsi="Arial" w:cs="Arial"/>
          <w:sz w:val="22"/>
          <w:szCs w:val="22"/>
        </w:rPr>
        <w:t xml:space="preserve"> mutation probability in this cohort encode differentiation states with favorable early outcomes. </w:t>
      </w:r>
      <w:r w:rsidRPr="00445CAB">
        <w:rPr>
          <w:rFonts w:ascii="Arial" w:hAnsi="Arial" w:cs="Arial"/>
          <w:i/>
          <w:iCs/>
          <w:sz w:val="22"/>
          <w:szCs w:val="22"/>
        </w:rPr>
        <w:t>PIK3CA</w:t>
      </w:r>
      <w:r w:rsidR="00850AD7" w:rsidRPr="00850AD7">
        <w:rPr>
          <w:rFonts w:ascii="Arial" w:hAnsi="Arial" w:cs="Arial"/>
          <w:sz w:val="22"/>
          <w:szCs w:val="22"/>
        </w:rPr>
        <w:t xml:space="preserve"> showed a nominally protective continuous Cox association (HR ≈ 0.36–0.43, p ≈ 0.04–0.10) with poor survival, but this did not survive FDR correction. </w:t>
      </w:r>
      <w:r w:rsidRPr="00445CAB">
        <w:rPr>
          <w:rFonts w:ascii="Arial" w:hAnsi="Arial" w:cs="Arial"/>
          <w:i/>
          <w:iCs/>
          <w:sz w:val="22"/>
          <w:szCs w:val="22"/>
        </w:rPr>
        <w:t>TTN</w:t>
      </w:r>
      <w:r w:rsidR="00850AD7" w:rsidRPr="00850AD7">
        <w:rPr>
          <w:rFonts w:ascii="Arial" w:hAnsi="Arial" w:cs="Arial"/>
          <w:sz w:val="22"/>
          <w:szCs w:val="22"/>
        </w:rPr>
        <w:t xml:space="preserve"> showed an isolated significant 5-year OS landmark (*), without broader prognostic significance.</w:t>
      </w:r>
    </w:p>
    <w:p w14:paraId="4006D3F9" w14:textId="283D7E7A" w:rsidR="001E3258" w:rsidRDefault="001E3258"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5A29D161" wp14:editId="2734D54C">
            <wp:extent cx="6858000" cy="3835400"/>
            <wp:effectExtent l="0" t="0" r="0" b="0"/>
            <wp:docPr id="629825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25913" name="Picture 62982591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835400"/>
                    </a:xfrm>
                    <a:prstGeom prst="rect">
                      <a:avLst/>
                    </a:prstGeom>
                  </pic:spPr>
                </pic:pic>
              </a:graphicData>
            </a:graphic>
          </wp:inline>
        </w:drawing>
      </w:r>
    </w:p>
    <w:p w14:paraId="56A56BE5" w14:textId="77777777" w:rsidR="00E81C65" w:rsidRPr="00E81C65" w:rsidRDefault="00E81C65" w:rsidP="00E81C65">
      <w:pPr>
        <w:spacing w:line="240" w:lineRule="auto"/>
        <w:jc w:val="both"/>
        <w:rPr>
          <w:rFonts w:ascii="Arial" w:hAnsi="Arial" w:cs="Arial"/>
          <w:sz w:val="22"/>
          <w:szCs w:val="22"/>
        </w:rPr>
      </w:pPr>
    </w:p>
    <w:p w14:paraId="61668AC1" w14:textId="73E72C08" w:rsidR="00E81C65" w:rsidRDefault="00E81C65" w:rsidP="00E81C65">
      <w:pPr>
        <w:spacing w:line="240" w:lineRule="auto"/>
        <w:jc w:val="both"/>
        <w:rPr>
          <w:rFonts w:ascii="Arial" w:hAnsi="Arial" w:cs="Arial"/>
          <w:sz w:val="22"/>
          <w:szCs w:val="22"/>
        </w:rPr>
      </w:pPr>
      <w:r w:rsidRPr="00E81C65">
        <w:rPr>
          <w:rFonts w:ascii="Arial" w:hAnsi="Arial" w:cs="Arial"/>
          <w:b/>
          <w:bCs/>
          <w:sz w:val="20"/>
          <w:szCs w:val="20"/>
        </w:rPr>
        <w:t xml:space="preserve">Figure </w:t>
      </w:r>
      <w:r w:rsidR="00C03201">
        <w:rPr>
          <w:rFonts w:ascii="Arial" w:hAnsi="Arial" w:cs="Arial"/>
          <w:b/>
          <w:bCs/>
          <w:sz w:val="20"/>
          <w:szCs w:val="20"/>
        </w:rPr>
        <w:t>S</w:t>
      </w:r>
      <w:r w:rsidR="00153689">
        <w:rPr>
          <w:rFonts w:ascii="Arial" w:hAnsi="Arial" w:cs="Arial"/>
          <w:b/>
          <w:bCs/>
          <w:sz w:val="20"/>
          <w:szCs w:val="20"/>
        </w:rPr>
        <w:t>3</w:t>
      </w:r>
      <w:r w:rsidRPr="00E81C65">
        <w:rPr>
          <w:rFonts w:ascii="Arial" w:hAnsi="Arial" w:cs="Arial"/>
          <w:b/>
          <w:bCs/>
          <w:sz w:val="20"/>
          <w:szCs w:val="20"/>
        </w:rPr>
        <w:t xml:space="preserve"> | Summary of univariable Cox regression hazard ratios and concordance indices for all gene mutation probability scores in colorectal adenocarcinoma (CRC).</w:t>
      </w:r>
      <w:r w:rsidRPr="00E81C65">
        <w:rPr>
          <w:rFonts w:ascii="Arial" w:hAnsi="Arial" w:cs="Arial"/>
          <w:sz w:val="22"/>
          <w:szCs w:val="22"/>
        </w:rPr>
        <w:t xml:space="preserve"> </w:t>
      </w:r>
      <w:r w:rsidRPr="00E81C65">
        <w:rPr>
          <w:rFonts w:ascii="Arial" w:hAnsi="Arial" w:cs="Arial"/>
          <w:sz w:val="16"/>
          <w:szCs w:val="16"/>
        </w:rPr>
        <w:t xml:space="preserve">Three-panel visualization of prognostic utility across OS, DFS, and RFS. </w:t>
      </w:r>
      <w:r w:rsidRPr="00A8335C">
        <w:rPr>
          <w:rFonts w:ascii="Arial" w:hAnsi="Arial" w:cs="Arial"/>
          <w:b/>
          <w:bCs/>
          <w:i/>
          <w:iCs/>
          <w:sz w:val="16"/>
          <w:szCs w:val="16"/>
        </w:rPr>
        <w:t>Left:</w:t>
      </w:r>
      <w:r w:rsidRPr="00E81C65">
        <w:rPr>
          <w:rFonts w:ascii="Arial" w:hAnsi="Arial" w:cs="Arial"/>
          <w:sz w:val="16"/>
          <w:szCs w:val="16"/>
        </w:rPr>
        <w:t xml:space="preserve"> Hazard ratio heatmap from univariable Cox regression using the continuous predicted probability as covariate. </w:t>
      </w:r>
      <w:r w:rsidRPr="00A8335C">
        <w:rPr>
          <w:rFonts w:ascii="Arial" w:hAnsi="Arial" w:cs="Arial"/>
          <w:b/>
          <w:bCs/>
          <w:i/>
          <w:iCs/>
          <w:sz w:val="16"/>
          <w:szCs w:val="16"/>
        </w:rPr>
        <w:t>Centre:</w:t>
      </w:r>
      <w:r w:rsidRPr="00E81C65">
        <w:rPr>
          <w:rFonts w:ascii="Arial" w:hAnsi="Arial" w:cs="Arial"/>
          <w:sz w:val="16"/>
          <w:szCs w:val="16"/>
        </w:rPr>
        <w:t xml:space="preserve"> Hazard ratio heatmap from median-split binary Cox regression. </w:t>
      </w:r>
      <w:r w:rsidRPr="00A8335C">
        <w:rPr>
          <w:rFonts w:ascii="Arial" w:hAnsi="Arial" w:cs="Arial"/>
          <w:b/>
          <w:bCs/>
          <w:i/>
          <w:iCs/>
          <w:sz w:val="16"/>
          <w:szCs w:val="16"/>
        </w:rPr>
        <w:t>Right:</w:t>
      </w:r>
      <w:r w:rsidRPr="00E81C65">
        <w:rPr>
          <w:rFonts w:ascii="Arial" w:hAnsi="Arial" w:cs="Arial"/>
          <w:sz w:val="16"/>
          <w:szCs w:val="16"/>
        </w:rPr>
        <w:t xml:space="preserve"> C-index heatmap. Panel layout, color scheme, and significance designations as in Supplementary Figure </w:t>
      </w:r>
      <w:r w:rsidR="00666FA6">
        <w:rPr>
          <w:rFonts w:ascii="Arial" w:hAnsi="Arial" w:cs="Arial"/>
          <w:sz w:val="16"/>
          <w:szCs w:val="16"/>
        </w:rPr>
        <w:t>1</w:t>
      </w:r>
      <w:r w:rsidRPr="00E81C65">
        <w:rPr>
          <w:rFonts w:ascii="Arial" w:hAnsi="Arial" w:cs="Arial"/>
          <w:sz w:val="16"/>
          <w:szCs w:val="16"/>
        </w:rPr>
        <w:t>.</w:t>
      </w:r>
    </w:p>
    <w:p w14:paraId="58148B67" w14:textId="1997845D" w:rsidR="001E3258" w:rsidRDefault="004A093F"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2B31F749" wp14:editId="31158F8B">
            <wp:extent cx="3406775" cy="9144000"/>
            <wp:effectExtent l="0" t="0" r="3175" b="0"/>
            <wp:docPr id="20979121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912149" name="Picture 20979121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6775" cy="9144000"/>
                    </a:xfrm>
                    <a:prstGeom prst="rect">
                      <a:avLst/>
                    </a:prstGeom>
                  </pic:spPr>
                </pic:pic>
              </a:graphicData>
            </a:graphic>
          </wp:inline>
        </w:drawing>
      </w:r>
      <w:r w:rsidR="00D54960">
        <w:rPr>
          <w:rFonts w:ascii="Arial" w:hAnsi="Arial" w:cs="Arial"/>
          <w:noProof/>
          <w:sz w:val="22"/>
          <w:szCs w:val="22"/>
        </w:rPr>
        <w:drawing>
          <wp:inline distT="0" distB="0" distL="0" distR="0" wp14:anchorId="64BD9EE7" wp14:editId="073EE5FF">
            <wp:extent cx="3390265" cy="9144000"/>
            <wp:effectExtent l="0" t="0" r="635" b="0"/>
            <wp:docPr id="633584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84435"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90265" cy="9144000"/>
                    </a:xfrm>
                    <a:prstGeom prst="rect">
                      <a:avLst/>
                    </a:prstGeom>
                  </pic:spPr>
                </pic:pic>
              </a:graphicData>
            </a:graphic>
          </wp:inline>
        </w:drawing>
      </w:r>
    </w:p>
    <w:p w14:paraId="12F99FBE" w14:textId="6145FCD0" w:rsidR="00666FA6" w:rsidRPr="00850AD7" w:rsidRDefault="00C92B53" w:rsidP="00850AD7">
      <w:pPr>
        <w:spacing w:line="240" w:lineRule="auto"/>
        <w:jc w:val="both"/>
        <w:rPr>
          <w:rFonts w:ascii="Arial" w:hAnsi="Arial" w:cs="Arial"/>
          <w:sz w:val="22"/>
          <w:szCs w:val="22"/>
        </w:rPr>
      </w:pPr>
      <w:r w:rsidRPr="00C92B53">
        <w:rPr>
          <w:rFonts w:ascii="Arial" w:hAnsi="Arial" w:cs="Arial"/>
          <w:b/>
          <w:bCs/>
          <w:sz w:val="20"/>
          <w:szCs w:val="20"/>
        </w:rPr>
        <w:lastRenderedPageBreak/>
        <w:t xml:space="preserve">Figure </w:t>
      </w:r>
      <w:r w:rsidR="00C03201">
        <w:rPr>
          <w:rFonts w:ascii="Arial" w:hAnsi="Arial" w:cs="Arial"/>
          <w:b/>
          <w:bCs/>
          <w:sz w:val="20"/>
          <w:szCs w:val="20"/>
        </w:rPr>
        <w:t>S</w:t>
      </w:r>
      <w:r w:rsidR="00153689">
        <w:rPr>
          <w:rFonts w:ascii="Arial" w:hAnsi="Arial" w:cs="Arial"/>
          <w:b/>
          <w:bCs/>
          <w:sz w:val="20"/>
          <w:szCs w:val="20"/>
        </w:rPr>
        <w:t>4</w:t>
      </w:r>
      <w:r w:rsidRPr="00C92B53">
        <w:rPr>
          <w:rFonts w:ascii="Arial" w:hAnsi="Arial" w:cs="Arial"/>
          <w:b/>
          <w:bCs/>
          <w:sz w:val="20"/>
          <w:szCs w:val="20"/>
        </w:rPr>
        <w:t xml:space="preserve"> | Kaplan–Meier survival analysis for </w:t>
      </w:r>
      <w:r w:rsidR="00445CAB" w:rsidRPr="00445CAB">
        <w:rPr>
          <w:rFonts w:ascii="Arial" w:hAnsi="Arial" w:cs="Arial"/>
          <w:b/>
          <w:bCs/>
          <w:i/>
          <w:iCs/>
          <w:sz w:val="20"/>
          <w:szCs w:val="20"/>
        </w:rPr>
        <w:t>APC</w:t>
      </w:r>
      <w:r w:rsidR="003C75FA" w:rsidRPr="003C75FA">
        <w:rPr>
          <w:rFonts w:ascii="Arial" w:hAnsi="Arial" w:cs="Arial"/>
          <w:b/>
          <w:bCs/>
          <w:sz w:val="20"/>
          <w:szCs w:val="20"/>
        </w:rPr>
        <w:t xml:space="preserve">, </w:t>
      </w:r>
      <w:r w:rsidR="00445CAB" w:rsidRPr="00445CAB">
        <w:rPr>
          <w:rFonts w:ascii="Arial" w:hAnsi="Arial" w:cs="Arial"/>
          <w:b/>
          <w:bCs/>
          <w:i/>
          <w:iCs/>
          <w:sz w:val="20"/>
          <w:szCs w:val="20"/>
        </w:rPr>
        <w:t>BRAF</w:t>
      </w:r>
      <w:r w:rsidR="003C75FA" w:rsidRPr="003C75FA">
        <w:rPr>
          <w:rFonts w:ascii="Arial" w:hAnsi="Arial" w:cs="Arial"/>
          <w:b/>
          <w:bCs/>
          <w:sz w:val="20"/>
          <w:szCs w:val="20"/>
        </w:rPr>
        <w:t xml:space="preserve">, </w:t>
      </w:r>
      <w:r w:rsidR="00445CAB" w:rsidRPr="00445CAB">
        <w:rPr>
          <w:rFonts w:ascii="Arial" w:hAnsi="Arial" w:cs="Arial"/>
          <w:b/>
          <w:bCs/>
          <w:i/>
          <w:iCs/>
          <w:sz w:val="20"/>
          <w:szCs w:val="20"/>
        </w:rPr>
        <w:t>KMT2D</w:t>
      </w:r>
      <w:r w:rsidR="003C75FA">
        <w:rPr>
          <w:rFonts w:ascii="Arial" w:hAnsi="Arial" w:cs="Arial"/>
          <w:b/>
          <w:bCs/>
          <w:sz w:val="20"/>
          <w:szCs w:val="20"/>
        </w:rPr>
        <w:t xml:space="preserve">, </w:t>
      </w:r>
      <w:r w:rsidR="00445CAB" w:rsidRPr="00445CAB">
        <w:rPr>
          <w:rFonts w:ascii="Arial" w:hAnsi="Arial" w:cs="Arial"/>
          <w:b/>
          <w:bCs/>
          <w:i/>
          <w:iCs/>
          <w:sz w:val="20"/>
          <w:szCs w:val="20"/>
        </w:rPr>
        <w:t>KRAS</w:t>
      </w:r>
      <w:r w:rsidRPr="00C92B53">
        <w:rPr>
          <w:rFonts w:ascii="Arial" w:hAnsi="Arial" w:cs="Arial"/>
          <w:b/>
          <w:bCs/>
          <w:sz w:val="20"/>
          <w:szCs w:val="20"/>
        </w:rPr>
        <w:t xml:space="preserve">, </w:t>
      </w:r>
      <w:r w:rsidR="00445CAB" w:rsidRPr="00445CAB">
        <w:rPr>
          <w:rFonts w:ascii="Arial" w:hAnsi="Arial" w:cs="Arial"/>
          <w:b/>
          <w:bCs/>
          <w:i/>
          <w:iCs/>
          <w:sz w:val="20"/>
          <w:szCs w:val="20"/>
        </w:rPr>
        <w:t>PIK3CA</w:t>
      </w:r>
      <w:r w:rsidRPr="00C92B53">
        <w:rPr>
          <w:rFonts w:ascii="Arial" w:hAnsi="Arial" w:cs="Arial"/>
          <w:b/>
          <w:bCs/>
          <w:sz w:val="20"/>
          <w:szCs w:val="20"/>
        </w:rPr>
        <w:t xml:space="preserve">, and </w:t>
      </w:r>
      <w:r w:rsidR="00445CAB" w:rsidRPr="00445CAB">
        <w:rPr>
          <w:rFonts w:ascii="Arial" w:hAnsi="Arial" w:cs="Arial"/>
          <w:b/>
          <w:bCs/>
          <w:i/>
          <w:iCs/>
          <w:sz w:val="20"/>
          <w:szCs w:val="20"/>
        </w:rPr>
        <w:t>TP53</w:t>
      </w:r>
      <w:r w:rsidRPr="00C92B53">
        <w:rPr>
          <w:rFonts w:ascii="Arial" w:hAnsi="Arial" w:cs="Arial"/>
          <w:b/>
          <w:bCs/>
          <w:sz w:val="20"/>
          <w:szCs w:val="20"/>
        </w:rPr>
        <w:t xml:space="preserve"> mutation probability scores across OS, DFS, and RFS in colorectal adenocarcinoma (CRC; n = 422).</w:t>
      </w:r>
      <w:r w:rsidRPr="00C92B53">
        <w:rPr>
          <w:rFonts w:ascii="Arial" w:hAnsi="Arial" w:cs="Arial"/>
          <w:sz w:val="22"/>
          <w:szCs w:val="22"/>
        </w:rPr>
        <w:t xml:space="preserve"> </w:t>
      </w:r>
      <w:r w:rsidRPr="00C92B53">
        <w:rPr>
          <w:rFonts w:ascii="Arial" w:hAnsi="Arial" w:cs="Arial"/>
          <w:sz w:val="16"/>
          <w:szCs w:val="16"/>
        </w:rPr>
        <w:t>Kaplan–Meier curves for three survival endpoints stratified by predicted mutation probability using median split (left) and binary threshold at 0.5 (right). Red curves indicate High-probability group; blue curves indicate Low-probability group. Shaded regions represent 95% confidence intervals. Number-at-risk tables are shown below each panel. ns, not significant; *P &lt; 0.05; **P &lt; 0.01; ***P &lt; 0.001.</w:t>
      </w:r>
    </w:p>
    <w:p w14:paraId="34DEE69D" w14:textId="77777777" w:rsidR="00850AD7" w:rsidRPr="0051499A" w:rsidRDefault="00850AD7" w:rsidP="00850AD7">
      <w:pPr>
        <w:spacing w:line="240" w:lineRule="auto"/>
        <w:jc w:val="both"/>
        <w:rPr>
          <w:rFonts w:ascii="Arial" w:hAnsi="Arial" w:cs="Arial"/>
          <w:b/>
          <w:bCs/>
          <w:sz w:val="22"/>
          <w:szCs w:val="22"/>
        </w:rPr>
      </w:pPr>
      <w:r w:rsidRPr="0051499A">
        <w:rPr>
          <w:rFonts w:ascii="Arial" w:hAnsi="Arial" w:cs="Arial"/>
          <w:b/>
          <w:bCs/>
          <w:sz w:val="22"/>
          <w:szCs w:val="22"/>
        </w:rPr>
        <w:t>Pancreatic Ductal Adenocarcinoma (PDAC; n = 275)</w:t>
      </w:r>
    </w:p>
    <w:p w14:paraId="6641DE76"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The PDAC cohort comprised 275 patients with 203 OS events (74% event rate), reflecting the aggressive clinical course of pancreatic cancer and justifying the use of OS as the sole survival endpoint.</w:t>
      </w:r>
    </w:p>
    <w:p w14:paraId="0800555F" w14:textId="160901A3"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KRAS</w:t>
      </w:r>
      <w:r w:rsidR="00850AD7" w:rsidRPr="00850AD7">
        <w:rPr>
          <w:rFonts w:ascii="Arial" w:hAnsi="Arial" w:cs="Arial"/>
          <w:sz w:val="22"/>
          <w:szCs w:val="22"/>
        </w:rPr>
        <w:t xml:space="preserve"> mutation probability demonstrated the most statistically dominant prognostic signal across the entire study. Continuous Cox regression yielded HR = 0.09 (95% CI 0.03–0.26, p &lt; 0.0001, FDR q &lt; 0.0001), indicating a highly significant protective association</w:t>
      </w:r>
      <w:r w:rsidR="0051499A">
        <w:rPr>
          <w:rFonts w:ascii="Arial" w:hAnsi="Arial" w:cs="Arial"/>
          <w:sz w:val="22"/>
          <w:szCs w:val="22"/>
        </w:rPr>
        <w:t>,</w:t>
      </w:r>
      <w:r w:rsidR="00850AD7" w:rsidRPr="00850AD7">
        <w:rPr>
          <w:rFonts w:ascii="Arial" w:hAnsi="Arial" w:cs="Arial"/>
          <w:sz w:val="22"/>
          <w:szCs w:val="22"/>
        </w:rPr>
        <w:t xml:space="preserve"> patients with higher predicted </w:t>
      </w:r>
      <w:r w:rsidRPr="00445CAB">
        <w:rPr>
          <w:rFonts w:ascii="Arial" w:hAnsi="Arial" w:cs="Arial"/>
          <w:i/>
          <w:iCs/>
          <w:sz w:val="22"/>
          <w:szCs w:val="22"/>
        </w:rPr>
        <w:t>KRAS</w:t>
      </w:r>
      <w:r w:rsidR="00850AD7" w:rsidRPr="00850AD7">
        <w:rPr>
          <w:rFonts w:ascii="Arial" w:hAnsi="Arial" w:cs="Arial"/>
          <w:sz w:val="22"/>
          <w:szCs w:val="22"/>
        </w:rPr>
        <w:t xml:space="preserve"> mutation probability had substantially better OS. This directionality is reflected in the C-index of 0.391, confirming that higher </w:t>
      </w:r>
      <w:r w:rsidRPr="00445CAB">
        <w:rPr>
          <w:rFonts w:ascii="Arial" w:hAnsi="Arial" w:cs="Arial"/>
          <w:i/>
          <w:iCs/>
          <w:sz w:val="22"/>
          <w:szCs w:val="22"/>
        </w:rPr>
        <w:t>KRAS</w:t>
      </w:r>
      <w:r w:rsidR="00850AD7" w:rsidRPr="00850AD7">
        <w:rPr>
          <w:rFonts w:ascii="Arial" w:hAnsi="Arial" w:cs="Arial"/>
          <w:sz w:val="22"/>
          <w:szCs w:val="22"/>
        </w:rPr>
        <w:t xml:space="preserve"> probability scores correspond to lower hazard (i.e., the protective direction). Binary median split confirmed this relationship: </w:t>
      </w:r>
      <w:r w:rsidRPr="00445CAB">
        <w:rPr>
          <w:rFonts w:ascii="Arial" w:hAnsi="Arial" w:cs="Arial"/>
          <w:i/>
          <w:iCs/>
          <w:sz w:val="22"/>
          <w:szCs w:val="22"/>
        </w:rPr>
        <w:t>KRAS</w:t>
      </w:r>
      <w:r w:rsidR="00850AD7" w:rsidRPr="00850AD7">
        <w:rPr>
          <w:rFonts w:ascii="Arial" w:hAnsi="Arial" w:cs="Arial"/>
          <w:sz w:val="22"/>
          <w:szCs w:val="22"/>
        </w:rPr>
        <w:t>-High patients had a median OS of 898 days versus 560 days in the Low group (HR = 0.60, 95% CI 0.46–0.80, p = 0.0003). Landmark analyses demonstrated significant survival differences at every timepoint: 1yr OS (81.9% vs 65.0%, p &lt; 0.01), 2yr (53.8% vs 37.2%, p &lt; 0.01), 3yr (37.6% vs 19.0%, p &lt; 0.001), 4yr (29.5% vs 12.5%, p &lt; 0.0001), and 5yr (15.8% vs 10.4%, p &lt; 0.001). The 4-year landmark (p &lt; 0.0001) represents the strongest single landmark test in the dataset.</w:t>
      </w:r>
    </w:p>
    <w:p w14:paraId="0FD7E4B2" w14:textId="249D03D0"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 xml:space="preserve">Biological interpretation of this inverse relationship warrants consideration. </w:t>
      </w:r>
      <w:r w:rsidR="00445CAB" w:rsidRPr="00445CAB">
        <w:rPr>
          <w:rFonts w:ascii="Arial" w:hAnsi="Arial" w:cs="Arial"/>
          <w:i/>
          <w:iCs/>
          <w:sz w:val="22"/>
          <w:szCs w:val="22"/>
        </w:rPr>
        <w:t>KRAS</w:t>
      </w:r>
      <w:r w:rsidRPr="00850AD7">
        <w:rPr>
          <w:rFonts w:ascii="Arial" w:hAnsi="Arial" w:cs="Arial"/>
          <w:sz w:val="22"/>
          <w:szCs w:val="22"/>
        </w:rPr>
        <w:t xml:space="preserve"> mutation is near-universal in PDAC (~90% overall prevalence), and the GenoGlyph model trained across multiple cancer types may be learning histomorphological features associated with classical glandular </w:t>
      </w:r>
      <w:r w:rsidR="00445CAB" w:rsidRPr="00445CAB">
        <w:rPr>
          <w:rFonts w:ascii="Arial" w:hAnsi="Arial" w:cs="Arial"/>
          <w:i/>
          <w:iCs/>
          <w:sz w:val="22"/>
          <w:szCs w:val="22"/>
        </w:rPr>
        <w:t>KRAS</w:t>
      </w:r>
      <w:r w:rsidRPr="00850AD7">
        <w:rPr>
          <w:rFonts w:ascii="Arial" w:hAnsi="Arial" w:cs="Arial"/>
          <w:sz w:val="22"/>
          <w:szCs w:val="22"/>
        </w:rPr>
        <w:t>-driven differentiation. In PDAC, more differentiated tumors</w:t>
      </w:r>
      <w:r w:rsidR="0051499A">
        <w:rPr>
          <w:rFonts w:ascii="Arial" w:hAnsi="Arial" w:cs="Arial"/>
          <w:sz w:val="22"/>
          <w:szCs w:val="22"/>
        </w:rPr>
        <w:t>,</w:t>
      </w:r>
      <w:r w:rsidRPr="00850AD7">
        <w:rPr>
          <w:rFonts w:ascii="Arial" w:hAnsi="Arial" w:cs="Arial"/>
          <w:sz w:val="22"/>
          <w:szCs w:val="22"/>
        </w:rPr>
        <w:t xml:space="preserve"> which express stronger classical glandular architecture</w:t>
      </w:r>
      <w:r w:rsidR="0051499A">
        <w:rPr>
          <w:rFonts w:ascii="Arial" w:hAnsi="Arial" w:cs="Arial"/>
          <w:sz w:val="22"/>
          <w:szCs w:val="22"/>
        </w:rPr>
        <w:t>,</w:t>
      </w:r>
      <w:r w:rsidRPr="00850AD7">
        <w:rPr>
          <w:rFonts w:ascii="Arial" w:hAnsi="Arial" w:cs="Arial"/>
          <w:sz w:val="22"/>
          <w:szCs w:val="22"/>
        </w:rPr>
        <w:t xml:space="preserve"> may carry higher </w:t>
      </w:r>
      <w:r w:rsidR="00445CAB" w:rsidRPr="00445CAB">
        <w:rPr>
          <w:rFonts w:ascii="Arial" w:hAnsi="Arial" w:cs="Arial"/>
          <w:i/>
          <w:iCs/>
          <w:sz w:val="22"/>
          <w:szCs w:val="22"/>
        </w:rPr>
        <w:t>KRAS</w:t>
      </w:r>
      <w:r w:rsidRPr="00850AD7">
        <w:rPr>
          <w:rFonts w:ascii="Arial" w:hAnsi="Arial" w:cs="Arial"/>
          <w:sz w:val="22"/>
          <w:szCs w:val="22"/>
        </w:rPr>
        <w:t>-associated morphological scores while simultaneously exhibiting better prognosis than poorly differentiated or basal-like subtypes. This interpretation is consistent with established PDAC molecular subtyping: the Moffitt classical subtype, characterized by well-differentiated glandular morphology, is associated with superior outcomes compared to the basal-like subtype</w:t>
      </w:r>
      <w:r w:rsidR="0070149B" w:rsidRPr="0070149B">
        <w:rPr>
          <w:rFonts w:ascii="Arial" w:hAnsi="Arial" w:cs="Arial"/>
          <w:sz w:val="22"/>
          <w:szCs w:val="22"/>
        </w:rPr>
        <w:t xml:space="preserve">, and we initially hypothesized that </w:t>
      </w:r>
      <w:r w:rsidR="00445CAB" w:rsidRPr="00445CAB">
        <w:rPr>
          <w:rFonts w:ascii="Arial" w:hAnsi="Arial" w:cs="Arial"/>
          <w:i/>
          <w:iCs/>
          <w:sz w:val="22"/>
          <w:szCs w:val="22"/>
        </w:rPr>
        <w:t>KRAS</w:t>
      </w:r>
      <w:r w:rsidR="0070149B" w:rsidRPr="0070149B">
        <w:rPr>
          <w:rFonts w:ascii="Arial" w:hAnsi="Arial" w:cs="Arial"/>
          <w:sz w:val="22"/>
          <w:szCs w:val="22"/>
        </w:rPr>
        <w:t xml:space="preserve"> probability scores might align with this classical-versus-basal morphological axis. To test this directly, we leveraged Moffitt subtype labels available for a subset of this cohort and examined whether </w:t>
      </w:r>
      <w:r w:rsidR="00445CAB" w:rsidRPr="00445CAB">
        <w:rPr>
          <w:rFonts w:ascii="Arial" w:hAnsi="Arial" w:cs="Arial"/>
          <w:i/>
          <w:iCs/>
          <w:sz w:val="22"/>
          <w:szCs w:val="22"/>
        </w:rPr>
        <w:t>KRAS</w:t>
      </w:r>
      <w:r w:rsidR="0070149B" w:rsidRPr="0070149B">
        <w:rPr>
          <w:rFonts w:ascii="Arial" w:hAnsi="Arial" w:cs="Arial"/>
          <w:sz w:val="22"/>
          <w:szCs w:val="22"/>
        </w:rPr>
        <w:t xml:space="preserve"> probability discriminated classical from basal-like case</w:t>
      </w:r>
      <w:r w:rsidR="0079180D">
        <w:rPr>
          <w:rFonts w:ascii="Arial" w:hAnsi="Arial" w:cs="Arial"/>
          <w:sz w:val="22"/>
          <w:szCs w:val="22"/>
        </w:rPr>
        <w:t>s</w:t>
      </w:r>
      <w:r w:rsidR="0070149B" w:rsidRPr="0070149B">
        <w:rPr>
          <w:rFonts w:ascii="Arial" w:hAnsi="Arial" w:cs="Arial"/>
          <w:sz w:val="22"/>
          <w:szCs w:val="22"/>
        </w:rPr>
        <w:t xml:space="preserve">. Contrary to this expectation, </w:t>
      </w:r>
      <w:r w:rsidR="00445CAB" w:rsidRPr="00445CAB">
        <w:rPr>
          <w:rFonts w:ascii="Arial" w:hAnsi="Arial" w:cs="Arial"/>
          <w:i/>
          <w:iCs/>
          <w:sz w:val="22"/>
          <w:szCs w:val="22"/>
        </w:rPr>
        <w:t>KRAS</w:t>
      </w:r>
      <w:r w:rsidR="0070149B" w:rsidRPr="0070149B">
        <w:rPr>
          <w:rFonts w:ascii="Arial" w:hAnsi="Arial" w:cs="Arial"/>
          <w:sz w:val="22"/>
          <w:szCs w:val="22"/>
        </w:rPr>
        <w:t xml:space="preserve"> probability scores did not meaningfully separate the two subtypes, with accuracy near chance and no consistent directional signal. This suggests that while the model's prognostic behavior is consistent with a classical morphology hypothesis, the learned features do not map cleanly onto the Moffitt classification, and the survival signal likely reflects a more nuanced morphological gradient than a strict binary subtype distinction.</w:t>
      </w:r>
    </w:p>
    <w:p w14:paraId="686D4991" w14:textId="07B926AC"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BRAF</w:t>
      </w:r>
      <w:r w:rsidR="00850AD7" w:rsidRPr="00850AD7">
        <w:rPr>
          <w:rFonts w:ascii="Arial" w:hAnsi="Arial" w:cs="Arial"/>
          <w:sz w:val="22"/>
          <w:szCs w:val="22"/>
        </w:rPr>
        <w:t xml:space="preserve"> mutation probability demonstrated a significant adverse continuous Cox association (HR = 7.42, 95% CI 1.95–28.23, p = 0.003, FDR q = 0.011) in PDAC. Although binary median split was not significant (p = 0.071), the continuous score carries an independent prognostic signal. A significant landmark difference was observed </w:t>
      </w:r>
      <w:proofErr w:type="gramStart"/>
      <w:r w:rsidR="00850AD7" w:rsidRPr="00850AD7">
        <w:rPr>
          <w:rFonts w:ascii="Arial" w:hAnsi="Arial" w:cs="Arial"/>
          <w:sz w:val="22"/>
          <w:szCs w:val="22"/>
        </w:rPr>
        <w:t>at</w:t>
      </w:r>
      <w:proofErr w:type="gramEnd"/>
      <w:r w:rsidR="00850AD7" w:rsidRPr="00850AD7">
        <w:rPr>
          <w:rFonts w:ascii="Arial" w:hAnsi="Arial" w:cs="Arial"/>
          <w:sz w:val="22"/>
          <w:szCs w:val="22"/>
        </w:rPr>
        <w:t xml:space="preserve"> 4 years (15.1% High vs 28.3% Low, p &lt; 0.05), representing late adverse divergence in survival in the </w:t>
      </w:r>
      <w:r w:rsidRPr="00445CAB">
        <w:rPr>
          <w:rFonts w:ascii="Arial" w:hAnsi="Arial" w:cs="Arial"/>
          <w:i/>
          <w:iCs/>
          <w:sz w:val="22"/>
          <w:szCs w:val="22"/>
        </w:rPr>
        <w:t>BRAF</w:t>
      </w:r>
      <w:r w:rsidR="00850AD7" w:rsidRPr="00850AD7">
        <w:rPr>
          <w:rFonts w:ascii="Arial" w:hAnsi="Arial" w:cs="Arial"/>
          <w:sz w:val="22"/>
          <w:szCs w:val="22"/>
        </w:rPr>
        <w:t>-High group.</w:t>
      </w:r>
    </w:p>
    <w:p w14:paraId="43AC35C3" w14:textId="768EEE34" w:rsid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APC</w:t>
      </w:r>
      <w:r w:rsidR="00850AD7" w:rsidRPr="00850AD7">
        <w:rPr>
          <w:rFonts w:ascii="Arial" w:hAnsi="Arial" w:cs="Arial"/>
          <w:sz w:val="22"/>
          <w:szCs w:val="22"/>
        </w:rPr>
        <w:t xml:space="preserve"> probability showed a modest but significant protective binary median Cox association (HR = 0.74, 95% CI 0.56–0.97, p = 0.032), with significant 3-year (34.8% vs 22.4%, p &lt; 0.05) and 5-year (18.0% vs 7.3%, p &lt; 0.05) OS landmark differences. The remaining genes (</w:t>
      </w:r>
      <w:r w:rsidRPr="00445CAB">
        <w:rPr>
          <w:rFonts w:ascii="Arial" w:hAnsi="Arial" w:cs="Arial"/>
          <w:i/>
          <w:iCs/>
          <w:sz w:val="22"/>
          <w:szCs w:val="22"/>
        </w:rPr>
        <w:t>KMT2D</w:t>
      </w:r>
      <w:r w:rsidR="00850AD7" w:rsidRPr="00850AD7">
        <w:rPr>
          <w:rFonts w:ascii="Arial" w:hAnsi="Arial" w:cs="Arial"/>
          <w:sz w:val="22"/>
          <w:szCs w:val="22"/>
        </w:rPr>
        <w:t xml:space="preserve">, </w:t>
      </w:r>
      <w:r w:rsidRPr="00445CAB">
        <w:rPr>
          <w:rFonts w:ascii="Arial" w:hAnsi="Arial" w:cs="Arial"/>
          <w:i/>
          <w:iCs/>
          <w:sz w:val="22"/>
          <w:szCs w:val="22"/>
        </w:rPr>
        <w:t>PIK3CA</w:t>
      </w:r>
      <w:r w:rsidR="00850AD7" w:rsidRPr="00850AD7">
        <w:rPr>
          <w:rFonts w:ascii="Arial" w:hAnsi="Arial" w:cs="Arial"/>
          <w:sz w:val="22"/>
          <w:szCs w:val="22"/>
        </w:rPr>
        <w:t xml:space="preserve">, </w:t>
      </w:r>
      <w:r w:rsidRPr="00445CAB">
        <w:rPr>
          <w:rFonts w:ascii="Arial" w:hAnsi="Arial" w:cs="Arial"/>
          <w:i/>
          <w:iCs/>
          <w:sz w:val="22"/>
          <w:szCs w:val="22"/>
        </w:rPr>
        <w:t>TP53</w:t>
      </w:r>
      <w:r w:rsidR="00850AD7" w:rsidRPr="00850AD7">
        <w:rPr>
          <w:rFonts w:ascii="Arial" w:hAnsi="Arial" w:cs="Arial"/>
          <w:sz w:val="22"/>
          <w:szCs w:val="22"/>
        </w:rPr>
        <w:t xml:space="preserve">, </w:t>
      </w:r>
      <w:r w:rsidRPr="00445CAB">
        <w:rPr>
          <w:rFonts w:ascii="Arial" w:hAnsi="Arial" w:cs="Arial"/>
          <w:i/>
          <w:iCs/>
          <w:sz w:val="22"/>
          <w:szCs w:val="22"/>
        </w:rPr>
        <w:t>TTN</w:t>
      </w:r>
      <w:r w:rsidR="00850AD7" w:rsidRPr="00850AD7">
        <w:rPr>
          <w:rFonts w:ascii="Arial" w:hAnsi="Arial" w:cs="Arial"/>
          <w:sz w:val="22"/>
          <w:szCs w:val="22"/>
        </w:rPr>
        <w:t>) demonstrated no significant prognostic associations in PDAC.</w:t>
      </w:r>
    </w:p>
    <w:p w14:paraId="0095DDCA" w14:textId="5D64A797" w:rsidR="00DD02C3" w:rsidRDefault="00437233"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797E4191" wp14:editId="20ACAB84">
            <wp:extent cx="6858000" cy="5485130"/>
            <wp:effectExtent l="0" t="0" r="0" b="1270"/>
            <wp:docPr id="21453960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396079" name="Picture 21453960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5485130"/>
                    </a:xfrm>
                    <a:prstGeom prst="rect">
                      <a:avLst/>
                    </a:prstGeom>
                  </pic:spPr>
                </pic:pic>
              </a:graphicData>
            </a:graphic>
          </wp:inline>
        </w:drawing>
      </w:r>
    </w:p>
    <w:p w14:paraId="4F5D753C" w14:textId="41BD877A" w:rsidR="005C0E6D" w:rsidRDefault="005C0E6D" w:rsidP="00850AD7">
      <w:pPr>
        <w:spacing w:line="240" w:lineRule="auto"/>
        <w:jc w:val="both"/>
        <w:rPr>
          <w:rFonts w:ascii="Arial" w:hAnsi="Arial" w:cs="Arial"/>
          <w:sz w:val="22"/>
          <w:szCs w:val="22"/>
        </w:rPr>
      </w:pPr>
      <w:r w:rsidRPr="005C0E6D">
        <w:rPr>
          <w:rFonts w:ascii="Arial" w:hAnsi="Arial" w:cs="Arial"/>
          <w:b/>
          <w:bCs/>
          <w:sz w:val="20"/>
          <w:szCs w:val="20"/>
        </w:rPr>
        <w:t xml:space="preserve">Figure </w:t>
      </w:r>
      <w:r w:rsidR="00C03201">
        <w:rPr>
          <w:rFonts w:ascii="Arial" w:hAnsi="Arial" w:cs="Arial"/>
          <w:b/>
          <w:bCs/>
          <w:sz w:val="20"/>
          <w:szCs w:val="20"/>
        </w:rPr>
        <w:t>S</w:t>
      </w:r>
      <w:r w:rsidR="00153689">
        <w:rPr>
          <w:rFonts w:ascii="Arial" w:hAnsi="Arial" w:cs="Arial"/>
          <w:b/>
          <w:bCs/>
          <w:sz w:val="20"/>
          <w:szCs w:val="20"/>
        </w:rPr>
        <w:t>5</w:t>
      </w:r>
      <w:r w:rsidRPr="005C0E6D">
        <w:rPr>
          <w:rFonts w:ascii="Arial" w:hAnsi="Arial" w:cs="Arial"/>
          <w:b/>
          <w:bCs/>
          <w:sz w:val="20"/>
          <w:szCs w:val="20"/>
        </w:rPr>
        <w:t xml:space="preserve"> | Summary of univariable Cox regression hazard ratios and concordance indices for all gene mutation probability scores in pancreatic ductal adenocarcinoma (PDAC).</w:t>
      </w:r>
      <w:r w:rsidRPr="005C0E6D">
        <w:rPr>
          <w:rFonts w:ascii="Arial" w:hAnsi="Arial" w:cs="Arial"/>
          <w:sz w:val="20"/>
          <w:szCs w:val="20"/>
        </w:rPr>
        <w:t xml:space="preserve"> </w:t>
      </w:r>
      <w:r w:rsidRPr="005C0E6D">
        <w:rPr>
          <w:rFonts w:ascii="Arial" w:hAnsi="Arial" w:cs="Arial"/>
          <w:sz w:val="16"/>
          <w:szCs w:val="16"/>
        </w:rPr>
        <w:t xml:space="preserve">Three-panel visualization of prognostic utility across OS. </w:t>
      </w:r>
      <w:r w:rsidRPr="00A8335C">
        <w:rPr>
          <w:rFonts w:ascii="Arial" w:hAnsi="Arial" w:cs="Arial"/>
          <w:b/>
          <w:bCs/>
          <w:i/>
          <w:iCs/>
          <w:sz w:val="16"/>
          <w:szCs w:val="16"/>
        </w:rPr>
        <w:t>Left:</w:t>
      </w:r>
      <w:r w:rsidRPr="005C0E6D">
        <w:rPr>
          <w:rFonts w:ascii="Arial" w:hAnsi="Arial" w:cs="Arial"/>
          <w:sz w:val="16"/>
          <w:szCs w:val="16"/>
        </w:rPr>
        <w:t xml:space="preserve"> Hazard ratio heatmap from univariable Cox regression using the continuous predicted probability as covariate. </w:t>
      </w:r>
      <w:r w:rsidRPr="00A8335C">
        <w:rPr>
          <w:rFonts w:ascii="Arial" w:hAnsi="Arial" w:cs="Arial"/>
          <w:b/>
          <w:bCs/>
          <w:i/>
          <w:iCs/>
          <w:sz w:val="16"/>
          <w:szCs w:val="16"/>
        </w:rPr>
        <w:t>Centre:</w:t>
      </w:r>
      <w:r w:rsidRPr="005C0E6D">
        <w:rPr>
          <w:rFonts w:ascii="Arial" w:hAnsi="Arial" w:cs="Arial"/>
          <w:sz w:val="16"/>
          <w:szCs w:val="16"/>
        </w:rPr>
        <w:t xml:space="preserve"> Hazard ratio heatmap from median-split binary Cox regression. </w:t>
      </w:r>
      <w:r w:rsidRPr="00A8335C">
        <w:rPr>
          <w:rFonts w:ascii="Arial" w:hAnsi="Arial" w:cs="Arial"/>
          <w:b/>
          <w:bCs/>
          <w:i/>
          <w:iCs/>
          <w:sz w:val="16"/>
          <w:szCs w:val="16"/>
        </w:rPr>
        <w:t>Right:</w:t>
      </w:r>
      <w:r w:rsidRPr="005C0E6D">
        <w:rPr>
          <w:rFonts w:ascii="Arial" w:hAnsi="Arial" w:cs="Arial"/>
          <w:sz w:val="16"/>
          <w:szCs w:val="16"/>
        </w:rPr>
        <w:t xml:space="preserve"> C-index heatmap. Panel layout, color scheme, and significance designations as in Supplementary Figure </w:t>
      </w:r>
      <w:r w:rsidR="00A8335C">
        <w:rPr>
          <w:rFonts w:ascii="Arial" w:hAnsi="Arial" w:cs="Arial"/>
          <w:sz w:val="16"/>
          <w:szCs w:val="16"/>
        </w:rPr>
        <w:t>1</w:t>
      </w:r>
      <w:r w:rsidRPr="005C0E6D">
        <w:rPr>
          <w:rFonts w:ascii="Arial" w:hAnsi="Arial" w:cs="Arial"/>
          <w:sz w:val="16"/>
          <w:szCs w:val="16"/>
        </w:rPr>
        <w:t>.</w:t>
      </w:r>
    </w:p>
    <w:p w14:paraId="5FFA4EC4" w14:textId="31BA47D6" w:rsidR="00437233" w:rsidRDefault="00E36ABC"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5262BDB3" wp14:editId="17FE9E9B">
            <wp:extent cx="5041900" cy="9144000"/>
            <wp:effectExtent l="0" t="0" r="6350" b="0"/>
            <wp:docPr id="1120412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12447" name="Picture 112041244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900" cy="9144000"/>
                    </a:xfrm>
                    <a:prstGeom prst="rect">
                      <a:avLst/>
                    </a:prstGeom>
                  </pic:spPr>
                </pic:pic>
              </a:graphicData>
            </a:graphic>
          </wp:inline>
        </w:drawing>
      </w:r>
    </w:p>
    <w:p w14:paraId="726F58DC" w14:textId="707BAE9D" w:rsidR="009A3C05" w:rsidRPr="00850AD7" w:rsidRDefault="009A3C05" w:rsidP="00850AD7">
      <w:pPr>
        <w:spacing w:line="240" w:lineRule="auto"/>
        <w:jc w:val="both"/>
        <w:rPr>
          <w:rFonts w:ascii="Arial" w:hAnsi="Arial" w:cs="Arial"/>
          <w:sz w:val="22"/>
          <w:szCs w:val="22"/>
        </w:rPr>
      </w:pPr>
      <w:r w:rsidRPr="009A3C05">
        <w:rPr>
          <w:rFonts w:ascii="Arial" w:hAnsi="Arial" w:cs="Arial"/>
          <w:b/>
          <w:bCs/>
          <w:sz w:val="22"/>
          <w:szCs w:val="22"/>
        </w:rPr>
        <w:lastRenderedPageBreak/>
        <w:t xml:space="preserve">Figure </w:t>
      </w:r>
      <w:r w:rsidR="00C03201">
        <w:rPr>
          <w:rFonts w:ascii="Arial" w:hAnsi="Arial" w:cs="Arial"/>
          <w:b/>
          <w:bCs/>
          <w:sz w:val="22"/>
          <w:szCs w:val="22"/>
        </w:rPr>
        <w:t>S</w:t>
      </w:r>
      <w:r w:rsidR="00153689">
        <w:rPr>
          <w:rFonts w:ascii="Arial" w:hAnsi="Arial" w:cs="Arial"/>
          <w:b/>
          <w:bCs/>
          <w:sz w:val="22"/>
          <w:szCs w:val="22"/>
        </w:rPr>
        <w:t>6</w:t>
      </w:r>
      <w:r w:rsidRPr="009A3C05">
        <w:rPr>
          <w:rFonts w:ascii="Arial" w:hAnsi="Arial" w:cs="Arial"/>
          <w:b/>
          <w:bCs/>
          <w:sz w:val="22"/>
          <w:szCs w:val="22"/>
        </w:rPr>
        <w:t xml:space="preserve"> | Kaplan–Meier survival analysis for </w:t>
      </w:r>
      <w:r w:rsidR="00445CAB" w:rsidRPr="00445CAB">
        <w:rPr>
          <w:rFonts w:ascii="Arial" w:hAnsi="Arial" w:cs="Arial"/>
          <w:b/>
          <w:bCs/>
          <w:i/>
          <w:iCs/>
          <w:sz w:val="22"/>
          <w:szCs w:val="22"/>
        </w:rPr>
        <w:t>APC</w:t>
      </w:r>
      <w:r>
        <w:rPr>
          <w:rFonts w:ascii="Arial" w:hAnsi="Arial" w:cs="Arial"/>
          <w:b/>
          <w:bCs/>
          <w:sz w:val="22"/>
          <w:szCs w:val="22"/>
        </w:rPr>
        <w:t xml:space="preserve">, </w:t>
      </w:r>
      <w:r w:rsidR="00445CAB" w:rsidRPr="00445CAB">
        <w:rPr>
          <w:rFonts w:ascii="Arial" w:hAnsi="Arial" w:cs="Arial"/>
          <w:b/>
          <w:bCs/>
          <w:i/>
          <w:iCs/>
          <w:sz w:val="22"/>
          <w:szCs w:val="22"/>
        </w:rPr>
        <w:t>KMT2D</w:t>
      </w:r>
      <w:r>
        <w:rPr>
          <w:rFonts w:ascii="Arial" w:hAnsi="Arial" w:cs="Arial"/>
          <w:b/>
          <w:bCs/>
          <w:sz w:val="22"/>
          <w:szCs w:val="22"/>
        </w:rPr>
        <w:t xml:space="preserve">, </w:t>
      </w:r>
      <w:r w:rsidR="00445CAB" w:rsidRPr="00445CAB">
        <w:rPr>
          <w:rFonts w:ascii="Arial" w:hAnsi="Arial" w:cs="Arial"/>
          <w:b/>
          <w:bCs/>
          <w:i/>
          <w:iCs/>
          <w:sz w:val="22"/>
          <w:szCs w:val="22"/>
        </w:rPr>
        <w:t>KRAS</w:t>
      </w:r>
      <w:r w:rsidRPr="009A3C05">
        <w:rPr>
          <w:rFonts w:ascii="Arial" w:hAnsi="Arial" w:cs="Arial"/>
          <w:b/>
          <w:bCs/>
          <w:sz w:val="22"/>
          <w:szCs w:val="22"/>
        </w:rPr>
        <w:t xml:space="preserve">, </w:t>
      </w:r>
      <w:r w:rsidR="00445CAB" w:rsidRPr="00445CAB">
        <w:rPr>
          <w:rFonts w:ascii="Arial" w:hAnsi="Arial" w:cs="Arial"/>
          <w:b/>
          <w:bCs/>
          <w:i/>
          <w:iCs/>
          <w:sz w:val="22"/>
          <w:szCs w:val="22"/>
        </w:rPr>
        <w:t>PIK3CA</w:t>
      </w:r>
      <w:r w:rsidRPr="009A3C05">
        <w:rPr>
          <w:rFonts w:ascii="Arial" w:hAnsi="Arial" w:cs="Arial"/>
          <w:b/>
          <w:bCs/>
          <w:sz w:val="22"/>
          <w:szCs w:val="22"/>
        </w:rPr>
        <w:t xml:space="preserve">, </w:t>
      </w:r>
      <w:r w:rsidR="00445CAB" w:rsidRPr="00445CAB">
        <w:rPr>
          <w:rFonts w:ascii="Arial" w:hAnsi="Arial" w:cs="Arial"/>
          <w:b/>
          <w:bCs/>
          <w:i/>
          <w:iCs/>
          <w:sz w:val="22"/>
          <w:szCs w:val="22"/>
        </w:rPr>
        <w:t>TP53</w:t>
      </w:r>
      <w:r>
        <w:rPr>
          <w:rFonts w:ascii="Arial" w:hAnsi="Arial" w:cs="Arial"/>
          <w:b/>
          <w:bCs/>
          <w:sz w:val="22"/>
          <w:szCs w:val="22"/>
        </w:rPr>
        <w:t xml:space="preserve">, and </w:t>
      </w:r>
      <w:r w:rsidR="00445CAB" w:rsidRPr="00445CAB">
        <w:rPr>
          <w:rFonts w:ascii="Arial" w:hAnsi="Arial" w:cs="Arial"/>
          <w:b/>
          <w:bCs/>
          <w:i/>
          <w:iCs/>
          <w:sz w:val="22"/>
          <w:szCs w:val="22"/>
        </w:rPr>
        <w:t>TTN</w:t>
      </w:r>
      <w:r w:rsidRPr="009A3C05">
        <w:rPr>
          <w:rFonts w:ascii="Arial" w:hAnsi="Arial" w:cs="Arial"/>
          <w:b/>
          <w:bCs/>
          <w:sz w:val="22"/>
          <w:szCs w:val="22"/>
        </w:rPr>
        <w:t xml:space="preserve"> mutation probability scores in pancreatic ductal adenocarcinoma (PDAC; n = 275).</w:t>
      </w:r>
      <w:r w:rsidRPr="009A3C05">
        <w:rPr>
          <w:rFonts w:ascii="Arial" w:hAnsi="Arial" w:cs="Arial"/>
          <w:sz w:val="22"/>
          <w:szCs w:val="22"/>
        </w:rPr>
        <w:t xml:space="preserve"> Kaplan–Meier curves for overall survival (OS) stratified by predicted mutation probability using median split (left) and binary threshold at 0.5 (right). Red curves indicate High-probability group; blue curves indicate Low-probability group. Shaded regions represent 95% confidence intervals. Number-at-risk tables are shown below each panel. ns, not significant; *P &lt; 0.05; ***P &lt; 0.001.</w:t>
      </w:r>
    </w:p>
    <w:p w14:paraId="40975DDF" w14:textId="77777777" w:rsidR="00850AD7" w:rsidRPr="0051499A" w:rsidRDefault="00850AD7" w:rsidP="00850AD7">
      <w:pPr>
        <w:spacing w:line="240" w:lineRule="auto"/>
        <w:jc w:val="both"/>
        <w:rPr>
          <w:rFonts w:ascii="Arial" w:hAnsi="Arial" w:cs="Arial"/>
          <w:b/>
          <w:bCs/>
          <w:sz w:val="22"/>
          <w:szCs w:val="22"/>
        </w:rPr>
      </w:pPr>
      <w:r w:rsidRPr="0051499A">
        <w:rPr>
          <w:rFonts w:ascii="Arial" w:hAnsi="Arial" w:cs="Arial"/>
          <w:b/>
          <w:bCs/>
          <w:sz w:val="22"/>
          <w:szCs w:val="22"/>
        </w:rPr>
        <w:t>Metastatic HR+/HER2− Breast Carcinoma (BRCA; n = 94)</w:t>
      </w:r>
    </w:p>
    <w:p w14:paraId="09F8FA4C" w14:textId="77777777"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The BRCA cohort comprised 94 patients with metastatic hormone receptor-positive, HER2-negative breast cancer. With 68 OS events and 94 PFS events (all patients experienced disease progression), this was the smallest cohort in the study and the only metastatic setting represented. The small sample size necessitates appropriate caution in interpreting individual findings, and confidence intervals throughout are correspondingly wide.</w:t>
      </w:r>
    </w:p>
    <w:p w14:paraId="2FA6F79F" w14:textId="5BE92588"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TP53</w:t>
      </w:r>
      <w:r w:rsidR="00850AD7" w:rsidRPr="00850AD7">
        <w:rPr>
          <w:rFonts w:ascii="Arial" w:hAnsi="Arial" w:cs="Arial"/>
          <w:sz w:val="22"/>
          <w:szCs w:val="22"/>
        </w:rPr>
        <w:t xml:space="preserve"> mutation probability was the primary prognostic feature in this cohort, with its most striking effect on PFS. Binary median split yielded HR = 1.90 (95% CI 1.21–2.96, p = 0.005), indicating that patients with high predicted </w:t>
      </w:r>
      <w:r w:rsidRPr="00445CAB">
        <w:rPr>
          <w:rFonts w:ascii="Arial" w:hAnsi="Arial" w:cs="Arial"/>
          <w:i/>
          <w:iCs/>
          <w:sz w:val="22"/>
          <w:szCs w:val="22"/>
        </w:rPr>
        <w:t>TP53</w:t>
      </w:r>
      <w:r w:rsidR="00850AD7" w:rsidRPr="00850AD7">
        <w:rPr>
          <w:rFonts w:ascii="Arial" w:hAnsi="Arial" w:cs="Arial"/>
          <w:sz w:val="22"/>
          <w:szCs w:val="22"/>
        </w:rPr>
        <w:t xml:space="preserve"> mutation probability experienced significantly more rapid disease progression. The landmark analysis revealed a compelling late-divergence pattern: no significant difference was observed at 1 or 2 years (1yr: 46.8% High vs 55.3% Low, ns), but dramatic separation emerged by year 3 (4.3% vs 25.5%, p &lt; 0.05), year 4 (0.0% vs 25.5%, p &lt; 0.01), and year 5 (0.0% vs 19.1%, p &lt; 0.01). This pattern</w:t>
      </w:r>
      <w:r w:rsidR="0051499A">
        <w:rPr>
          <w:rFonts w:ascii="Arial" w:hAnsi="Arial" w:cs="Arial"/>
          <w:sz w:val="22"/>
          <w:szCs w:val="22"/>
        </w:rPr>
        <w:t>,</w:t>
      </w:r>
      <w:r w:rsidR="00850AD7" w:rsidRPr="00850AD7">
        <w:rPr>
          <w:rFonts w:ascii="Arial" w:hAnsi="Arial" w:cs="Arial"/>
          <w:sz w:val="22"/>
          <w:szCs w:val="22"/>
        </w:rPr>
        <w:t xml:space="preserve"> early convergence followed by late catastrophic failure</w:t>
      </w:r>
      <w:r w:rsidR="0051499A">
        <w:rPr>
          <w:rFonts w:ascii="Arial" w:hAnsi="Arial" w:cs="Arial"/>
          <w:sz w:val="22"/>
          <w:szCs w:val="22"/>
        </w:rPr>
        <w:t>,</w:t>
      </w:r>
      <w:r w:rsidR="00850AD7" w:rsidRPr="00850AD7">
        <w:rPr>
          <w:rFonts w:ascii="Arial" w:hAnsi="Arial" w:cs="Arial"/>
          <w:sz w:val="22"/>
          <w:szCs w:val="22"/>
        </w:rPr>
        <w:t xml:space="preserve"> is consistent with </w:t>
      </w:r>
      <w:r w:rsidRPr="00445CAB">
        <w:rPr>
          <w:rFonts w:ascii="Arial" w:hAnsi="Arial" w:cs="Arial"/>
          <w:i/>
          <w:iCs/>
          <w:sz w:val="22"/>
          <w:szCs w:val="22"/>
        </w:rPr>
        <w:t>TP53</w:t>
      </w:r>
      <w:r w:rsidR="00850AD7" w:rsidRPr="00850AD7">
        <w:rPr>
          <w:rFonts w:ascii="Arial" w:hAnsi="Arial" w:cs="Arial"/>
          <w:sz w:val="22"/>
          <w:szCs w:val="22"/>
        </w:rPr>
        <w:t xml:space="preserve">-mutated HR+ breast cancers exhibiting endocrine resistance that </w:t>
      </w:r>
      <w:proofErr w:type="gramStart"/>
      <w:r w:rsidR="00850AD7" w:rsidRPr="00850AD7">
        <w:rPr>
          <w:rFonts w:ascii="Arial" w:hAnsi="Arial" w:cs="Arial"/>
          <w:sz w:val="22"/>
          <w:szCs w:val="22"/>
        </w:rPr>
        <w:t>manifests</w:t>
      </w:r>
      <w:proofErr w:type="gramEnd"/>
      <w:r w:rsidR="00850AD7" w:rsidRPr="00850AD7">
        <w:rPr>
          <w:rFonts w:ascii="Arial" w:hAnsi="Arial" w:cs="Arial"/>
          <w:sz w:val="22"/>
          <w:szCs w:val="22"/>
        </w:rPr>
        <w:t xml:space="preserve"> primarily in the </w:t>
      </w:r>
      <w:proofErr w:type="gramStart"/>
      <w:r w:rsidR="00850AD7" w:rsidRPr="00850AD7">
        <w:rPr>
          <w:rFonts w:ascii="Arial" w:hAnsi="Arial" w:cs="Arial"/>
          <w:sz w:val="22"/>
          <w:szCs w:val="22"/>
        </w:rPr>
        <w:t>2-4 year</w:t>
      </w:r>
      <w:proofErr w:type="gramEnd"/>
      <w:r w:rsidR="00850AD7" w:rsidRPr="00850AD7">
        <w:rPr>
          <w:rFonts w:ascii="Arial" w:hAnsi="Arial" w:cs="Arial"/>
          <w:sz w:val="22"/>
          <w:szCs w:val="22"/>
        </w:rPr>
        <w:t xml:space="preserve"> range, after initial response to therapy. By year 4, all patients in the </w:t>
      </w:r>
      <w:r w:rsidRPr="00445CAB">
        <w:rPr>
          <w:rFonts w:ascii="Arial" w:hAnsi="Arial" w:cs="Arial"/>
          <w:i/>
          <w:iCs/>
          <w:sz w:val="22"/>
          <w:szCs w:val="22"/>
        </w:rPr>
        <w:t>TP53</w:t>
      </w:r>
      <w:r w:rsidR="00850AD7" w:rsidRPr="00850AD7">
        <w:rPr>
          <w:rFonts w:ascii="Arial" w:hAnsi="Arial" w:cs="Arial"/>
          <w:sz w:val="22"/>
          <w:szCs w:val="22"/>
        </w:rPr>
        <w:t xml:space="preserve">-High group had progressed, while approximately one-quarter of </w:t>
      </w:r>
      <w:r w:rsidRPr="00445CAB">
        <w:rPr>
          <w:rFonts w:ascii="Arial" w:hAnsi="Arial" w:cs="Arial"/>
          <w:i/>
          <w:iCs/>
          <w:sz w:val="22"/>
          <w:szCs w:val="22"/>
        </w:rPr>
        <w:t>TP53</w:t>
      </w:r>
      <w:r w:rsidR="00850AD7" w:rsidRPr="00850AD7">
        <w:rPr>
          <w:rFonts w:ascii="Arial" w:hAnsi="Arial" w:cs="Arial"/>
          <w:sz w:val="22"/>
          <w:szCs w:val="22"/>
        </w:rPr>
        <w:t>-Low patients remained progression-free.</w:t>
      </w:r>
    </w:p>
    <w:p w14:paraId="33766993" w14:textId="00A2A932"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PIK3CA</w:t>
      </w:r>
      <w:r w:rsidR="00850AD7" w:rsidRPr="00850AD7">
        <w:rPr>
          <w:rFonts w:ascii="Arial" w:hAnsi="Arial" w:cs="Arial"/>
          <w:sz w:val="22"/>
          <w:szCs w:val="22"/>
        </w:rPr>
        <w:t xml:space="preserve"> mutation probability demonstrated a nominally significant protective OS association in this cohort. Continuous Cox regression yielded an HR of approximately 0.00 with the observed effect driven by the extreme end of the probability distribution (p = 0.009, FDR q = 0.043), while binary median split gave HR = 0.61 (95% CI 0.38–0.99, p = 0.044). The </w:t>
      </w:r>
      <w:r w:rsidRPr="00445CAB">
        <w:rPr>
          <w:rFonts w:ascii="Arial" w:hAnsi="Arial" w:cs="Arial"/>
          <w:i/>
          <w:iCs/>
          <w:sz w:val="22"/>
          <w:szCs w:val="22"/>
        </w:rPr>
        <w:t>PIK3CA</w:t>
      </w:r>
      <w:r w:rsidR="00850AD7" w:rsidRPr="00850AD7">
        <w:rPr>
          <w:rFonts w:ascii="Arial" w:hAnsi="Arial" w:cs="Arial"/>
          <w:sz w:val="22"/>
          <w:szCs w:val="22"/>
        </w:rPr>
        <w:t xml:space="preserve">-High group had a median OS of 2,124 days versus 1,442 days in the Low group. Although landmark tests did not individually achieve significance, the numerically widening separation over time (5yr OS: 59.6% High vs 38.0% Low) suggests a real, if underpowered, protective association. This finding is biologically plausible, as </w:t>
      </w:r>
      <w:r w:rsidRPr="00445CAB">
        <w:rPr>
          <w:rFonts w:ascii="Arial" w:hAnsi="Arial" w:cs="Arial"/>
          <w:i/>
          <w:iCs/>
          <w:sz w:val="22"/>
          <w:szCs w:val="22"/>
        </w:rPr>
        <w:t>PIK3CA</w:t>
      </w:r>
      <w:r w:rsidR="00850AD7" w:rsidRPr="00850AD7">
        <w:rPr>
          <w:rFonts w:ascii="Arial" w:hAnsi="Arial" w:cs="Arial"/>
          <w:sz w:val="22"/>
          <w:szCs w:val="22"/>
        </w:rPr>
        <w:t xml:space="preserve"> mutations in HR+ breast cancer are associated with PI3K pathway-driven tumors that retain sensitivity to CDK4/6 inhibitors and endocrine therapy combinations.</w:t>
      </w:r>
    </w:p>
    <w:p w14:paraId="4F7FC05E" w14:textId="0FF6A7E9"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KRAS</w:t>
      </w:r>
      <w:r w:rsidR="00850AD7" w:rsidRPr="00850AD7">
        <w:rPr>
          <w:rFonts w:ascii="Arial" w:hAnsi="Arial" w:cs="Arial"/>
          <w:sz w:val="22"/>
          <w:szCs w:val="22"/>
        </w:rPr>
        <w:t xml:space="preserve"> probability showed a late-divergence PFS signal, with significant landmark tests at years 3, 4, and 5 (* each), where </w:t>
      </w:r>
      <w:r w:rsidRPr="00445CAB">
        <w:rPr>
          <w:rFonts w:ascii="Arial" w:hAnsi="Arial" w:cs="Arial"/>
          <w:i/>
          <w:iCs/>
          <w:sz w:val="22"/>
          <w:szCs w:val="22"/>
        </w:rPr>
        <w:t>KRAS</w:t>
      </w:r>
      <w:r w:rsidR="00850AD7" w:rsidRPr="00850AD7">
        <w:rPr>
          <w:rFonts w:ascii="Arial" w:hAnsi="Arial" w:cs="Arial"/>
          <w:sz w:val="22"/>
          <w:szCs w:val="22"/>
        </w:rPr>
        <w:t xml:space="preserve">-High patients maintained higher progression-free rates (19.1% vs 6.4% at 4 years). The overall log-rank was non-significant (p = 0.069), suggesting that this represents a late-emerging difference rather than a sustained separation. Given the small cohort size, this finding should be considered hypothesis-generating. </w:t>
      </w:r>
      <w:r w:rsidRPr="00445CAB">
        <w:rPr>
          <w:rFonts w:ascii="Arial" w:hAnsi="Arial" w:cs="Arial"/>
          <w:i/>
          <w:iCs/>
          <w:sz w:val="22"/>
          <w:szCs w:val="22"/>
        </w:rPr>
        <w:t>APC</w:t>
      </w:r>
      <w:r w:rsidR="00850AD7" w:rsidRPr="00850AD7">
        <w:rPr>
          <w:rFonts w:ascii="Arial" w:hAnsi="Arial" w:cs="Arial"/>
          <w:sz w:val="22"/>
          <w:szCs w:val="22"/>
        </w:rPr>
        <w:t xml:space="preserve">, </w:t>
      </w:r>
      <w:r w:rsidRPr="00445CAB">
        <w:rPr>
          <w:rFonts w:ascii="Arial" w:hAnsi="Arial" w:cs="Arial"/>
          <w:i/>
          <w:iCs/>
          <w:sz w:val="22"/>
          <w:szCs w:val="22"/>
        </w:rPr>
        <w:t>KMT2D</w:t>
      </w:r>
      <w:r w:rsidR="00850AD7" w:rsidRPr="00850AD7">
        <w:rPr>
          <w:rFonts w:ascii="Arial" w:hAnsi="Arial" w:cs="Arial"/>
          <w:sz w:val="22"/>
          <w:szCs w:val="22"/>
        </w:rPr>
        <w:t xml:space="preserve">, and </w:t>
      </w:r>
      <w:r w:rsidRPr="00445CAB">
        <w:rPr>
          <w:rFonts w:ascii="Arial" w:hAnsi="Arial" w:cs="Arial"/>
          <w:i/>
          <w:iCs/>
          <w:sz w:val="22"/>
          <w:szCs w:val="22"/>
        </w:rPr>
        <w:t>TTN</w:t>
      </w:r>
      <w:r w:rsidR="00850AD7" w:rsidRPr="00850AD7">
        <w:rPr>
          <w:rFonts w:ascii="Arial" w:hAnsi="Arial" w:cs="Arial"/>
          <w:sz w:val="22"/>
          <w:szCs w:val="22"/>
        </w:rPr>
        <w:t xml:space="preserve"> showed no meaningful prognostic associations in this cohort.</w:t>
      </w:r>
    </w:p>
    <w:p w14:paraId="1E32A55D" w14:textId="1361C5C4" w:rsidR="00E36ABC" w:rsidRDefault="00123ADC"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28ECA6D4" wp14:editId="416EAB73">
            <wp:extent cx="6858000" cy="4148455"/>
            <wp:effectExtent l="0" t="0" r="0" b="4445"/>
            <wp:docPr id="12493524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52484" name="Picture 12493524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4148455"/>
                    </a:xfrm>
                    <a:prstGeom prst="rect">
                      <a:avLst/>
                    </a:prstGeom>
                  </pic:spPr>
                </pic:pic>
              </a:graphicData>
            </a:graphic>
          </wp:inline>
        </w:drawing>
      </w:r>
    </w:p>
    <w:p w14:paraId="5C036E37" w14:textId="32E92B50" w:rsidR="00495A78" w:rsidRPr="00850AD7" w:rsidRDefault="00ED5A23" w:rsidP="00850AD7">
      <w:pPr>
        <w:spacing w:line="240" w:lineRule="auto"/>
        <w:jc w:val="both"/>
        <w:rPr>
          <w:rFonts w:ascii="Arial" w:hAnsi="Arial" w:cs="Arial"/>
          <w:sz w:val="22"/>
          <w:szCs w:val="22"/>
        </w:rPr>
      </w:pPr>
      <w:r w:rsidRPr="00ED5A23">
        <w:rPr>
          <w:rFonts w:ascii="Arial" w:hAnsi="Arial" w:cs="Arial"/>
          <w:b/>
          <w:bCs/>
          <w:sz w:val="20"/>
          <w:szCs w:val="20"/>
        </w:rPr>
        <w:t xml:space="preserve">Figure </w:t>
      </w:r>
      <w:r w:rsidR="00C03201">
        <w:rPr>
          <w:rFonts w:ascii="Arial" w:hAnsi="Arial" w:cs="Arial"/>
          <w:b/>
          <w:bCs/>
          <w:sz w:val="20"/>
          <w:szCs w:val="20"/>
        </w:rPr>
        <w:t>S</w:t>
      </w:r>
      <w:r w:rsidR="00153689">
        <w:rPr>
          <w:rFonts w:ascii="Arial" w:hAnsi="Arial" w:cs="Arial"/>
          <w:b/>
          <w:bCs/>
          <w:sz w:val="20"/>
          <w:szCs w:val="20"/>
        </w:rPr>
        <w:t>7</w:t>
      </w:r>
      <w:r w:rsidRPr="00ED5A23">
        <w:rPr>
          <w:rFonts w:ascii="Arial" w:hAnsi="Arial" w:cs="Arial"/>
          <w:b/>
          <w:bCs/>
          <w:sz w:val="20"/>
          <w:szCs w:val="20"/>
        </w:rPr>
        <w:t xml:space="preserve"> | Summary of univariable Cox regression hazard ratios and concordance indices for all gene mutation probability scores in metastatic HR+/HER2− breast carcinoma (BRCA).</w:t>
      </w:r>
      <w:r w:rsidRPr="00ED5A23">
        <w:rPr>
          <w:rFonts w:ascii="Arial" w:hAnsi="Arial" w:cs="Arial"/>
          <w:sz w:val="20"/>
          <w:szCs w:val="20"/>
        </w:rPr>
        <w:t xml:space="preserve"> </w:t>
      </w:r>
      <w:r w:rsidRPr="00ED5A23">
        <w:rPr>
          <w:rFonts w:ascii="Arial" w:hAnsi="Arial" w:cs="Arial"/>
          <w:sz w:val="16"/>
          <w:szCs w:val="16"/>
        </w:rPr>
        <w:t xml:space="preserve">Three-panel visualization of prognostic utility across OS and PFS. </w:t>
      </w:r>
      <w:r w:rsidRPr="00ED5A23">
        <w:rPr>
          <w:rFonts w:ascii="Arial" w:hAnsi="Arial" w:cs="Arial"/>
          <w:b/>
          <w:bCs/>
          <w:i/>
          <w:iCs/>
          <w:sz w:val="16"/>
          <w:szCs w:val="16"/>
        </w:rPr>
        <w:t>Left:</w:t>
      </w:r>
      <w:r w:rsidRPr="00ED5A23">
        <w:rPr>
          <w:rFonts w:ascii="Arial" w:hAnsi="Arial" w:cs="Arial"/>
          <w:sz w:val="16"/>
          <w:szCs w:val="16"/>
        </w:rPr>
        <w:t xml:space="preserve"> Hazard ratio heatmap from univariable Cox regression using the continuous predicted probability as covariate. Cell color encodes HR magnitude on a red (adverse; HR &gt; 1) to blue (protective; HR &lt; 1) scale; cell area is proportional to HR magnitude. HR point estimates and 95% confidence intervals are shown within each cell. Grey cells indicate insufficient events or unstable estimates. </w:t>
      </w:r>
      <w:r w:rsidRPr="00ED5A23">
        <w:rPr>
          <w:rFonts w:ascii="Arial" w:hAnsi="Arial" w:cs="Arial"/>
          <w:b/>
          <w:bCs/>
          <w:i/>
          <w:iCs/>
          <w:sz w:val="16"/>
          <w:szCs w:val="16"/>
        </w:rPr>
        <w:t>Centre:</w:t>
      </w:r>
      <w:r w:rsidRPr="00ED5A23">
        <w:rPr>
          <w:rFonts w:ascii="Arial" w:hAnsi="Arial" w:cs="Arial"/>
          <w:sz w:val="16"/>
          <w:szCs w:val="16"/>
        </w:rPr>
        <w:t xml:space="preserve"> Hazard ratio heatmap from univariable Cox regression using </w:t>
      </w:r>
      <w:proofErr w:type="gramStart"/>
      <w:r w:rsidRPr="00ED5A23">
        <w:rPr>
          <w:rFonts w:ascii="Arial" w:hAnsi="Arial" w:cs="Arial"/>
          <w:sz w:val="16"/>
          <w:szCs w:val="16"/>
        </w:rPr>
        <w:t>median</w:t>
      </w:r>
      <w:proofErr w:type="gramEnd"/>
      <w:r w:rsidRPr="00ED5A23">
        <w:rPr>
          <w:rFonts w:ascii="Arial" w:hAnsi="Arial" w:cs="Arial"/>
          <w:sz w:val="16"/>
          <w:szCs w:val="16"/>
        </w:rPr>
        <w:t xml:space="preserve">-split binary classification. </w:t>
      </w:r>
      <w:r w:rsidRPr="00ED5A23">
        <w:rPr>
          <w:rFonts w:ascii="Arial" w:hAnsi="Arial" w:cs="Arial"/>
          <w:b/>
          <w:bCs/>
          <w:i/>
          <w:iCs/>
          <w:sz w:val="16"/>
          <w:szCs w:val="16"/>
        </w:rPr>
        <w:t>Right:</w:t>
      </w:r>
      <w:r w:rsidRPr="00ED5A23">
        <w:rPr>
          <w:rFonts w:ascii="Arial" w:hAnsi="Arial" w:cs="Arial"/>
          <w:sz w:val="16"/>
          <w:szCs w:val="16"/>
        </w:rPr>
        <w:t xml:space="preserve"> Concordance index (C-index) heatmap for the continuous predicted probability score (negated, such that higher probability corresponds to higher predicted risk), with a blue color scale ranging from 0.50 (random classifier) to 1.00 (perfect discrimination). Significance designations reflect unadjusted P values: ns P ≥ 0.05; *P &lt; 0.05; **P &lt; 0.01; ***P &lt; 0.001; ****P &lt; 0.0001. Grey cells indicate insufficient data or unstable estimates.</w:t>
      </w:r>
    </w:p>
    <w:p w14:paraId="52B9EAB9" w14:textId="3597C0C7" w:rsidR="00123ADC" w:rsidRDefault="001A31B5" w:rsidP="00850AD7">
      <w:pPr>
        <w:spacing w:line="240" w:lineRule="auto"/>
        <w:jc w:val="both"/>
        <w:rPr>
          <w:rFonts w:ascii="Arial" w:hAnsi="Arial" w:cs="Arial"/>
          <w:sz w:val="22"/>
          <w:szCs w:val="22"/>
        </w:rPr>
      </w:pPr>
      <w:r>
        <w:rPr>
          <w:rFonts w:ascii="Arial" w:hAnsi="Arial" w:cs="Arial"/>
          <w:noProof/>
          <w:sz w:val="22"/>
          <w:szCs w:val="22"/>
        </w:rPr>
        <w:lastRenderedPageBreak/>
        <w:drawing>
          <wp:inline distT="0" distB="0" distL="0" distR="0" wp14:anchorId="35C71BA4" wp14:editId="63637CCD">
            <wp:extent cx="3410712" cy="6184895"/>
            <wp:effectExtent l="0" t="0" r="0" b="6985"/>
            <wp:docPr id="1980342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342047" name="Picture 19803420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10712" cy="6184895"/>
                    </a:xfrm>
                    <a:prstGeom prst="rect">
                      <a:avLst/>
                    </a:prstGeom>
                  </pic:spPr>
                </pic:pic>
              </a:graphicData>
            </a:graphic>
          </wp:inline>
        </w:drawing>
      </w:r>
      <w:r w:rsidR="005A4209">
        <w:rPr>
          <w:rFonts w:ascii="Arial" w:hAnsi="Arial" w:cs="Arial"/>
          <w:noProof/>
          <w:sz w:val="22"/>
          <w:szCs w:val="22"/>
        </w:rPr>
        <w:drawing>
          <wp:inline distT="0" distB="0" distL="0" distR="0" wp14:anchorId="19CB7354" wp14:editId="22DEA267">
            <wp:extent cx="3410712" cy="6184895"/>
            <wp:effectExtent l="0" t="0" r="0" b="6985"/>
            <wp:docPr id="11755629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562946" name="Picture 11755629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10712" cy="6184895"/>
                    </a:xfrm>
                    <a:prstGeom prst="rect">
                      <a:avLst/>
                    </a:prstGeom>
                  </pic:spPr>
                </pic:pic>
              </a:graphicData>
            </a:graphic>
          </wp:inline>
        </w:drawing>
      </w:r>
    </w:p>
    <w:p w14:paraId="42512E6B" w14:textId="6B6F90A6" w:rsidR="00ED5A23" w:rsidRPr="00850AD7" w:rsidRDefault="00364910" w:rsidP="00850AD7">
      <w:pPr>
        <w:spacing w:line="240" w:lineRule="auto"/>
        <w:jc w:val="both"/>
        <w:rPr>
          <w:rFonts w:ascii="Arial" w:hAnsi="Arial" w:cs="Arial"/>
          <w:sz w:val="22"/>
          <w:szCs w:val="22"/>
        </w:rPr>
      </w:pPr>
      <w:r w:rsidRPr="00364910">
        <w:rPr>
          <w:rFonts w:ascii="Arial" w:hAnsi="Arial" w:cs="Arial"/>
          <w:b/>
          <w:bCs/>
          <w:sz w:val="20"/>
          <w:szCs w:val="20"/>
        </w:rPr>
        <w:t xml:space="preserve">Figure </w:t>
      </w:r>
      <w:r w:rsidR="00C03201">
        <w:rPr>
          <w:rFonts w:ascii="Arial" w:hAnsi="Arial" w:cs="Arial"/>
          <w:b/>
          <w:bCs/>
          <w:sz w:val="20"/>
          <w:szCs w:val="20"/>
        </w:rPr>
        <w:t>S</w:t>
      </w:r>
      <w:r w:rsidR="00153689">
        <w:rPr>
          <w:rFonts w:ascii="Arial" w:hAnsi="Arial" w:cs="Arial"/>
          <w:b/>
          <w:bCs/>
          <w:sz w:val="20"/>
          <w:szCs w:val="20"/>
        </w:rPr>
        <w:t>8</w:t>
      </w:r>
      <w:r w:rsidRPr="00364910">
        <w:rPr>
          <w:rFonts w:ascii="Arial" w:hAnsi="Arial" w:cs="Arial"/>
          <w:b/>
          <w:bCs/>
          <w:sz w:val="20"/>
          <w:szCs w:val="20"/>
        </w:rPr>
        <w:t xml:space="preserve"> | Kaplan–Meier survival analysis for </w:t>
      </w:r>
      <w:r w:rsidR="00445CAB" w:rsidRPr="00445CAB">
        <w:rPr>
          <w:rFonts w:ascii="Arial" w:hAnsi="Arial" w:cs="Arial"/>
          <w:b/>
          <w:bCs/>
          <w:i/>
          <w:iCs/>
          <w:sz w:val="20"/>
          <w:szCs w:val="20"/>
        </w:rPr>
        <w:t>APC</w:t>
      </w:r>
      <w:r w:rsidRPr="00364910">
        <w:rPr>
          <w:rFonts w:ascii="Arial" w:hAnsi="Arial" w:cs="Arial"/>
          <w:b/>
          <w:bCs/>
          <w:sz w:val="20"/>
          <w:szCs w:val="20"/>
        </w:rPr>
        <w:t xml:space="preserve">, </w:t>
      </w:r>
      <w:r w:rsidR="00445CAB" w:rsidRPr="00445CAB">
        <w:rPr>
          <w:rFonts w:ascii="Arial" w:hAnsi="Arial" w:cs="Arial"/>
          <w:b/>
          <w:bCs/>
          <w:i/>
          <w:iCs/>
          <w:sz w:val="20"/>
          <w:szCs w:val="20"/>
        </w:rPr>
        <w:t>KMT2D</w:t>
      </w:r>
      <w:r w:rsidRPr="00364910">
        <w:rPr>
          <w:rFonts w:ascii="Arial" w:hAnsi="Arial" w:cs="Arial"/>
          <w:b/>
          <w:bCs/>
          <w:sz w:val="20"/>
          <w:szCs w:val="20"/>
        </w:rPr>
        <w:t xml:space="preserve">, </w:t>
      </w:r>
      <w:r w:rsidR="00445CAB" w:rsidRPr="00445CAB">
        <w:rPr>
          <w:rFonts w:ascii="Arial" w:hAnsi="Arial" w:cs="Arial"/>
          <w:b/>
          <w:bCs/>
          <w:i/>
          <w:iCs/>
          <w:sz w:val="20"/>
          <w:szCs w:val="20"/>
        </w:rPr>
        <w:t>KRAS</w:t>
      </w:r>
      <w:r>
        <w:rPr>
          <w:rFonts w:ascii="Arial" w:hAnsi="Arial" w:cs="Arial"/>
          <w:b/>
          <w:bCs/>
          <w:sz w:val="20"/>
          <w:szCs w:val="20"/>
        </w:rPr>
        <w:t xml:space="preserve">, </w:t>
      </w:r>
      <w:r w:rsidR="00445CAB" w:rsidRPr="00445CAB">
        <w:rPr>
          <w:rFonts w:ascii="Arial" w:hAnsi="Arial" w:cs="Arial"/>
          <w:b/>
          <w:bCs/>
          <w:i/>
          <w:iCs/>
          <w:sz w:val="20"/>
          <w:szCs w:val="20"/>
        </w:rPr>
        <w:t>PIK3CA</w:t>
      </w:r>
      <w:r w:rsidRPr="00364910">
        <w:rPr>
          <w:rFonts w:ascii="Arial" w:hAnsi="Arial" w:cs="Arial"/>
          <w:b/>
          <w:bCs/>
          <w:sz w:val="20"/>
          <w:szCs w:val="20"/>
        </w:rPr>
        <w:t xml:space="preserve">, </w:t>
      </w:r>
      <w:r w:rsidR="00445CAB" w:rsidRPr="00445CAB">
        <w:rPr>
          <w:rFonts w:ascii="Arial" w:hAnsi="Arial" w:cs="Arial"/>
          <w:b/>
          <w:bCs/>
          <w:i/>
          <w:iCs/>
          <w:sz w:val="20"/>
          <w:szCs w:val="20"/>
        </w:rPr>
        <w:t>TP53</w:t>
      </w:r>
      <w:r w:rsidRPr="00364910">
        <w:rPr>
          <w:rFonts w:ascii="Arial" w:hAnsi="Arial" w:cs="Arial"/>
          <w:b/>
          <w:bCs/>
          <w:sz w:val="20"/>
          <w:szCs w:val="20"/>
        </w:rPr>
        <w:t xml:space="preserve">, and </w:t>
      </w:r>
      <w:r w:rsidR="00445CAB" w:rsidRPr="00445CAB">
        <w:rPr>
          <w:rFonts w:ascii="Arial" w:hAnsi="Arial" w:cs="Arial"/>
          <w:b/>
          <w:bCs/>
          <w:i/>
          <w:iCs/>
          <w:sz w:val="20"/>
          <w:szCs w:val="20"/>
        </w:rPr>
        <w:t>TTN</w:t>
      </w:r>
      <w:r w:rsidRPr="00364910">
        <w:rPr>
          <w:rFonts w:ascii="Arial" w:hAnsi="Arial" w:cs="Arial"/>
          <w:b/>
          <w:bCs/>
          <w:sz w:val="20"/>
          <w:szCs w:val="20"/>
        </w:rPr>
        <w:t xml:space="preserve"> mutation probability scores in metastatic HR+/HER2− breast carcinoma (BRCA; n = 94).</w:t>
      </w:r>
      <w:r w:rsidRPr="00364910">
        <w:rPr>
          <w:rFonts w:ascii="Arial" w:hAnsi="Arial" w:cs="Arial"/>
          <w:sz w:val="22"/>
          <w:szCs w:val="22"/>
        </w:rPr>
        <w:t xml:space="preserve"> </w:t>
      </w:r>
      <w:r w:rsidRPr="00364910">
        <w:rPr>
          <w:rFonts w:ascii="Arial" w:hAnsi="Arial" w:cs="Arial"/>
          <w:sz w:val="16"/>
          <w:szCs w:val="16"/>
        </w:rPr>
        <w:t>Kaplan–Meier curves for overall survival (OS) and progression-free survival (PFS) stratified by GenoGlyph-predicted mutation probability using two thresholding strategies: median split (left) and binary threshold at 0.5 (right). Red curves indicate the High-probability group; blue curves indicate the Low-probability group. Shaded regions represent 95% confidence intervals. Number-at-risk tables are shown below each panel. P values from log-rank tests are displayed in the upper right of each panel; ns, not significant (P ≥ 0.05); *P &lt; 0.05.</w:t>
      </w:r>
    </w:p>
    <w:p w14:paraId="7303A93E" w14:textId="15F3BAED" w:rsidR="00850AD7" w:rsidRPr="0051499A" w:rsidRDefault="00850AD7" w:rsidP="00850AD7">
      <w:pPr>
        <w:spacing w:line="240" w:lineRule="auto"/>
        <w:jc w:val="both"/>
        <w:rPr>
          <w:rFonts w:ascii="Arial" w:hAnsi="Arial" w:cs="Arial"/>
          <w:b/>
          <w:bCs/>
          <w:sz w:val="22"/>
          <w:szCs w:val="22"/>
        </w:rPr>
      </w:pPr>
      <w:r w:rsidRPr="0051499A">
        <w:rPr>
          <w:rFonts w:ascii="Arial" w:hAnsi="Arial" w:cs="Arial"/>
          <w:b/>
          <w:bCs/>
          <w:sz w:val="22"/>
          <w:szCs w:val="22"/>
        </w:rPr>
        <w:t>S</w:t>
      </w:r>
      <w:r w:rsidR="00535A8C">
        <w:rPr>
          <w:rFonts w:ascii="Arial" w:hAnsi="Arial" w:cs="Arial"/>
          <w:b/>
          <w:bCs/>
          <w:sz w:val="22"/>
          <w:szCs w:val="22"/>
        </w:rPr>
        <w:t>ection S</w:t>
      </w:r>
      <w:r w:rsidR="000D379A">
        <w:rPr>
          <w:rFonts w:ascii="Arial" w:hAnsi="Arial" w:cs="Arial"/>
          <w:b/>
          <w:bCs/>
          <w:sz w:val="22"/>
          <w:szCs w:val="22"/>
        </w:rPr>
        <w:t>5</w:t>
      </w:r>
      <w:r w:rsidRPr="0051499A">
        <w:rPr>
          <w:rFonts w:ascii="Arial" w:hAnsi="Arial" w:cs="Arial"/>
          <w:b/>
          <w:bCs/>
          <w:sz w:val="22"/>
          <w:szCs w:val="22"/>
        </w:rPr>
        <w:t>: Cross-Cohort Observations and Biological Interpretation</w:t>
      </w:r>
    </w:p>
    <w:p w14:paraId="6E809A38" w14:textId="735E1320" w:rsidR="00850AD7" w:rsidRPr="0051499A" w:rsidRDefault="00445CAB" w:rsidP="00850AD7">
      <w:pPr>
        <w:spacing w:line="240" w:lineRule="auto"/>
        <w:jc w:val="both"/>
        <w:rPr>
          <w:rFonts w:ascii="Arial" w:hAnsi="Arial" w:cs="Arial"/>
          <w:b/>
          <w:bCs/>
          <w:sz w:val="22"/>
          <w:szCs w:val="22"/>
        </w:rPr>
      </w:pPr>
      <w:r w:rsidRPr="00445CAB">
        <w:rPr>
          <w:rFonts w:ascii="Arial" w:hAnsi="Arial" w:cs="Arial"/>
          <w:b/>
          <w:bCs/>
          <w:i/>
          <w:iCs/>
          <w:sz w:val="22"/>
          <w:szCs w:val="22"/>
        </w:rPr>
        <w:t>KRAS</w:t>
      </w:r>
      <w:r w:rsidR="00850AD7" w:rsidRPr="0051499A">
        <w:rPr>
          <w:rFonts w:ascii="Arial" w:hAnsi="Arial" w:cs="Arial"/>
          <w:b/>
          <w:bCs/>
          <w:sz w:val="22"/>
          <w:szCs w:val="22"/>
        </w:rPr>
        <w:t xml:space="preserve"> Probability as a Versatile but Directionally Variable Prognostic Feature</w:t>
      </w:r>
    </w:p>
    <w:p w14:paraId="56A9495C" w14:textId="639AC0EC" w:rsidR="00850AD7" w:rsidRPr="00850AD7" w:rsidRDefault="00850AD7" w:rsidP="00850AD7">
      <w:pPr>
        <w:spacing w:line="240" w:lineRule="auto"/>
        <w:jc w:val="both"/>
        <w:rPr>
          <w:rFonts w:ascii="Arial" w:hAnsi="Arial" w:cs="Arial"/>
          <w:sz w:val="22"/>
          <w:szCs w:val="22"/>
        </w:rPr>
      </w:pPr>
      <w:r w:rsidRPr="00850AD7">
        <w:rPr>
          <w:rFonts w:ascii="Arial" w:hAnsi="Arial" w:cs="Arial"/>
          <w:sz w:val="22"/>
          <w:szCs w:val="22"/>
        </w:rPr>
        <w:t xml:space="preserve">Across three of four cohorts, </w:t>
      </w:r>
      <w:r w:rsidR="00445CAB" w:rsidRPr="00445CAB">
        <w:rPr>
          <w:rFonts w:ascii="Arial" w:hAnsi="Arial" w:cs="Arial"/>
          <w:i/>
          <w:iCs/>
          <w:sz w:val="22"/>
          <w:szCs w:val="22"/>
        </w:rPr>
        <w:t>KRAS</w:t>
      </w:r>
      <w:r w:rsidRPr="00850AD7">
        <w:rPr>
          <w:rFonts w:ascii="Arial" w:hAnsi="Arial" w:cs="Arial"/>
          <w:sz w:val="22"/>
          <w:szCs w:val="22"/>
        </w:rPr>
        <w:t xml:space="preserve"> mutation probability derived from H&amp;E WSIs carried significant prognostic information. In LUAD, high </w:t>
      </w:r>
      <w:r w:rsidR="00445CAB" w:rsidRPr="00445CAB">
        <w:rPr>
          <w:rFonts w:ascii="Arial" w:hAnsi="Arial" w:cs="Arial"/>
          <w:i/>
          <w:iCs/>
          <w:sz w:val="22"/>
          <w:szCs w:val="22"/>
        </w:rPr>
        <w:t>KRAS</w:t>
      </w:r>
      <w:r w:rsidRPr="00850AD7">
        <w:rPr>
          <w:rFonts w:ascii="Arial" w:hAnsi="Arial" w:cs="Arial"/>
          <w:sz w:val="22"/>
          <w:szCs w:val="22"/>
        </w:rPr>
        <w:t xml:space="preserve"> probability identified patients at elevated risk of recurrence and death (HR 1.78–1.83 across endpoints). In CRC, </w:t>
      </w:r>
      <w:r w:rsidR="00445CAB" w:rsidRPr="00445CAB">
        <w:rPr>
          <w:rFonts w:ascii="Arial" w:hAnsi="Arial" w:cs="Arial"/>
          <w:i/>
          <w:iCs/>
          <w:sz w:val="22"/>
          <w:szCs w:val="22"/>
        </w:rPr>
        <w:t>KRAS</w:t>
      </w:r>
      <w:r w:rsidRPr="00850AD7">
        <w:rPr>
          <w:rFonts w:ascii="Arial" w:hAnsi="Arial" w:cs="Arial"/>
          <w:sz w:val="22"/>
          <w:szCs w:val="22"/>
        </w:rPr>
        <w:t xml:space="preserve"> probability stratified patients with consistent landmark-stable separation across OS, DFS, and RFS over five years, representing the most temporally sustained prognostic signal in the study. In PDAC, however, higher </w:t>
      </w:r>
      <w:r w:rsidR="00445CAB" w:rsidRPr="00445CAB">
        <w:rPr>
          <w:rFonts w:ascii="Arial" w:hAnsi="Arial" w:cs="Arial"/>
          <w:i/>
          <w:iCs/>
          <w:sz w:val="22"/>
          <w:szCs w:val="22"/>
        </w:rPr>
        <w:t>KRAS</w:t>
      </w:r>
      <w:r w:rsidRPr="00850AD7">
        <w:rPr>
          <w:rFonts w:ascii="Arial" w:hAnsi="Arial" w:cs="Arial"/>
          <w:sz w:val="22"/>
          <w:szCs w:val="22"/>
        </w:rPr>
        <w:t xml:space="preserve"> probability was strongly associated with better OS (HR = 0.09, p &lt; 0.0001), reflecting an inverted prognostic direction that we attribute to the GenoGlyph model capturing classical glandular differentiation morphology in the context of this pancreas-specific cancer biology. This directional inversion across cancer types underscores the importance of cohort-specific biological </w:t>
      </w:r>
      <w:r w:rsidRPr="00850AD7">
        <w:rPr>
          <w:rFonts w:ascii="Arial" w:hAnsi="Arial" w:cs="Arial"/>
          <w:sz w:val="22"/>
          <w:szCs w:val="22"/>
        </w:rPr>
        <w:lastRenderedPageBreak/>
        <w:t xml:space="preserve">contextualization when interpreting pan-cancer model outputs in prognostic </w:t>
      </w:r>
      <w:proofErr w:type="gramStart"/>
      <w:r w:rsidRPr="00850AD7">
        <w:rPr>
          <w:rFonts w:ascii="Arial" w:hAnsi="Arial" w:cs="Arial"/>
          <w:sz w:val="22"/>
          <w:szCs w:val="22"/>
        </w:rPr>
        <w:t>settings, and</w:t>
      </w:r>
      <w:proofErr w:type="gramEnd"/>
      <w:r w:rsidRPr="00850AD7">
        <w:rPr>
          <w:rFonts w:ascii="Arial" w:hAnsi="Arial" w:cs="Arial"/>
          <w:sz w:val="22"/>
          <w:szCs w:val="22"/>
        </w:rPr>
        <w:t xml:space="preserve"> motivates future work integrating subtype-specific morphological annotations.</w:t>
      </w:r>
    </w:p>
    <w:p w14:paraId="3770215E" w14:textId="4871E6D8" w:rsidR="00850AD7" w:rsidRPr="0051499A" w:rsidRDefault="00445CAB" w:rsidP="00850AD7">
      <w:pPr>
        <w:spacing w:line="240" w:lineRule="auto"/>
        <w:jc w:val="both"/>
        <w:rPr>
          <w:rFonts w:ascii="Arial" w:hAnsi="Arial" w:cs="Arial"/>
          <w:b/>
          <w:bCs/>
          <w:sz w:val="22"/>
          <w:szCs w:val="22"/>
        </w:rPr>
      </w:pPr>
      <w:r w:rsidRPr="00445CAB">
        <w:rPr>
          <w:rFonts w:ascii="Arial" w:hAnsi="Arial" w:cs="Arial"/>
          <w:b/>
          <w:bCs/>
          <w:i/>
          <w:iCs/>
          <w:sz w:val="22"/>
          <w:szCs w:val="22"/>
        </w:rPr>
        <w:t>BRAF</w:t>
      </w:r>
      <w:r w:rsidR="00850AD7" w:rsidRPr="0051499A">
        <w:rPr>
          <w:rFonts w:ascii="Arial" w:hAnsi="Arial" w:cs="Arial"/>
          <w:b/>
          <w:bCs/>
          <w:sz w:val="22"/>
          <w:szCs w:val="22"/>
        </w:rPr>
        <w:t xml:space="preserve"> Probability and the Continuous-versus-Binary Discordance</w:t>
      </w:r>
    </w:p>
    <w:p w14:paraId="63BCEFE8" w14:textId="63B2C4EE"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BRAF</w:t>
      </w:r>
      <w:r w:rsidR="00850AD7" w:rsidRPr="00850AD7">
        <w:rPr>
          <w:rFonts w:ascii="Arial" w:hAnsi="Arial" w:cs="Arial"/>
          <w:sz w:val="22"/>
          <w:szCs w:val="22"/>
        </w:rPr>
        <w:t xml:space="preserve"> mutation probability in CRC demonstrated a notable methodological observation: significant FDR-robust associations were observed with the continuous Cox model (p = 0.001–0.003, FDR q = 0.003–0.018), while binary median split failed to reach significance. This discordance reflects the known limitation of median dichotomization in survival analysis</w:t>
      </w:r>
      <w:r w:rsidR="0051499A">
        <w:rPr>
          <w:rFonts w:ascii="Arial" w:hAnsi="Arial" w:cs="Arial"/>
          <w:sz w:val="22"/>
          <w:szCs w:val="22"/>
        </w:rPr>
        <w:t>,</w:t>
      </w:r>
      <w:r w:rsidR="00850AD7" w:rsidRPr="00850AD7">
        <w:rPr>
          <w:rFonts w:ascii="Arial" w:hAnsi="Arial" w:cs="Arial"/>
          <w:sz w:val="22"/>
          <w:szCs w:val="22"/>
        </w:rPr>
        <w:t xml:space="preserve"> when the prognostic signal is encoded as a continuous gradient without a natural biological threshold, median splitting reduces statistical power. The landmark analysis confirmed that </w:t>
      </w:r>
      <w:r w:rsidRPr="00445CAB">
        <w:rPr>
          <w:rFonts w:ascii="Arial" w:hAnsi="Arial" w:cs="Arial"/>
          <w:i/>
          <w:iCs/>
          <w:sz w:val="22"/>
          <w:szCs w:val="22"/>
        </w:rPr>
        <w:t>BRAF</w:t>
      </w:r>
      <w:r w:rsidR="00850AD7" w:rsidRPr="00850AD7">
        <w:rPr>
          <w:rFonts w:ascii="Arial" w:hAnsi="Arial" w:cs="Arial"/>
          <w:sz w:val="22"/>
          <w:szCs w:val="22"/>
        </w:rPr>
        <w:t xml:space="preserve">-High patients accumulate excess events continuously from year 1 through year 4, consistent with a graded dose-response relationship between the </w:t>
      </w:r>
      <w:r w:rsidRPr="00445CAB">
        <w:rPr>
          <w:rFonts w:ascii="Arial" w:hAnsi="Arial" w:cs="Arial"/>
          <w:i/>
          <w:sz w:val="22"/>
          <w:szCs w:val="22"/>
        </w:rPr>
        <w:t>BRAF</w:t>
      </w:r>
      <w:r w:rsidR="00850AD7" w:rsidRPr="00850AD7">
        <w:rPr>
          <w:rFonts w:ascii="Arial" w:hAnsi="Arial" w:cs="Arial"/>
          <w:sz w:val="22"/>
          <w:szCs w:val="22"/>
        </w:rPr>
        <w:t xml:space="preserve"> morphological probability score and adverse outcome. This is clinically consistent with </w:t>
      </w:r>
      <w:r w:rsidRPr="00445CAB">
        <w:rPr>
          <w:rFonts w:ascii="Arial" w:hAnsi="Arial" w:cs="Arial"/>
          <w:i/>
          <w:iCs/>
          <w:sz w:val="22"/>
          <w:szCs w:val="22"/>
        </w:rPr>
        <w:t>BRAF</w:t>
      </w:r>
      <w:r w:rsidR="00850AD7" w:rsidRPr="00850AD7">
        <w:rPr>
          <w:rFonts w:ascii="Arial" w:hAnsi="Arial" w:cs="Arial"/>
          <w:sz w:val="22"/>
          <w:szCs w:val="22"/>
        </w:rPr>
        <w:t xml:space="preserve">-mutated CRC having a well-recognized adverse prognosis driven by resistance to </w:t>
      </w:r>
      <w:r w:rsidR="00850AD7" w:rsidRPr="0074499C">
        <w:rPr>
          <w:rFonts w:ascii="Arial" w:hAnsi="Arial" w:cs="Arial"/>
          <w:i/>
          <w:iCs/>
          <w:sz w:val="22"/>
          <w:szCs w:val="22"/>
        </w:rPr>
        <w:t>EGFR</w:t>
      </w:r>
      <w:r w:rsidR="00850AD7" w:rsidRPr="00850AD7">
        <w:rPr>
          <w:rFonts w:ascii="Arial" w:hAnsi="Arial" w:cs="Arial"/>
          <w:sz w:val="22"/>
          <w:szCs w:val="22"/>
        </w:rPr>
        <w:t>-targeted therapies and enrichment in aggressive histological subtypes.</w:t>
      </w:r>
    </w:p>
    <w:p w14:paraId="624C9289" w14:textId="2009692A" w:rsidR="00850AD7" w:rsidRPr="0051499A" w:rsidRDefault="00445CAB" w:rsidP="00850AD7">
      <w:pPr>
        <w:spacing w:line="240" w:lineRule="auto"/>
        <w:jc w:val="both"/>
        <w:rPr>
          <w:rFonts w:ascii="Arial" w:hAnsi="Arial" w:cs="Arial"/>
          <w:b/>
          <w:bCs/>
          <w:sz w:val="22"/>
          <w:szCs w:val="22"/>
        </w:rPr>
      </w:pPr>
      <w:r w:rsidRPr="00445CAB">
        <w:rPr>
          <w:rFonts w:ascii="Arial" w:hAnsi="Arial" w:cs="Arial"/>
          <w:b/>
          <w:bCs/>
          <w:i/>
          <w:iCs/>
          <w:sz w:val="22"/>
          <w:szCs w:val="22"/>
        </w:rPr>
        <w:t>TP53</w:t>
      </w:r>
      <w:r w:rsidR="00850AD7" w:rsidRPr="0051499A">
        <w:rPr>
          <w:rFonts w:ascii="Arial" w:hAnsi="Arial" w:cs="Arial"/>
          <w:b/>
          <w:bCs/>
          <w:sz w:val="22"/>
          <w:szCs w:val="22"/>
        </w:rPr>
        <w:t xml:space="preserve"> Probability: Early Signal in Lung, Late Divergence in Breast</w:t>
      </w:r>
    </w:p>
    <w:p w14:paraId="2E9E8A41" w14:textId="5BA76926"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TP53</w:t>
      </w:r>
      <w:r w:rsidR="00850AD7" w:rsidRPr="00850AD7">
        <w:rPr>
          <w:rFonts w:ascii="Arial" w:hAnsi="Arial" w:cs="Arial"/>
          <w:sz w:val="22"/>
          <w:szCs w:val="22"/>
        </w:rPr>
        <w:t xml:space="preserve"> mutation probability demonstrated distinct temporal patterns across cohorts. In LUAD, </w:t>
      </w:r>
      <w:r w:rsidRPr="00445CAB">
        <w:rPr>
          <w:rFonts w:ascii="Arial" w:hAnsi="Arial" w:cs="Arial"/>
          <w:i/>
          <w:iCs/>
          <w:sz w:val="22"/>
          <w:szCs w:val="22"/>
        </w:rPr>
        <w:t>TP53</w:t>
      </w:r>
      <w:r w:rsidR="00850AD7" w:rsidRPr="00850AD7">
        <w:rPr>
          <w:rFonts w:ascii="Arial" w:hAnsi="Arial" w:cs="Arial"/>
          <w:sz w:val="22"/>
          <w:szCs w:val="22"/>
        </w:rPr>
        <w:t xml:space="preserve">-associated OS differences were concentrated in the early follow-up period (1–2 years), consistent with </w:t>
      </w:r>
      <w:r w:rsidRPr="00445CAB">
        <w:rPr>
          <w:rFonts w:ascii="Arial" w:hAnsi="Arial" w:cs="Arial"/>
          <w:i/>
          <w:iCs/>
          <w:sz w:val="22"/>
          <w:szCs w:val="22"/>
        </w:rPr>
        <w:t>TP53</w:t>
      </w:r>
      <w:r w:rsidR="00850AD7" w:rsidRPr="00850AD7">
        <w:rPr>
          <w:rFonts w:ascii="Arial" w:hAnsi="Arial" w:cs="Arial"/>
          <w:sz w:val="22"/>
          <w:szCs w:val="22"/>
        </w:rPr>
        <w:t xml:space="preserve"> mutations driving aggressive early tumor behavior. In BRCA, by contrast, </w:t>
      </w:r>
      <w:r w:rsidRPr="00445CAB">
        <w:rPr>
          <w:rFonts w:ascii="Arial" w:hAnsi="Arial" w:cs="Arial"/>
          <w:i/>
          <w:iCs/>
          <w:sz w:val="22"/>
          <w:szCs w:val="22"/>
        </w:rPr>
        <w:t>TP53</w:t>
      </w:r>
      <w:r w:rsidR="00850AD7" w:rsidRPr="00850AD7">
        <w:rPr>
          <w:rFonts w:ascii="Arial" w:hAnsi="Arial" w:cs="Arial"/>
          <w:sz w:val="22"/>
          <w:szCs w:val="22"/>
        </w:rPr>
        <w:t xml:space="preserve">-associated PFS differences emerged only at years 3–4, with the </w:t>
      </w:r>
      <w:r w:rsidRPr="00445CAB">
        <w:rPr>
          <w:rFonts w:ascii="Arial" w:hAnsi="Arial" w:cs="Arial"/>
          <w:i/>
          <w:iCs/>
          <w:sz w:val="22"/>
          <w:szCs w:val="22"/>
        </w:rPr>
        <w:t>TP53</w:t>
      </w:r>
      <w:r w:rsidR="00850AD7" w:rsidRPr="00850AD7">
        <w:rPr>
          <w:rFonts w:ascii="Arial" w:hAnsi="Arial" w:cs="Arial"/>
          <w:sz w:val="22"/>
          <w:szCs w:val="22"/>
        </w:rPr>
        <w:t xml:space="preserve">-High group reaching 0% progression-free survival by year 4 while the Low group maintained approximately 25% PFS. This late-divergence pattern in metastatic HR+ breast cancer is clinically interpretable: </w:t>
      </w:r>
      <w:r w:rsidRPr="00445CAB">
        <w:rPr>
          <w:rFonts w:ascii="Arial" w:hAnsi="Arial" w:cs="Arial"/>
          <w:i/>
          <w:sz w:val="22"/>
          <w:szCs w:val="22"/>
        </w:rPr>
        <w:t>TP53</w:t>
      </w:r>
      <w:r w:rsidR="00850AD7" w:rsidRPr="0074499C">
        <w:rPr>
          <w:rFonts w:ascii="Arial" w:hAnsi="Arial" w:cs="Arial"/>
          <w:i/>
          <w:iCs/>
          <w:sz w:val="22"/>
          <w:szCs w:val="22"/>
        </w:rPr>
        <w:t>-</w:t>
      </w:r>
      <w:r w:rsidR="00850AD7" w:rsidRPr="00850AD7">
        <w:rPr>
          <w:rFonts w:ascii="Arial" w:hAnsi="Arial" w:cs="Arial"/>
          <w:sz w:val="22"/>
          <w:szCs w:val="22"/>
        </w:rPr>
        <w:t>mutated tumors may exhibit initial responses to endocrine and CDK4/6 inhibitor therapy before acquiring resistance mechanisms that ultimately drive progression. The histopathological probability score may therefore be capturing morphological correlates of this resistance biology.</w:t>
      </w:r>
    </w:p>
    <w:p w14:paraId="132ABC74" w14:textId="316D5A2D" w:rsidR="00850AD7" w:rsidRPr="0051499A" w:rsidRDefault="00445CAB" w:rsidP="00850AD7">
      <w:pPr>
        <w:spacing w:line="240" w:lineRule="auto"/>
        <w:jc w:val="both"/>
        <w:rPr>
          <w:rFonts w:ascii="Arial" w:hAnsi="Arial" w:cs="Arial"/>
          <w:b/>
          <w:bCs/>
          <w:sz w:val="22"/>
          <w:szCs w:val="22"/>
        </w:rPr>
      </w:pPr>
      <w:r w:rsidRPr="00445CAB">
        <w:rPr>
          <w:rFonts w:ascii="Arial" w:hAnsi="Arial" w:cs="Arial"/>
          <w:b/>
          <w:bCs/>
          <w:i/>
          <w:iCs/>
          <w:sz w:val="22"/>
          <w:szCs w:val="22"/>
        </w:rPr>
        <w:t>KMT2D</w:t>
      </w:r>
      <w:r w:rsidR="00850AD7" w:rsidRPr="0051499A">
        <w:rPr>
          <w:rFonts w:ascii="Arial" w:hAnsi="Arial" w:cs="Arial"/>
          <w:b/>
          <w:bCs/>
          <w:sz w:val="22"/>
          <w:szCs w:val="22"/>
        </w:rPr>
        <w:t xml:space="preserve"> as an Emerging Prognostic Marker in CRC</w:t>
      </w:r>
    </w:p>
    <w:p w14:paraId="49D75894" w14:textId="025F8CB2" w:rsidR="00850AD7" w:rsidRPr="00850AD7" w:rsidRDefault="00445CAB" w:rsidP="00850AD7">
      <w:pPr>
        <w:spacing w:line="240" w:lineRule="auto"/>
        <w:jc w:val="both"/>
        <w:rPr>
          <w:rFonts w:ascii="Arial" w:hAnsi="Arial" w:cs="Arial"/>
          <w:sz w:val="22"/>
          <w:szCs w:val="22"/>
        </w:rPr>
      </w:pPr>
      <w:r w:rsidRPr="00445CAB">
        <w:rPr>
          <w:rFonts w:ascii="Arial" w:hAnsi="Arial" w:cs="Arial"/>
          <w:i/>
          <w:iCs/>
          <w:sz w:val="22"/>
          <w:szCs w:val="22"/>
        </w:rPr>
        <w:t>KMT2D</w:t>
      </w:r>
      <w:r w:rsidR="00850AD7" w:rsidRPr="00850AD7">
        <w:rPr>
          <w:rFonts w:ascii="Arial" w:hAnsi="Arial" w:cs="Arial"/>
          <w:sz w:val="22"/>
          <w:szCs w:val="22"/>
        </w:rPr>
        <w:t xml:space="preserve"> mutation probability demonstrated consistent and landmark-stable prognostic utility in the CRC cohort, with OS landmark tests maintaining ** or *** significance from year 2 through year 5. </w:t>
      </w:r>
      <w:r w:rsidRPr="00445CAB">
        <w:rPr>
          <w:rFonts w:ascii="Arial" w:hAnsi="Arial" w:cs="Arial"/>
          <w:i/>
          <w:iCs/>
          <w:sz w:val="22"/>
          <w:szCs w:val="22"/>
        </w:rPr>
        <w:t>KMT2D</w:t>
      </w:r>
      <w:r w:rsidR="00850AD7" w:rsidRPr="00850AD7">
        <w:rPr>
          <w:rFonts w:ascii="Arial" w:hAnsi="Arial" w:cs="Arial"/>
          <w:sz w:val="22"/>
          <w:szCs w:val="22"/>
        </w:rPr>
        <w:t xml:space="preserve"> encodes a lysine methyltransferase involved in H3K4 methylation and chromatin remodeling, and its mutations are associated with dysregulation of enhancer landscapes and transcriptional programs relevant to tumor progression. That GenoGlyph's </w:t>
      </w:r>
      <w:r w:rsidRPr="00445CAB">
        <w:rPr>
          <w:rFonts w:ascii="Arial" w:hAnsi="Arial" w:cs="Arial"/>
          <w:i/>
          <w:iCs/>
          <w:sz w:val="22"/>
          <w:szCs w:val="22"/>
        </w:rPr>
        <w:t>KMT2D</w:t>
      </w:r>
      <w:r w:rsidR="00850AD7" w:rsidRPr="00850AD7">
        <w:rPr>
          <w:rFonts w:ascii="Arial" w:hAnsi="Arial" w:cs="Arial"/>
          <w:sz w:val="22"/>
          <w:szCs w:val="22"/>
        </w:rPr>
        <w:t xml:space="preserve"> probability</w:t>
      </w:r>
      <w:r w:rsidR="0051499A">
        <w:rPr>
          <w:rFonts w:ascii="Arial" w:hAnsi="Arial" w:cs="Arial"/>
          <w:sz w:val="22"/>
          <w:szCs w:val="22"/>
        </w:rPr>
        <w:t>,</w:t>
      </w:r>
      <w:r w:rsidR="00850AD7" w:rsidRPr="00850AD7">
        <w:rPr>
          <w:rFonts w:ascii="Arial" w:hAnsi="Arial" w:cs="Arial"/>
          <w:sz w:val="22"/>
          <w:szCs w:val="22"/>
        </w:rPr>
        <w:t xml:space="preserve"> derived from H&amp;E morphology alone</w:t>
      </w:r>
      <w:r w:rsidR="0051499A">
        <w:rPr>
          <w:rFonts w:ascii="Arial" w:hAnsi="Arial" w:cs="Arial"/>
          <w:sz w:val="22"/>
          <w:szCs w:val="22"/>
        </w:rPr>
        <w:t>,</w:t>
      </w:r>
      <w:r w:rsidR="00850AD7" w:rsidRPr="00850AD7">
        <w:rPr>
          <w:rFonts w:ascii="Arial" w:hAnsi="Arial" w:cs="Arial"/>
          <w:sz w:val="22"/>
          <w:szCs w:val="22"/>
        </w:rPr>
        <w:t xml:space="preserve"> captures information predictive of long-term CRC survival suggests that </w:t>
      </w:r>
      <w:r w:rsidRPr="00445CAB">
        <w:rPr>
          <w:rFonts w:ascii="Arial" w:hAnsi="Arial" w:cs="Arial"/>
          <w:i/>
          <w:iCs/>
          <w:sz w:val="22"/>
          <w:szCs w:val="22"/>
        </w:rPr>
        <w:t>KMT2D</w:t>
      </w:r>
      <w:r w:rsidR="00850AD7" w:rsidRPr="00850AD7">
        <w:rPr>
          <w:rFonts w:ascii="Arial" w:hAnsi="Arial" w:cs="Arial"/>
          <w:sz w:val="22"/>
          <w:szCs w:val="22"/>
        </w:rPr>
        <w:t xml:space="preserve"> mutation drives recognizable histomorphological changes, potentially including nuclear architecture alterations, stromal remodeling patterns, or immune microenvironmental features that are encoded in tissue organization. This finding warrants prospective validation and suggests </w:t>
      </w:r>
      <w:r w:rsidRPr="00445CAB">
        <w:rPr>
          <w:rFonts w:ascii="Arial" w:hAnsi="Arial" w:cs="Arial"/>
          <w:i/>
          <w:iCs/>
          <w:sz w:val="22"/>
          <w:szCs w:val="22"/>
        </w:rPr>
        <w:t>KMT2D</w:t>
      </w:r>
      <w:r w:rsidR="00850AD7" w:rsidRPr="00850AD7">
        <w:rPr>
          <w:rFonts w:ascii="Arial" w:hAnsi="Arial" w:cs="Arial"/>
          <w:sz w:val="22"/>
          <w:szCs w:val="22"/>
        </w:rPr>
        <w:t xml:space="preserve"> probability as a candidate H&amp;E-derived prognostic biomarker for CRC.</w:t>
      </w:r>
    </w:p>
    <w:p w14:paraId="40538DE4" w14:textId="77777777" w:rsidR="003759FE" w:rsidRPr="003759FE" w:rsidRDefault="003759FE" w:rsidP="003759FE">
      <w:pPr>
        <w:spacing w:line="240" w:lineRule="auto"/>
        <w:jc w:val="both"/>
        <w:rPr>
          <w:rFonts w:ascii="Arial" w:hAnsi="Arial" w:cs="Arial"/>
          <w:b/>
          <w:bCs/>
          <w:sz w:val="22"/>
          <w:szCs w:val="22"/>
        </w:rPr>
      </w:pPr>
      <w:r w:rsidRPr="003759FE">
        <w:rPr>
          <w:rFonts w:ascii="Arial" w:hAnsi="Arial" w:cs="Arial"/>
          <w:b/>
          <w:bCs/>
          <w:sz w:val="22"/>
          <w:szCs w:val="22"/>
        </w:rPr>
        <w:t>Supplementary Tables</w:t>
      </w:r>
    </w:p>
    <w:p w14:paraId="42A7B031" w14:textId="54CCF8B0" w:rsidR="003759FE" w:rsidRPr="003759FE" w:rsidRDefault="00DE57BC" w:rsidP="003759FE">
      <w:pPr>
        <w:spacing w:line="240" w:lineRule="auto"/>
        <w:jc w:val="both"/>
        <w:rPr>
          <w:rFonts w:ascii="Arial" w:hAnsi="Arial" w:cs="Arial"/>
          <w:sz w:val="22"/>
          <w:szCs w:val="22"/>
        </w:rPr>
      </w:pPr>
      <w:r w:rsidRPr="00DE57BC">
        <w:rPr>
          <w:rFonts w:ascii="Arial" w:hAnsi="Arial" w:cs="Arial"/>
          <w:b/>
          <w:bCs/>
          <w:sz w:val="20"/>
          <w:szCs w:val="20"/>
        </w:rPr>
        <w:t xml:space="preserve">Table </w:t>
      </w:r>
      <w:r w:rsidR="004D4450">
        <w:rPr>
          <w:rFonts w:ascii="Arial" w:hAnsi="Arial" w:cs="Arial"/>
          <w:b/>
          <w:bCs/>
          <w:sz w:val="20"/>
          <w:szCs w:val="20"/>
        </w:rPr>
        <w:t>S</w:t>
      </w:r>
      <w:r w:rsidRPr="00DE57BC">
        <w:rPr>
          <w:rFonts w:ascii="Arial" w:hAnsi="Arial" w:cs="Arial"/>
          <w:b/>
          <w:bCs/>
          <w:sz w:val="20"/>
          <w:szCs w:val="20"/>
        </w:rPr>
        <w:t xml:space="preserve">1 | Univariable Cox proportional hazards regression using continuous predicted mutation probability scores. </w:t>
      </w:r>
      <w:r w:rsidRPr="00DE57BC">
        <w:rPr>
          <w:rFonts w:ascii="Arial" w:hAnsi="Arial" w:cs="Arial"/>
          <w:sz w:val="16"/>
          <w:szCs w:val="16"/>
        </w:rPr>
        <w:t>Results of univariable Cox regression in which the raw GenoGlyph-predicted mutation probability (range 0–1) for each gene model was used as a continuous covariate to assess prognostic utility across four independent external cohorts: invasive lung adenocarcinoma (LUAD; n = 189), colorectal adenocarcinoma (CRC; n = 422), pancreatic ductal adenocarcinoma (PDAC; n = 275), and metastatic HR+/HER2− breast carcinoma (BRCA; n = 94). For each gene–cohort–endpoint combination, the table reports the number of patients (N), number of events, hazard ratio (HR) with 95% confidence interval, unadjusted P value, significance designation, Benjamini–Hochberg false discovery rate (FDR)-adjusted q value, and FDR significance. Entries marked '—' indicate that the minimum event threshold (≥10 total events; ≥5 events per arm) was not met and the model was excluded. HR &lt; 1 indicates a protective association (higher predicted probability associated with lower hazard); HR &gt; 1 indicates an adverse association. FDR correction was applied independently within each cohort-outcome group. Significance thresholds: ****P &lt; 0.0001, ***P &lt; 0.001, **P &lt; 0.01, *P &lt; 0.05; ns, not significant.</w:t>
      </w:r>
      <w:r w:rsidR="00AF162D">
        <w:rPr>
          <w:rFonts w:ascii="Arial" w:hAnsi="Arial" w:cs="Arial"/>
          <w:sz w:val="16"/>
          <w:szCs w:val="16"/>
        </w:rPr>
        <w:t xml:space="preserve"> </w:t>
      </w:r>
      <w:r w:rsidR="00F8302E" w:rsidRPr="00F8302E">
        <w:rPr>
          <w:rFonts w:ascii="Arial" w:hAnsi="Arial" w:cs="Arial"/>
          <w:sz w:val="16"/>
          <w:szCs w:val="16"/>
        </w:rPr>
        <w:t>Color coding: dark red = p &lt; 0.0001; orange = p &lt; 0.001; yellow = p &lt; 0.01; green = p &lt; 0.05.</w:t>
      </w:r>
    </w:p>
    <w:tbl>
      <w:tblPr>
        <w:tblW w:w="5000" w:type="pct"/>
        <w:tblCellMar>
          <w:top w:w="15" w:type="dxa"/>
          <w:left w:w="15" w:type="dxa"/>
          <w:bottom w:w="15" w:type="dxa"/>
          <w:right w:w="15" w:type="dxa"/>
        </w:tblCellMar>
        <w:tblLook w:val="04A0" w:firstRow="1" w:lastRow="0" w:firstColumn="1" w:lastColumn="0" w:noHBand="0" w:noVBand="1"/>
      </w:tblPr>
      <w:tblGrid>
        <w:gridCol w:w="1142"/>
        <w:gridCol w:w="1297"/>
        <w:gridCol w:w="678"/>
        <w:gridCol w:w="1051"/>
        <w:gridCol w:w="2380"/>
        <w:gridCol w:w="1135"/>
        <w:gridCol w:w="716"/>
        <w:gridCol w:w="1135"/>
        <w:gridCol w:w="1256"/>
      </w:tblGrid>
      <w:tr w:rsidR="00E54D4B" w:rsidRPr="003759FE" w14:paraId="0B99F346" w14:textId="77777777" w:rsidTr="00A13C59">
        <w:trPr>
          <w:tblHeader/>
        </w:trPr>
        <w:tc>
          <w:tcPr>
            <w:tcW w:w="52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361F284F"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Gene</w:t>
            </w:r>
          </w:p>
        </w:tc>
        <w:tc>
          <w:tcPr>
            <w:tcW w:w="601"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45A36BD"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Outcome</w:t>
            </w:r>
          </w:p>
        </w:tc>
        <w:tc>
          <w:tcPr>
            <w:tcW w:w="314"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73F2DAE8"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N</w:t>
            </w:r>
          </w:p>
        </w:tc>
        <w:tc>
          <w:tcPr>
            <w:tcW w:w="48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6C4E5D9"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Events</w:t>
            </w:r>
          </w:p>
        </w:tc>
        <w:tc>
          <w:tcPr>
            <w:tcW w:w="1103"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AB2A182"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HR (95% CI)</w:t>
            </w:r>
          </w:p>
        </w:tc>
        <w:tc>
          <w:tcPr>
            <w:tcW w:w="526"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1EAAC61"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p-value</w:t>
            </w:r>
          </w:p>
        </w:tc>
        <w:tc>
          <w:tcPr>
            <w:tcW w:w="332"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2E3C8E7"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Sig.</w:t>
            </w:r>
          </w:p>
        </w:tc>
        <w:tc>
          <w:tcPr>
            <w:tcW w:w="526"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79EFA39"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FDR q</w:t>
            </w:r>
          </w:p>
        </w:tc>
        <w:tc>
          <w:tcPr>
            <w:tcW w:w="583"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8F21EF2"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FDR Sig.</w:t>
            </w:r>
          </w:p>
        </w:tc>
      </w:tr>
      <w:tr w:rsidR="002758F7" w:rsidRPr="003759FE" w14:paraId="7402FC76" w14:textId="77777777" w:rsidTr="00A13C59">
        <w:tc>
          <w:tcPr>
            <w:tcW w:w="5000" w:type="pct"/>
            <w:gridSpan w:val="9"/>
            <w:tcBorders>
              <w:top w:val="single" w:sz="4" w:space="0" w:color="BB0000"/>
              <w:left w:val="single" w:sz="4" w:space="0" w:color="CCCCCC"/>
              <w:bottom w:val="single" w:sz="4" w:space="0" w:color="CCCCCC"/>
              <w:right w:val="single" w:sz="4" w:space="0" w:color="CCCCCC"/>
            </w:tcBorders>
            <w:shd w:val="clear" w:color="auto" w:fill="F2F2F2"/>
            <w:tcMar>
              <w:top w:w="50" w:type="dxa"/>
              <w:left w:w="100" w:type="dxa"/>
              <w:bottom w:w="50" w:type="dxa"/>
              <w:right w:w="100" w:type="dxa"/>
            </w:tcMar>
            <w:hideMark/>
          </w:tcPr>
          <w:p w14:paraId="2C1671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Lung Adenocarcinoma (LUAD) — OS, DFS, RFS</w:t>
            </w:r>
          </w:p>
        </w:tc>
      </w:tr>
      <w:tr w:rsidR="00E54D4B" w:rsidRPr="003759FE" w14:paraId="286D3A84"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9C29C3" w14:textId="0CF47B9D"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EFAF1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BFFAB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5A141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CC270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1.02 (0.03–30.15)</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557D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0.990</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CB4095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1D68A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0.990</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E91BF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78E5435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16AB4B2" w14:textId="2DAD4F7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5A2C2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01A8C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59E24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EF68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0.44 (0.00–182.12)</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194CA3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0.791</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41F479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F099B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0.989</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EAEF47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7AD332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E55065F" w14:textId="5D2A995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E232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6CA205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348B3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709F22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39AD8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665BC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7F6B0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DD035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r>
      <w:tr w:rsidR="00E54D4B" w:rsidRPr="003759FE" w14:paraId="4910487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A8FF079" w14:textId="1E32CE38"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F09509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36563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3A464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4A3FD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15.27 (0.82–286.06)</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24C40B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0.068</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25BA2D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083F8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0.341</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1D5259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1428F4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0B888B3" w14:textId="175ADD0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lastRenderedPageBreak/>
              <w:t>TP53</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260E67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770A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3D5CA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BD426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2.35 (0.48–11.50)</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4D2E88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0.293</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2F87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6BD2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0.732</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F70463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0734A306"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17ECAAB" w14:textId="4296CCF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831C6F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8AB624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1E50D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B48FEA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2.50 (0.08–77.29)</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A5D4D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0.601</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868120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B8817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0.989</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F096A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357E653B"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95EDDEC" w14:textId="47E5758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77457D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5599F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A4602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E528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2.68 (0.22–33.21)</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442C2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0.442</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03EC3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2F1B29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0.736</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D5CA0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12615F8"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FE5605" w14:textId="5EECAED0"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436EE3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A5D52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93D68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3ECFE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1.61 (0.01–195.29)</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5FC30E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0.847</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6EDA65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61486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0.847</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C6B08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4F2F79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D25A096" w14:textId="299F2587"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78E7D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8481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677008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E5B53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A1C1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8869E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F77E8E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62DC53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r>
      <w:tr w:rsidR="00E54D4B" w:rsidRPr="003759FE" w14:paraId="13F2214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81223D2" w14:textId="7DFCDA2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AF4E45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FE8A8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87FC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AED5D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10.09 (1.07–95.33)</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F35B7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0.044</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AC225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1CD1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0.109</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D8C219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5E325BF"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AF2B4AC" w14:textId="5A462497"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C0A003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B69CF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AF790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4C3EE1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4.00 (1.14–14.00)</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B90F6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0.030</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34089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DFA9B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0.109</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239FE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C14B498"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62BCB0E" w14:textId="512238E3"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919BA8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B1633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DD1CA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44DE4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1.77 (0.13–24.30)</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B45ABB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0.670</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AD8A7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49FB40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0.838</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DCAE7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6F227C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1610B0D" w14:textId="1FE9B76B"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2F1D7D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2F28F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E8566E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EC8808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2.57 (0.20–32.74)</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F8CE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0.466</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2955A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C742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0.777</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40C5D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C5F7644"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EC4432" w14:textId="190031A5"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D0139A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30CE54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0C49E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1F3EA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1.52 (0.01–192.38)</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58A44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0.865</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46453A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EA35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0.865</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F2227D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38ADF9D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48DEA8" w14:textId="2630C39F"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927F3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A2827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7E03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A5B08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160D20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A6699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D18FBF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286CE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r>
      <w:tr w:rsidR="00E54D4B" w:rsidRPr="003759FE" w14:paraId="6CFBA36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55797FD" w14:textId="0AEA3E91"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C6E6C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33E747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E0691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CFD7C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7.57 (0.79–73.00)</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3AD111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0.080</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17681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A405D7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0.200</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24F083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3253702D"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CB7F2A5" w14:textId="447EC9C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7E46A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0C915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D3F978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BA5DB6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3.62 (1.02–12.80)</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4DE0C4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0.046</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58ACD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90128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0.200</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C743CF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745B5DF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6033AC6" w14:textId="2E8E486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4F2A24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B47A0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5D7103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696F6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1.72 (0.12–24.07)</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88B211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0.688</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8023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AD250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0.860</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15FD42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2758F7" w:rsidRPr="003759FE" w14:paraId="43964D50" w14:textId="77777777" w:rsidTr="00A13C59">
        <w:tc>
          <w:tcPr>
            <w:tcW w:w="5000" w:type="pct"/>
            <w:gridSpan w:val="9"/>
            <w:tcBorders>
              <w:top w:val="single" w:sz="4" w:space="0" w:color="CCCCCC"/>
              <w:left w:val="single" w:sz="4" w:space="0" w:color="CCCCCC"/>
              <w:bottom w:val="single" w:sz="4" w:space="0" w:color="CCCCCC"/>
              <w:right w:val="single" w:sz="4" w:space="0" w:color="CCCCCC"/>
            </w:tcBorders>
            <w:shd w:val="clear" w:color="auto" w:fill="F2F2F2"/>
            <w:tcMar>
              <w:top w:w="50" w:type="dxa"/>
              <w:left w:w="100" w:type="dxa"/>
              <w:bottom w:w="50" w:type="dxa"/>
              <w:right w:w="100" w:type="dxa"/>
            </w:tcMar>
            <w:hideMark/>
          </w:tcPr>
          <w:p w14:paraId="7031DA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Colorectal Adenocarcinoma (CRC) — OS, DFS, RFS</w:t>
            </w:r>
          </w:p>
        </w:tc>
      </w:tr>
      <w:tr w:rsidR="00E54D4B" w:rsidRPr="003759FE" w14:paraId="104B376F"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820C050" w14:textId="601BD451"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7EBD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8384B2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2A758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01D25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0.67 (0.35–1.28)</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5EE55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0.226</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35B946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B598A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0.395</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16371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2B2EB12"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09A4FE7" w14:textId="2E0137DE"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60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AF81BB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B4B60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5B435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D68A8A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2.01 (1.28–3.16)</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31A2B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0.003</w:t>
            </w:r>
          </w:p>
        </w:tc>
        <w:tc>
          <w:tcPr>
            <w:tcW w:w="33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E137A6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C4BF62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0.018</w:t>
            </w:r>
          </w:p>
        </w:tc>
        <w:tc>
          <w:tcPr>
            <w:tcW w:w="58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92EC7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2961A65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4F0D9FE" w14:textId="5BCF1A2D"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6E7D7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753028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695AD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722261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1.50 (0.57–4.00)</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41B17E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0.413</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715F9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E6E3B0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0.452</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5DAE3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5ADA9AE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236DE93" w14:textId="5EAA848D"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05831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4840E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925C29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8A614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7.29 (1.41–37.68)</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673651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0.018</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3FA316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46BEB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0.062</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50E90E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4FD22B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F7582B6" w14:textId="59E387F2"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243E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6E8DC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422F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534D9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0.36 (0.13–0.99)</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79A5D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0.047</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7FFEFA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098A7B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0.109</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B66E21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4D816ECC"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E299874" w14:textId="374227C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CCA690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C2C88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38687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B18D9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0.66 (0.23–1.93)</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36C27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0.452</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73D800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D65B53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0.452</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1E587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5CFE1F0"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8460D2" w14:textId="0925DDF3"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6835A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842A7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01C2A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38AD6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 (0.14–1.86)</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0517B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0.312</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FE9E0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301546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0.437</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0FAF9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3E88B334"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31B82DC" w14:textId="5749F189"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17827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98F99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506CB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0BAB9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0.65 (0.35–1.24)</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668A4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0.193</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778BFE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6757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0.303</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D923F0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6B7003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D4FAC8E" w14:textId="5F87D1BB"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601"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49B953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2FB6FE7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A4E20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24100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2.17 (1.39–3.40)</w:t>
            </w:r>
          </w:p>
        </w:tc>
        <w:tc>
          <w:tcPr>
            <w:tcW w:w="52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2BA251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0.001</w:t>
            </w:r>
          </w:p>
        </w:tc>
        <w:tc>
          <w:tcPr>
            <w:tcW w:w="332"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A2DFF3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1A466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0.005</w:t>
            </w:r>
          </w:p>
        </w:tc>
        <w:tc>
          <w:tcPr>
            <w:tcW w:w="583"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7B0C6C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19060B96"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5900EAD" w14:textId="3FC8747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28FF4B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7ACD41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C5189F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F269C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1.76 (0.66–4.69)</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74057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0.259</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A7948C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9E9F0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0.303</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CBBC5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292CB99"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F73E34" w14:textId="38BF1F4A"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31A1A0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B6516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01AEB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B963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7.10 (1.33–37.79)</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194B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0.022</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76D8C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0B3D02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0.076</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D46721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BD8E51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49962C2" w14:textId="109343C7"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B6E6C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643EF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7501B3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7300D3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0.40 (0.15–1.11)</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9784F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0.079</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8F9F4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BDE00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0.183</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ED426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469999A2"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ADA725C" w14:textId="2FD0C404"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96211A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24D2D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D2D50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44351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 (0.18–1.54)</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5A8BA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0.240</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4FADB8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C40C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0.303</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2FCB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4AE8E10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DA7B671" w14:textId="49E5864C"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60ED7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27504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E4432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94524C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 (0.16–2.01)</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CA02CD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0.379</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E4684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0814C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0.379</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B619DA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861277B"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30CFA6B" w14:textId="5C7CE79F"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EFBB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F086F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1A583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5AA069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0.62 (0.33–1.19)</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CCD4B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0.151</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B09008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3659C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0.214</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C3F02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5B763ABC"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32344F2F" w14:textId="3FFC5A61"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lastRenderedPageBreak/>
              <w:t>BRAF</w:t>
            </w:r>
          </w:p>
        </w:tc>
        <w:tc>
          <w:tcPr>
            <w:tcW w:w="601"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BCE8C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DE092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0B523AE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CA9832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2.28 (1.45–3.59)</w:t>
            </w:r>
          </w:p>
        </w:tc>
        <w:tc>
          <w:tcPr>
            <w:tcW w:w="52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3E188E7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&lt;0.001</w:t>
            </w:r>
          </w:p>
        </w:tc>
        <w:tc>
          <w:tcPr>
            <w:tcW w:w="332"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F1D257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2C3445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0.003</w:t>
            </w:r>
          </w:p>
        </w:tc>
        <w:tc>
          <w:tcPr>
            <w:tcW w:w="583"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C5D89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1D1E4E4B"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1B81656" w14:textId="3BA4BAC7"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3DCB7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3B469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B5287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824C74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1.91 (0.70–5.20)</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5FE25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0.208</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F320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72596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0.243</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810F1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47D74E01"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AE5F60" w14:textId="4A0E0AA3"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28DAE5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065BF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A6338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6B02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7.96 (1.43–44.19)</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35A1A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0.018</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2AED39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F8DB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0.062</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11899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009033E0"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9D85BD3" w14:textId="00ED34B4"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C4770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BC1A58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EF709D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640B3D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0.43 (0.15–1.20)</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B3F8D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0.105</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15FE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6E0F4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0.214</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F202D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00FCEFA"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722D55E" w14:textId="515AEB94"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E604B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F3B20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A5F1CD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DE192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 (0.15–1.35)</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1C9E6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0.153</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98AFB7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3DE5C1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0.214</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48010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0E62C06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98400E6" w14:textId="7F2CCBCD"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823343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9833A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F031EC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C0BB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0.51 (0.14–1.88)</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DEB6C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0.315</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BA98A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24636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0.315</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AA95D0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2758F7" w:rsidRPr="003759FE" w14:paraId="09598001" w14:textId="77777777" w:rsidTr="00A13C59">
        <w:tc>
          <w:tcPr>
            <w:tcW w:w="5000" w:type="pct"/>
            <w:gridSpan w:val="9"/>
            <w:tcBorders>
              <w:top w:val="single" w:sz="4" w:space="0" w:color="CCCCCC"/>
              <w:left w:val="single" w:sz="4" w:space="0" w:color="CCCCCC"/>
              <w:bottom w:val="single" w:sz="4" w:space="0" w:color="CCCCCC"/>
              <w:right w:val="single" w:sz="4" w:space="0" w:color="CCCCCC"/>
            </w:tcBorders>
            <w:shd w:val="clear" w:color="auto" w:fill="F2F2F2"/>
            <w:tcMar>
              <w:top w:w="50" w:type="dxa"/>
              <w:left w:w="100" w:type="dxa"/>
              <w:bottom w:w="50" w:type="dxa"/>
              <w:right w:w="100" w:type="dxa"/>
            </w:tcMar>
            <w:hideMark/>
          </w:tcPr>
          <w:p w14:paraId="7D7B96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Pancreatic Ductal Adenocarcinoma (PDAC) — OS only</w:t>
            </w:r>
          </w:p>
        </w:tc>
      </w:tr>
      <w:tr w:rsidR="00E54D4B" w:rsidRPr="003759FE" w14:paraId="484615E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990568B" w14:textId="1B6A07F3"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54E4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CD9E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462BE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0E23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 (0.22–1.26)</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F8785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0.149</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D0C77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254EC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0.209</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F5017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522505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3C26F6B" w14:textId="342D0A40"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60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53940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069664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6863D2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6E445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7.42 (1.95–28.23)</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E3DB0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0.003</w:t>
            </w:r>
          </w:p>
        </w:tc>
        <w:tc>
          <w:tcPr>
            <w:tcW w:w="33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F9A95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878E6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0.011</w:t>
            </w:r>
          </w:p>
        </w:tc>
        <w:tc>
          <w:tcPr>
            <w:tcW w:w="58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142A78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6294854B"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71196E" w14:textId="076EE845"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DE98C8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3C0920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DAEC3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48EDE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0.96 (0.32–2.89)</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803DF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0.946</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79AD41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9C60E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0.946</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E2DEAC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AC88070"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76CA8681" w14:textId="78635191"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5296F1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03AE73C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569BA6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2C49B27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0.09 (0.03–0.26)</w:t>
            </w:r>
          </w:p>
        </w:tc>
        <w:tc>
          <w:tcPr>
            <w:tcW w:w="526"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225095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&lt;0.0001</w:t>
            </w:r>
          </w:p>
        </w:tc>
        <w:tc>
          <w:tcPr>
            <w:tcW w:w="332"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087FD11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2A85BF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&lt;0.0001</w:t>
            </w:r>
          </w:p>
        </w:tc>
        <w:tc>
          <w:tcPr>
            <w:tcW w:w="583"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68233C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2220C5FF"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8F4065A" w14:textId="7ED607F1"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4A4975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94ECC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F1A94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9AF5D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1.23 (0.56–2.69)</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9135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0.609</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8AD2D8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6B987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0.710</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9A224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0E65F62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E588BD2" w14:textId="002D89F3"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5F8DC5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72ADD4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277286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05517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1.96 (0.92–4.17)</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B7982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0.082</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FA317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ECA53E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0.143</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302D3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DB9CB7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8A1FF40" w14:textId="553B3E02" w:rsidR="003759FE" w:rsidRPr="00A24A69"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CA317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CD855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25153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203</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4EAB1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2.64 (0.94–7.43)</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A0795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0.065</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95CCC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82ED91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0.143</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84B599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2758F7" w:rsidRPr="003759FE" w14:paraId="3941DA69" w14:textId="77777777" w:rsidTr="00A13C59">
        <w:tc>
          <w:tcPr>
            <w:tcW w:w="5000" w:type="pct"/>
            <w:gridSpan w:val="9"/>
            <w:tcBorders>
              <w:top w:val="single" w:sz="4" w:space="0" w:color="CCCCCC"/>
              <w:left w:val="single" w:sz="4" w:space="0" w:color="CCCCCC"/>
              <w:bottom w:val="single" w:sz="4" w:space="0" w:color="CCCCCC"/>
              <w:right w:val="single" w:sz="4" w:space="0" w:color="CCCCCC"/>
            </w:tcBorders>
            <w:shd w:val="clear" w:color="auto" w:fill="F2F2F2"/>
            <w:tcMar>
              <w:top w:w="50" w:type="dxa"/>
              <w:left w:w="100" w:type="dxa"/>
              <w:bottom w:w="50" w:type="dxa"/>
              <w:right w:w="100" w:type="dxa"/>
            </w:tcMar>
            <w:hideMark/>
          </w:tcPr>
          <w:p w14:paraId="0BBEFEC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Metastatic HR+/HER2− Breast Carcinoma (BRCA) — OS, PFS</w:t>
            </w:r>
          </w:p>
        </w:tc>
      </w:tr>
      <w:tr w:rsidR="00E54D4B" w:rsidRPr="003759FE" w14:paraId="45630006"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E64C31D" w14:textId="4F128AC1"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9E089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BBDBAD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8B5A65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BBB48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AD72C6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BCE85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CF350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D753AF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w:t>
            </w:r>
          </w:p>
        </w:tc>
      </w:tr>
      <w:tr w:rsidR="00E54D4B" w:rsidRPr="003759FE" w14:paraId="568AB258"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204C352" w14:textId="2AB7CE6F"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BC5CB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E2834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785C3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1AE36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0.03 (0.00–80.37)</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36600C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0.395</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B381C0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298BE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0.494</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8D961D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25B3B91"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1E8B9E1" w14:textId="6344561C"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82FB3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9020E8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EF4D7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1F148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0.32 (0.01–11.75)</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0706E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0.532</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45934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D3B33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0.532</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342BD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60DAE49E"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1090B28" w14:textId="19C6477B"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2FDE3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10AF4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C4D61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w:t>
            </w:r>
          </w:p>
        </w:tc>
        <w:tc>
          <w:tcPr>
            <w:tcW w:w="110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FB0191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 (0.00–0.19)</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1BFCEA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0.009</w:t>
            </w:r>
          </w:p>
        </w:tc>
        <w:tc>
          <w:tcPr>
            <w:tcW w:w="33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6682F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602196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0.043</w:t>
            </w:r>
          </w:p>
        </w:tc>
        <w:tc>
          <w:tcPr>
            <w:tcW w:w="583"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994E9D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E54D4B" w:rsidRPr="003759FE" w14:paraId="5241C52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8817E9A" w14:textId="3D4C2DC6"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E2C7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91775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3F68B7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4526CA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5.35 (0.75–38.03)</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1F94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0.094</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B8CA9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61BA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0.157</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62F5E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9B09E2A"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0355BCF" w14:textId="4FF064A7"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A0FEA9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FA78D4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9E2CD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CFC48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20.87 (0.75–579.05)</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574F7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0.073</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356A6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40E0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0.157</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9E2B7C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70962A6F"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B0816F" w14:textId="6B22C9BF"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60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962407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94EDC9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7210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000668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 (0.00–101.19)</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6960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0.830</w:t>
            </w:r>
          </w:p>
        </w:tc>
        <w:tc>
          <w:tcPr>
            <w:tcW w:w="33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9D19C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F238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0.830</w:t>
            </w:r>
          </w:p>
        </w:tc>
        <w:tc>
          <w:tcPr>
            <w:tcW w:w="583"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76173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5FC8EA0"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BE6DEAF" w14:textId="3F9020DE"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F9AAE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F1D42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08424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871E3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 (0.00–6.82)</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42DFE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0.168</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38A2A5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686B59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0.253</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8F0B92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201CB366"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4F84819" w14:textId="06BEC02B"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3F2B4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11243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9A7A9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028EF9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 (0.00–0.77)</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D7B50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0.032</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EDDCB8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DD6C6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0.096</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8714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32407185"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81B0F86" w14:textId="2E2ABCB0"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12F35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B1FE9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40ADB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65483C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 (0.00–2.15)</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34FEB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0.125</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BF7D9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E50ED2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0.251</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1A6ACD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7E9F1AB3"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D4FB981" w14:textId="383B1612"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60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8C80E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3ACFB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3EEA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6B467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7.49 (1.40–40.08)</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E38AC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0.019</w:t>
            </w:r>
          </w:p>
        </w:tc>
        <w:tc>
          <w:tcPr>
            <w:tcW w:w="33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14F37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52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71203F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0.096</w:t>
            </w:r>
          </w:p>
        </w:tc>
        <w:tc>
          <w:tcPr>
            <w:tcW w:w="583"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92F175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E54D4B" w:rsidRPr="003759FE" w14:paraId="139A2B77" w14:textId="77777777" w:rsidTr="00A13C59">
        <w:tc>
          <w:tcPr>
            <w:tcW w:w="52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8D04AC6" w14:textId="72A95A65" w:rsidR="003759FE" w:rsidRPr="00C3523E"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60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9D170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1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2D9F2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8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E4B46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110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8E222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4.62 (0.31–68.57)</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64D8F1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0.266</w:t>
            </w:r>
          </w:p>
        </w:tc>
        <w:tc>
          <w:tcPr>
            <w:tcW w:w="33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876895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52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67FCC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0.319</w:t>
            </w:r>
          </w:p>
        </w:tc>
        <w:tc>
          <w:tcPr>
            <w:tcW w:w="583"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FDD307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bl>
    <w:p w14:paraId="4AACC03B" w14:textId="14164E34" w:rsidR="003759FE" w:rsidRPr="003759FE" w:rsidRDefault="003759FE" w:rsidP="003759FE">
      <w:pPr>
        <w:spacing w:line="240" w:lineRule="auto"/>
        <w:jc w:val="both"/>
        <w:rPr>
          <w:rFonts w:ascii="Arial" w:hAnsi="Arial" w:cs="Arial"/>
          <w:i/>
          <w:iCs/>
          <w:sz w:val="16"/>
          <w:szCs w:val="16"/>
        </w:rPr>
      </w:pPr>
    </w:p>
    <w:p w14:paraId="32A7F2E9" w14:textId="3C00C44B" w:rsidR="003759FE" w:rsidRPr="003759FE" w:rsidRDefault="00FB75FF" w:rsidP="003759FE">
      <w:pPr>
        <w:spacing w:line="240" w:lineRule="auto"/>
        <w:jc w:val="both"/>
        <w:rPr>
          <w:rFonts w:ascii="Arial" w:hAnsi="Arial" w:cs="Arial"/>
          <w:sz w:val="22"/>
          <w:szCs w:val="22"/>
        </w:rPr>
      </w:pPr>
      <w:r w:rsidRPr="00FB75FF">
        <w:rPr>
          <w:rFonts w:ascii="Arial" w:hAnsi="Arial" w:cs="Arial"/>
          <w:b/>
          <w:bCs/>
          <w:sz w:val="20"/>
          <w:szCs w:val="20"/>
        </w:rPr>
        <w:t xml:space="preserve">Table </w:t>
      </w:r>
      <w:r w:rsidR="004D4450">
        <w:rPr>
          <w:rFonts w:ascii="Arial" w:hAnsi="Arial" w:cs="Arial"/>
          <w:b/>
          <w:bCs/>
          <w:sz w:val="20"/>
          <w:szCs w:val="20"/>
        </w:rPr>
        <w:t>S</w:t>
      </w:r>
      <w:r w:rsidRPr="00FB75FF">
        <w:rPr>
          <w:rFonts w:ascii="Arial" w:hAnsi="Arial" w:cs="Arial"/>
          <w:b/>
          <w:bCs/>
          <w:sz w:val="20"/>
          <w:szCs w:val="20"/>
        </w:rPr>
        <w:t>2 | Concordance index (C-index) for continuous predicted mutation probability scores across cohorts and endpoints.</w:t>
      </w:r>
      <w:r w:rsidRPr="00FB75FF">
        <w:rPr>
          <w:rFonts w:ascii="Arial" w:hAnsi="Arial" w:cs="Arial"/>
          <w:b/>
          <w:bCs/>
          <w:sz w:val="22"/>
          <w:szCs w:val="22"/>
        </w:rPr>
        <w:t xml:space="preserve"> </w:t>
      </w:r>
      <w:r w:rsidRPr="00FB75FF">
        <w:rPr>
          <w:rFonts w:ascii="Arial" w:hAnsi="Arial" w:cs="Arial"/>
          <w:sz w:val="16"/>
          <w:szCs w:val="16"/>
        </w:rPr>
        <w:t>C-index values computed using the negated continuous GenoGlyph-predicted mutation probability as the prognostic risk score, such that a C-index &gt; 0.5 indicates higher predicted mutation probability is associated with worse survival (adverse direction), and C-index &lt; 0.5 indicates a protective association. A C-index of 0.5 reflects no discriminative ability. Results are reported for all gene–cohort–endpoint combinations with sufficient events. OS, overall survival; DFS, disease-free survival; RFS, recurrence-free survival; PFS, progression-free survival.</w:t>
      </w:r>
      <w:r w:rsidR="00F8302E">
        <w:rPr>
          <w:rFonts w:ascii="Arial" w:hAnsi="Arial" w:cs="Arial"/>
          <w:sz w:val="16"/>
          <w:szCs w:val="16"/>
        </w:rPr>
        <w:t xml:space="preserve"> </w:t>
      </w:r>
      <w:r w:rsidR="00F8302E" w:rsidRPr="00F8302E">
        <w:rPr>
          <w:rFonts w:ascii="Arial" w:hAnsi="Arial" w:cs="Arial"/>
          <w:sz w:val="16"/>
          <w:szCs w:val="16"/>
        </w:rPr>
        <w:t>Color coding: deep red ≥ 0.65; orange ≥ 0.60; light green ≥ 0.55; light blue &lt; 0.50 (below-chance performance, indicating protective directionality).</w:t>
      </w:r>
    </w:p>
    <w:tbl>
      <w:tblPr>
        <w:tblW w:w="5000" w:type="pct"/>
        <w:tblCellMar>
          <w:top w:w="15" w:type="dxa"/>
          <w:left w:w="15" w:type="dxa"/>
          <w:bottom w:w="15" w:type="dxa"/>
          <w:right w:w="15" w:type="dxa"/>
        </w:tblCellMar>
        <w:tblLook w:val="04A0" w:firstRow="1" w:lastRow="0" w:firstColumn="1" w:lastColumn="0" w:noHBand="0" w:noVBand="1"/>
      </w:tblPr>
      <w:tblGrid>
        <w:gridCol w:w="2137"/>
        <w:gridCol w:w="2321"/>
        <w:gridCol w:w="2635"/>
        <w:gridCol w:w="2320"/>
        <w:gridCol w:w="1377"/>
      </w:tblGrid>
      <w:tr w:rsidR="0046173E" w:rsidRPr="003759FE" w14:paraId="79EA460B" w14:textId="77777777" w:rsidTr="00A13C59">
        <w:trPr>
          <w:tblHeader/>
        </w:trPr>
        <w:tc>
          <w:tcPr>
            <w:tcW w:w="990"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1809A97"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lastRenderedPageBreak/>
              <w:t>Cohort</w:t>
            </w:r>
          </w:p>
        </w:tc>
        <w:tc>
          <w:tcPr>
            <w:tcW w:w="10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DB78B91"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Gene</w:t>
            </w:r>
          </w:p>
        </w:tc>
        <w:tc>
          <w:tcPr>
            <w:tcW w:w="1221"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572050E"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Outcome</w:t>
            </w:r>
          </w:p>
        </w:tc>
        <w:tc>
          <w:tcPr>
            <w:tcW w:w="10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238B996"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C-index</w:t>
            </w:r>
          </w:p>
        </w:tc>
        <w:tc>
          <w:tcPr>
            <w:tcW w:w="638"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75347E9D"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N</w:t>
            </w:r>
          </w:p>
        </w:tc>
      </w:tr>
      <w:tr w:rsidR="00E8056D" w:rsidRPr="003759FE" w14:paraId="5823BA9A" w14:textId="77777777" w:rsidTr="00A13C59">
        <w:tc>
          <w:tcPr>
            <w:tcW w:w="990" w:type="pct"/>
            <w:vMerge w:val="restart"/>
            <w:tcBorders>
              <w:top w:val="single" w:sz="4" w:space="0" w:color="BB0000"/>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2B8DFB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LUAD</w:t>
            </w:r>
          </w:p>
        </w:tc>
        <w:tc>
          <w:tcPr>
            <w:tcW w:w="1075" w:type="pct"/>
            <w:tcBorders>
              <w:top w:val="single" w:sz="4" w:space="0" w:color="BB0000"/>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0EF6537" w14:textId="67638B20"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BB0000"/>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B0A9C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BB0000"/>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112DF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0.493</w:t>
            </w:r>
          </w:p>
        </w:tc>
        <w:tc>
          <w:tcPr>
            <w:tcW w:w="638" w:type="pct"/>
            <w:tcBorders>
              <w:top w:val="single" w:sz="4" w:space="0" w:color="BB0000"/>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C085E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7D0EEE79"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6DBA9DE7"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B489FB4" w14:textId="7108C12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C238E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27B40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0.525</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D32B3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553FAF50"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0DF90F7"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BC93B0E" w14:textId="0166223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1EB74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DE92D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0.521</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5B393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753326D2"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07356855"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6F0374F" w14:textId="03C44B9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8868E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D1730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0.494</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DBA0A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38E1EB13"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6654C8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736F6F9" w14:textId="03C0C7C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2AD6CF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2396C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0.521</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03B2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75A87868"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E041710"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DF58E84" w14:textId="31A6434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0691F4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BE242B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0.520</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225F8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7DCDEE50"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5B202E82"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CA50D76" w14:textId="2AF60000"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30258B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C1206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0.616</w:t>
            </w:r>
          </w:p>
        </w:tc>
        <w:tc>
          <w:tcPr>
            <w:tcW w:w="638"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A9E81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797E12A5"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603C6CE5"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92A7485" w14:textId="2FEC020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CC4D8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6AACE7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0.636</w:t>
            </w:r>
          </w:p>
        </w:tc>
        <w:tc>
          <w:tcPr>
            <w:tcW w:w="638"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1BFE34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5283230E"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749E4291"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66CB3FA" w14:textId="42349FBB"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3416F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04D97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0.631</w:t>
            </w:r>
          </w:p>
        </w:tc>
        <w:tc>
          <w:tcPr>
            <w:tcW w:w="638"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BC5135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09B9D73B"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0BE4AA14"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E5D7A82" w14:textId="573AA30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331C4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75555A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0.574</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FC312E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340A4C3D"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3982B0B3"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5C19AB1" w14:textId="4281C84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F58661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D509E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0.575</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8D7A6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45F80688"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0A1BA23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2BF572" w14:textId="5413E78B"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E73F6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1D1B3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0.569</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4EF93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54AEA040"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571F56E3"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855273E" w14:textId="6BF2568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5CF5B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EE7C0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0.561</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BC376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5D02B3B9"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A46998E"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17DC26B" w14:textId="242AAF6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9830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98C6F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0.591</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B014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6192786E"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BB5B505"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4EE617A" w14:textId="3D99F73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81E44F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C4766D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0.586</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A40C35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0D74954E"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B230B06"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A6AB0B6" w14:textId="51D2557F"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A09ED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9DD37A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0.548</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6AE07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4465FACA"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C908D81"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091623B" w14:textId="2229ECF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4725F8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2C6AB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0.518</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AA203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0A09EE3F" w14:textId="77777777" w:rsidTr="00A13C59">
        <w:tc>
          <w:tcPr>
            <w:tcW w:w="990" w:type="pct"/>
            <w:vMerge/>
            <w:tcBorders>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752F25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4280770" w14:textId="412AFA0F"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B23B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B42C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0.519</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925CBD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189</w:t>
            </w:r>
          </w:p>
        </w:tc>
      </w:tr>
      <w:tr w:rsidR="00E8056D" w:rsidRPr="003759FE" w14:paraId="066B0492" w14:textId="77777777" w:rsidTr="00A13C59">
        <w:tc>
          <w:tcPr>
            <w:tcW w:w="990" w:type="pct"/>
            <w:vMerge w:val="restart"/>
            <w:tcBorders>
              <w:top w:val="single" w:sz="4" w:space="0" w:color="CCCCCC"/>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3A05930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CRC</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2E60023" w14:textId="79D3B78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C9FDF9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C5233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0.452</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890647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4CBDF818"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529B18A0"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30C85D2" w14:textId="520F868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2769F0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BBEE1C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0.454</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4E83EC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42D9A5A4"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2EE37E5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872D6B3" w14:textId="681F5C6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8A37D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324975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0.452</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DCED5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2158004E"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2B4670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DE191AC" w14:textId="75CA5ED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9E3F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EFB3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0.580</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CB330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096014C"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8108275"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C699F57" w14:textId="5DBD062F"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B12A8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D5D1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0.575</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D691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29705DB2"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5BCC6BB"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620D32A" w14:textId="072D604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451ED4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60913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0.576</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5423ED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622856F4"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56C74EFA"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72DBA71" w14:textId="49D28E3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05650E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A6B5FB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0.554</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4433A8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4EEA87C6"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09CC4A7"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93117BA" w14:textId="5825E34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682B5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6536A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0.551</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91FAA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C87108E"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16678648"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C973959" w14:textId="057BBED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07FBF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FF01B0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0.553</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94AFAD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35D6D915"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649305BB"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4FB15E" w14:textId="7F66FC6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7546C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CD5D5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0.570</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270A0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4DE597F9"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0E52BBF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01F290" w14:textId="23E861E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0C32D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AA7AC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0.567</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D81214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8F00EE8"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7C0411BB"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32930D0" w14:textId="333B1CD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E427B6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84B7B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0.568</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989DD0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21B87629"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2C78C62E"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0579BC4" w14:textId="0330171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BFF8B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5A579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0.466</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82294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5B2D064B"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C99B47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FAE4F6A" w14:textId="1CB3759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D29893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D812E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0.465</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FDD630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25401B27"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695743A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3CB911F" w14:textId="1B5AE177"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38B2D3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D52D1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0.467</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D2F93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5E6DF54C"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275E6489"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B43AC8A" w14:textId="6E428EF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E3F22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72E43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0.471</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4E69E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0A83AFE2"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3B6856F3"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CDC8929" w14:textId="7F2D183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386BE6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343BE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0.476</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8E2A93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2C31870"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78FF1AFC"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DBB23FD" w14:textId="1C5D4B4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F6097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79638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0.472</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8FCBBF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31F4B1B6"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18D859C"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D4B9480" w14:textId="18FEE30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78CE2B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2E370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0.473</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A69A53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1A060E6"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13524E77"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798D94F" w14:textId="2B539B2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DD5A0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78441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0.479</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7DF6E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0B07F83F" w14:textId="77777777" w:rsidTr="00A13C59">
        <w:tc>
          <w:tcPr>
            <w:tcW w:w="990" w:type="pct"/>
            <w:vMerge/>
            <w:tcBorders>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0B23D4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0E6CCF3" w14:textId="0B82463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1516A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B70BE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0.475</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F4CA9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422</w:t>
            </w:r>
          </w:p>
        </w:tc>
      </w:tr>
      <w:tr w:rsidR="00E8056D" w:rsidRPr="003759FE" w14:paraId="7D1DC653" w14:textId="77777777" w:rsidTr="00A13C59">
        <w:tc>
          <w:tcPr>
            <w:tcW w:w="990" w:type="pct"/>
            <w:vMerge w:val="restart"/>
            <w:tcBorders>
              <w:top w:val="single" w:sz="4" w:space="0" w:color="CCCCCC"/>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BCB335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PDAC</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D7E9CFA" w14:textId="283ECF9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D58F8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92F79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0.467</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D450D5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5E4AAD4A"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7A4E6ACA"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D63C557" w14:textId="1E9F7DA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7965B1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3276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0.564</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104555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77EAE7A6"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71E6E30B"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A1242B" w14:textId="775317D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DF5532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8498C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0.502</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4E4C87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497252FE"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09C5BF86"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25120AB" w14:textId="105BBDC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D5F014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0C20E9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0.391</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FB68D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38292E97"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1E6AEB8"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9C99785" w14:textId="7031938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5C6988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ED5D9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0.512</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D0872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65C853B2"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1EED23F6"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A894453" w14:textId="0DE263B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F0EE1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8E2FC9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0.505</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701A94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5BF67324" w14:textId="77777777" w:rsidTr="00A13C59">
        <w:tc>
          <w:tcPr>
            <w:tcW w:w="990" w:type="pct"/>
            <w:vMerge/>
            <w:tcBorders>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13FCF5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8034515" w14:textId="2616F4C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7DFA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C0902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0.557</w:t>
            </w:r>
          </w:p>
        </w:tc>
        <w:tc>
          <w:tcPr>
            <w:tcW w:w="638"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BC1E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275</w:t>
            </w:r>
          </w:p>
        </w:tc>
      </w:tr>
      <w:tr w:rsidR="00E8056D" w:rsidRPr="003759FE" w14:paraId="7D9DFD66" w14:textId="77777777" w:rsidTr="00A13C59">
        <w:tc>
          <w:tcPr>
            <w:tcW w:w="990" w:type="pct"/>
            <w:vMerge w:val="restart"/>
            <w:tcBorders>
              <w:top w:val="single" w:sz="4" w:space="0" w:color="CCCCCC"/>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18AC0F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BRCA</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E1893C" w14:textId="0441684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65A772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79AAB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0.504</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3B40E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02F6F1CE"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10F2047"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C55FEC3" w14:textId="4D85DD9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A1B56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5DE001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0.486</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0B74C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5936D513"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56A7186B"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3609DA2" w14:textId="6FE3701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C8C3BC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ADCFD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0.487</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B01A5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37BFC6FC"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27990EDF"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5DC5A1A" w14:textId="55C937F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17970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AD0B12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0.480</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3282F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50924879"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53418BC3"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49B9CFF" w14:textId="57D81EB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0E29E5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0E1D9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0.461</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37452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09D7F4BA"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16F31D81"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7BFA5A6" w14:textId="5A05ADB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E42853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8FDFD8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0.407</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2F4F14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7E004277"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3CD43A32"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4C96A98" w14:textId="62C3077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2E0B1C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B63F2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0.421</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445EA58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224C672D"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6B02D20E"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6641429E" w14:textId="32AB77D0"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0A598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1BC5AB8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0.481</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0951CDA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2F2BD1D5"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681EF074"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5FB7A72" w14:textId="73BA3BA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9514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4F78D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0.540</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0DBE6A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7E4659DC" w14:textId="77777777" w:rsidTr="00A13C59">
        <w:tc>
          <w:tcPr>
            <w:tcW w:w="990"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F1DB152"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1286191" w14:textId="7F477F8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533DC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191B45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0.544</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DC01D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431F7DA8" w14:textId="77777777" w:rsidTr="00A13C59">
        <w:tc>
          <w:tcPr>
            <w:tcW w:w="990"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6BF23E23"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746B03D" w14:textId="402B1C7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DE3E0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10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345E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0.544</w:t>
            </w:r>
          </w:p>
        </w:tc>
        <w:tc>
          <w:tcPr>
            <w:tcW w:w="638"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6179E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r w:rsidR="00E8056D" w:rsidRPr="003759FE" w14:paraId="24BC50ED" w14:textId="77777777" w:rsidTr="00A13C59">
        <w:tc>
          <w:tcPr>
            <w:tcW w:w="990" w:type="pct"/>
            <w:vMerge/>
            <w:tcBorders>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A245F8A" w14:textId="77777777" w:rsidR="003759FE" w:rsidRPr="003759FE" w:rsidRDefault="003759FE" w:rsidP="003759FE">
            <w:pPr>
              <w:spacing w:line="240" w:lineRule="auto"/>
              <w:jc w:val="both"/>
              <w:rPr>
                <w:rFonts w:ascii="Arial" w:hAnsi="Arial" w:cs="Arial"/>
                <w:sz w:val="16"/>
                <w:szCs w:val="16"/>
              </w:rPr>
            </w:pP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071EBE0" w14:textId="03E0912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1221"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3D72D9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1075"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7A1A56C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0.496</w:t>
            </w:r>
          </w:p>
        </w:tc>
        <w:tc>
          <w:tcPr>
            <w:tcW w:w="638" w:type="pct"/>
            <w:tcBorders>
              <w:top w:val="single" w:sz="4" w:space="0" w:color="CCCCCC"/>
              <w:left w:val="single" w:sz="4" w:space="0" w:color="CCCCCC"/>
              <w:bottom w:val="single" w:sz="4" w:space="0" w:color="CCCCCC"/>
              <w:right w:val="single" w:sz="4" w:space="0" w:color="CCCCCC"/>
            </w:tcBorders>
            <w:shd w:val="clear" w:color="auto" w:fill="E8F4FF"/>
            <w:tcMar>
              <w:top w:w="50" w:type="dxa"/>
              <w:left w:w="100" w:type="dxa"/>
              <w:bottom w:w="50" w:type="dxa"/>
              <w:right w:w="100" w:type="dxa"/>
            </w:tcMar>
            <w:vAlign w:val="center"/>
            <w:hideMark/>
          </w:tcPr>
          <w:p w14:paraId="5F7EF6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r>
    </w:tbl>
    <w:p w14:paraId="36E0545B" w14:textId="67CA67CA" w:rsidR="003759FE" w:rsidRPr="003759FE" w:rsidRDefault="003759FE" w:rsidP="003759FE">
      <w:pPr>
        <w:spacing w:line="240" w:lineRule="auto"/>
        <w:jc w:val="both"/>
        <w:rPr>
          <w:rFonts w:ascii="Arial" w:hAnsi="Arial" w:cs="Arial"/>
          <w:i/>
          <w:iCs/>
          <w:sz w:val="16"/>
          <w:szCs w:val="16"/>
        </w:rPr>
      </w:pPr>
    </w:p>
    <w:p w14:paraId="77DA51DE" w14:textId="6C6F005B" w:rsidR="003759FE" w:rsidRPr="003759FE" w:rsidRDefault="0086201E" w:rsidP="003759FE">
      <w:pPr>
        <w:spacing w:line="240" w:lineRule="auto"/>
        <w:jc w:val="both"/>
        <w:rPr>
          <w:rFonts w:ascii="Arial" w:hAnsi="Arial" w:cs="Arial"/>
          <w:sz w:val="22"/>
          <w:szCs w:val="22"/>
        </w:rPr>
      </w:pPr>
      <w:r w:rsidRPr="0086201E">
        <w:rPr>
          <w:rFonts w:ascii="Arial" w:hAnsi="Arial" w:cs="Arial"/>
          <w:b/>
          <w:bCs/>
          <w:sz w:val="20"/>
          <w:szCs w:val="20"/>
        </w:rPr>
        <w:t xml:space="preserve">Table </w:t>
      </w:r>
      <w:r w:rsidR="004D4450">
        <w:rPr>
          <w:rFonts w:ascii="Arial" w:hAnsi="Arial" w:cs="Arial"/>
          <w:b/>
          <w:bCs/>
          <w:sz w:val="20"/>
          <w:szCs w:val="20"/>
        </w:rPr>
        <w:t>S</w:t>
      </w:r>
      <w:r w:rsidRPr="0086201E">
        <w:rPr>
          <w:rFonts w:ascii="Arial" w:hAnsi="Arial" w:cs="Arial"/>
          <w:b/>
          <w:bCs/>
          <w:sz w:val="20"/>
          <w:szCs w:val="20"/>
        </w:rPr>
        <w:t xml:space="preserve">3 | Landmark survival analysis: year-by-year survival rates and log-rank significance. </w:t>
      </w:r>
      <w:r w:rsidRPr="0086201E">
        <w:rPr>
          <w:rFonts w:ascii="Arial" w:hAnsi="Arial" w:cs="Arial"/>
          <w:sz w:val="16"/>
          <w:szCs w:val="16"/>
        </w:rPr>
        <w:t xml:space="preserve">Kaplan–Meier survival rates and landmark log-rank test results at 1, 2, 3, 4, and 5 years post-enrollment for gene–cohort–endpoint combinations with at least one nominally significant overall or landmark finding. At each landmark timepoint, patients were censored and survival curves in the High (predicted mutation probability ≥ cohort median) and Low (probability &lt; cohort median) groups were compared using the log-rank test. Landmark analyses detect both early-divergence signals </w:t>
      </w:r>
      <w:r w:rsidRPr="0086201E">
        <w:rPr>
          <w:rFonts w:ascii="Arial" w:hAnsi="Arial" w:cs="Arial"/>
          <w:sz w:val="16"/>
          <w:szCs w:val="16"/>
        </w:rPr>
        <w:lastRenderedPageBreak/>
        <w:t>that may resolve before the study endpoint and late-divergence signals not captured by the overall log-rank test. Entries not reaching the maximum observed follow-up within a cohort are omitted. Survival rates are expressed as percentages. Overall LR sig., overall log-rank significance across full follow-up. Significance thresholds: ****P &lt; 0.0001, ***P &lt; 0.001, **P &lt; 0.01, *P &lt; 0.05; ns, not significant.</w:t>
      </w:r>
      <w:r>
        <w:rPr>
          <w:rFonts w:ascii="Arial" w:hAnsi="Arial" w:cs="Arial"/>
          <w:sz w:val="16"/>
          <w:szCs w:val="16"/>
        </w:rPr>
        <w:t xml:space="preserve"> </w:t>
      </w:r>
      <w:r w:rsidRPr="0086201E">
        <w:rPr>
          <w:rFonts w:ascii="Arial" w:hAnsi="Arial" w:cs="Arial"/>
          <w:sz w:val="16"/>
          <w:szCs w:val="16"/>
        </w:rPr>
        <w:t>Shading reflects landmark test significance at each timepoint: dark red = p &lt; 0.0001; orange = p &lt; 0.001; yellow = p &lt; 0.01; green = p &lt; 0.05.</w:t>
      </w:r>
    </w:p>
    <w:tbl>
      <w:tblPr>
        <w:tblW w:w="5000" w:type="pct"/>
        <w:tblCellMar>
          <w:top w:w="15" w:type="dxa"/>
          <w:left w:w="15" w:type="dxa"/>
          <w:bottom w:w="15" w:type="dxa"/>
          <w:right w:w="15" w:type="dxa"/>
        </w:tblCellMar>
        <w:tblLook w:val="04A0" w:firstRow="1" w:lastRow="0" w:firstColumn="1" w:lastColumn="0" w:noHBand="0" w:noVBand="1"/>
      </w:tblPr>
      <w:tblGrid>
        <w:gridCol w:w="646"/>
        <w:gridCol w:w="699"/>
        <w:gridCol w:w="791"/>
        <w:gridCol w:w="662"/>
        <w:gridCol w:w="624"/>
        <w:gridCol w:w="662"/>
        <w:gridCol w:w="344"/>
        <w:gridCol w:w="624"/>
        <w:gridCol w:w="594"/>
        <w:gridCol w:w="359"/>
        <w:gridCol w:w="624"/>
        <w:gridCol w:w="594"/>
        <w:gridCol w:w="359"/>
        <w:gridCol w:w="624"/>
        <w:gridCol w:w="594"/>
        <w:gridCol w:w="413"/>
        <w:gridCol w:w="624"/>
        <w:gridCol w:w="594"/>
        <w:gridCol w:w="359"/>
      </w:tblGrid>
      <w:tr w:rsidR="00376499" w:rsidRPr="003759FE" w14:paraId="7FCE39FA" w14:textId="77777777" w:rsidTr="00A13C59">
        <w:trPr>
          <w:tblHeader/>
        </w:trPr>
        <w:tc>
          <w:tcPr>
            <w:tcW w:w="29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D1A6EAD"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Cohort</w:t>
            </w:r>
          </w:p>
        </w:tc>
        <w:tc>
          <w:tcPr>
            <w:tcW w:w="324"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A1489F6"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Gene</w:t>
            </w:r>
          </w:p>
        </w:tc>
        <w:tc>
          <w:tcPr>
            <w:tcW w:w="36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0FD752B"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Outcome</w:t>
            </w:r>
          </w:p>
        </w:tc>
        <w:tc>
          <w:tcPr>
            <w:tcW w:w="30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6849B15"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Overall</w:t>
            </w:r>
          </w:p>
        </w:tc>
        <w:tc>
          <w:tcPr>
            <w:tcW w:w="755" w:type="pct"/>
            <w:gridSpan w:val="3"/>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83E51C5"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1-Year</w:t>
            </w:r>
          </w:p>
        </w:tc>
        <w:tc>
          <w:tcPr>
            <w:tcW w:w="731" w:type="pct"/>
            <w:gridSpan w:val="3"/>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59D39D93"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2-Year</w:t>
            </w:r>
          </w:p>
        </w:tc>
        <w:tc>
          <w:tcPr>
            <w:tcW w:w="731" w:type="pct"/>
            <w:gridSpan w:val="3"/>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650F449"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3-Year</w:t>
            </w:r>
          </w:p>
        </w:tc>
        <w:tc>
          <w:tcPr>
            <w:tcW w:w="756" w:type="pct"/>
            <w:gridSpan w:val="3"/>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AB84CDF"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4-Year</w:t>
            </w:r>
          </w:p>
        </w:tc>
        <w:tc>
          <w:tcPr>
            <w:tcW w:w="731" w:type="pct"/>
            <w:gridSpan w:val="3"/>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5B69AAE7"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5-Year</w:t>
            </w:r>
          </w:p>
        </w:tc>
      </w:tr>
      <w:tr w:rsidR="00E54D4B" w:rsidRPr="003759FE" w14:paraId="3B565BD8" w14:textId="77777777" w:rsidTr="00A13C59">
        <w:trPr>
          <w:tblHeader/>
        </w:trPr>
        <w:tc>
          <w:tcPr>
            <w:tcW w:w="29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59338C3" w14:textId="77777777" w:rsidR="003759FE" w:rsidRPr="003759FE" w:rsidRDefault="003759FE" w:rsidP="003759FE">
            <w:pPr>
              <w:spacing w:line="240" w:lineRule="auto"/>
              <w:jc w:val="both"/>
              <w:rPr>
                <w:rFonts w:ascii="Arial" w:hAnsi="Arial" w:cs="Arial"/>
                <w:b/>
                <w:bCs/>
                <w:sz w:val="16"/>
                <w:szCs w:val="16"/>
              </w:rPr>
            </w:pPr>
          </w:p>
        </w:tc>
        <w:tc>
          <w:tcPr>
            <w:tcW w:w="324"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BF55DF2" w14:textId="77777777" w:rsidR="003759FE" w:rsidRPr="003759FE" w:rsidRDefault="003759FE" w:rsidP="003759FE">
            <w:pPr>
              <w:spacing w:line="240" w:lineRule="auto"/>
              <w:jc w:val="both"/>
              <w:rPr>
                <w:rFonts w:ascii="Arial" w:hAnsi="Arial" w:cs="Arial"/>
                <w:b/>
                <w:bCs/>
                <w:sz w:val="16"/>
                <w:szCs w:val="16"/>
              </w:rPr>
            </w:pPr>
          </w:p>
        </w:tc>
        <w:tc>
          <w:tcPr>
            <w:tcW w:w="36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F21BCDF" w14:textId="77777777" w:rsidR="003759FE" w:rsidRPr="003759FE" w:rsidRDefault="003759FE" w:rsidP="003759FE">
            <w:pPr>
              <w:spacing w:line="240" w:lineRule="auto"/>
              <w:jc w:val="both"/>
              <w:rPr>
                <w:rFonts w:ascii="Arial" w:hAnsi="Arial" w:cs="Arial"/>
                <w:b/>
                <w:bCs/>
                <w:sz w:val="16"/>
                <w:szCs w:val="16"/>
              </w:rPr>
            </w:pPr>
          </w:p>
        </w:tc>
        <w:tc>
          <w:tcPr>
            <w:tcW w:w="30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3C577414"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LR sig.</w:t>
            </w:r>
          </w:p>
        </w:tc>
        <w:tc>
          <w:tcPr>
            <w:tcW w:w="2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20CFE88"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High%</w:t>
            </w:r>
          </w:p>
        </w:tc>
        <w:tc>
          <w:tcPr>
            <w:tcW w:w="30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78D6406"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Low%</w:t>
            </w:r>
          </w:p>
        </w:tc>
        <w:tc>
          <w:tcPr>
            <w:tcW w:w="15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6431200"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w:t>
            </w:r>
          </w:p>
        </w:tc>
        <w:tc>
          <w:tcPr>
            <w:tcW w:w="2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6164FFC"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High%</w:t>
            </w:r>
          </w:p>
        </w:tc>
        <w:tc>
          <w:tcPr>
            <w:tcW w:w="2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107430D"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Low%</w:t>
            </w:r>
          </w:p>
        </w:tc>
        <w:tc>
          <w:tcPr>
            <w:tcW w:w="166"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EA40EA8"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w:t>
            </w:r>
          </w:p>
        </w:tc>
        <w:tc>
          <w:tcPr>
            <w:tcW w:w="2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6D32112"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High%</w:t>
            </w:r>
          </w:p>
        </w:tc>
        <w:tc>
          <w:tcPr>
            <w:tcW w:w="2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CA86170"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Low%</w:t>
            </w:r>
          </w:p>
        </w:tc>
        <w:tc>
          <w:tcPr>
            <w:tcW w:w="166"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2AF04D8"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w:t>
            </w:r>
          </w:p>
        </w:tc>
        <w:tc>
          <w:tcPr>
            <w:tcW w:w="2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5F598F62"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High%</w:t>
            </w:r>
          </w:p>
        </w:tc>
        <w:tc>
          <w:tcPr>
            <w:tcW w:w="2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9DE964B"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Low%</w:t>
            </w:r>
          </w:p>
        </w:tc>
        <w:tc>
          <w:tcPr>
            <w:tcW w:w="191"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3B38801B"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w:t>
            </w:r>
          </w:p>
        </w:tc>
        <w:tc>
          <w:tcPr>
            <w:tcW w:w="2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19762E1"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High%</w:t>
            </w:r>
          </w:p>
        </w:tc>
        <w:tc>
          <w:tcPr>
            <w:tcW w:w="27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27B907C3"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Low%</w:t>
            </w:r>
          </w:p>
        </w:tc>
        <w:tc>
          <w:tcPr>
            <w:tcW w:w="166"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06B9C43"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w:t>
            </w:r>
          </w:p>
        </w:tc>
      </w:tr>
      <w:tr w:rsidR="00A13C59" w:rsidRPr="003759FE" w14:paraId="6B214CC4" w14:textId="77777777" w:rsidTr="00A13C59">
        <w:tc>
          <w:tcPr>
            <w:tcW w:w="299" w:type="pct"/>
            <w:vMerge w:val="restart"/>
            <w:tcBorders>
              <w:top w:val="single" w:sz="4" w:space="0" w:color="BB0000"/>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7B0E30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LUAD</w:t>
            </w:r>
          </w:p>
        </w:tc>
        <w:tc>
          <w:tcPr>
            <w:tcW w:w="324"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6FD5DD" w14:textId="56B9465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F6C63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C1F61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AE1C0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95.8%</w:t>
            </w:r>
          </w:p>
        </w:tc>
        <w:tc>
          <w:tcPr>
            <w:tcW w:w="307"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1A553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100.0%</w:t>
            </w:r>
          </w:p>
        </w:tc>
        <w:tc>
          <w:tcPr>
            <w:tcW w:w="159"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E93FE8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E98774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92.6%</w:t>
            </w:r>
          </w:p>
        </w:tc>
        <w:tc>
          <w:tcPr>
            <w:tcW w:w="275"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A24DC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96.8%</w:t>
            </w:r>
          </w:p>
        </w:tc>
        <w:tc>
          <w:tcPr>
            <w:tcW w:w="166"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21531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07D982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81.1%</w:t>
            </w:r>
          </w:p>
        </w:tc>
        <w:tc>
          <w:tcPr>
            <w:tcW w:w="275"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D4237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90.4%</w:t>
            </w:r>
          </w:p>
        </w:tc>
        <w:tc>
          <w:tcPr>
            <w:tcW w:w="166" w:type="pct"/>
            <w:tcBorders>
              <w:top w:val="single" w:sz="4" w:space="0" w:color="BB0000"/>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47EC3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23E77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73.7%</w:t>
            </w:r>
          </w:p>
        </w:tc>
        <w:tc>
          <w:tcPr>
            <w:tcW w:w="275"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8835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85.1%</w:t>
            </w:r>
          </w:p>
        </w:tc>
        <w:tc>
          <w:tcPr>
            <w:tcW w:w="191"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18759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0811A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70.5%</w:t>
            </w:r>
          </w:p>
        </w:tc>
        <w:tc>
          <w:tcPr>
            <w:tcW w:w="275"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DFB7C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83.0%</w:t>
            </w:r>
          </w:p>
        </w:tc>
        <w:tc>
          <w:tcPr>
            <w:tcW w:w="166"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899B0D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3D5359F4"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778AEB4B"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7719243" w14:textId="50CB410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B04CB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1F0E8E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223F0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80.0%</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7C1339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93.6%</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9E58B8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27ED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4CA62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86.2%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32FC9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B4545F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60.0%</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B9A22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76.6%</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32FEED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0EA218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53.7%</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114B1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75.5%</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1E5835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CECAE2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53.7%</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EE1AB5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70.2%</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2777F1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7A9151F7"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1AEB781"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6C29818" w14:textId="64A3EF5B"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251AE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29E7A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4DD8C7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80.0%</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26292F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93.6%</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AABD5A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D2F768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E2E83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86.2%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BF46C3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E83DB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61.1%</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9477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76.6%</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CAA61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F5882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54.7%</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1A20D4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75.5%</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0E4AD0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FCE6A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54.7%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CCC975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FD5DD2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34548056"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402713C"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CBED20D" w14:textId="7A52C05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F8D32F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6E8D2F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CF258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95.8%</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839E94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100.0%</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0B683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4D0A5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90.5%</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377B6D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98.9%</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2AE791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A67AA5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81.1%</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5FF915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90.4%</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876C0F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ED5BD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75.8%</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8C7C52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83.0%</w:t>
            </w:r>
          </w:p>
        </w:tc>
        <w:tc>
          <w:tcPr>
            <w:tcW w:w="19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E29C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A95950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72.6%</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782B6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80.9%</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AA178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53FC79D1"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28CC403B"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EC8DADF" w14:textId="3CF0716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A8162C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0B6FD8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728F55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82.1%</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958E78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91.5%</w:t>
            </w:r>
          </w:p>
        </w:tc>
        <w:tc>
          <w:tcPr>
            <w:tcW w:w="15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2B695C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19D09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0919A2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85.1%</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CD32BF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C4AC1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60.0%</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AF1279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76.6%</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891A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6D6453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55.8%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52992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6EF350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D120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53.7%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E2919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4F708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6B246C34"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17DA2F61"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85857A8" w14:textId="33AD759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027A3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B616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39BF7A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82.1%</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17931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91.5%</w:t>
            </w:r>
          </w:p>
        </w:tc>
        <w:tc>
          <w:tcPr>
            <w:tcW w:w="15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167993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E6EE5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F5E6AA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85.1%</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42F23D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F7E19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61.1%</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39B0C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76.6%</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E4903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20F8C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56.8%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99AE9F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70ED5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F1F1D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54.7%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7C536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3C6C29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44CD513C" w14:textId="77777777" w:rsidTr="00A13C59">
        <w:tc>
          <w:tcPr>
            <w:tcW w:w="299" w:type="pct"/>
            <w:vMerge/>
            <w:tcBorders>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F57F40F"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C3AD651" w14:textId="39BFE2A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83CA67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9C9D5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F09CBA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95.8%</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5D6EB8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100.0%</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117ACC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44C5AB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91.6%</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040BAB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97.9%</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E485DC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9420D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80.0%</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FE9E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91.5%</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4147E5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13F3BD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1E6E94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85.1%</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2909B5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0A4422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70.5%</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88BB5E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83.0%</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2CF466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2CC7336B" w14:textId="77777777" w:rsidTr="00A13C59">
        <w:tc>
          <w:tcPr>
            <w:tcW w:w="299" w:type="pct"/>
            <w:vMerge w:val="restart"/>
            <w:tcBorders>
              <w:top w:val="single" w:sz="4" w:space="0" w:color="CCCCCC"/>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13B246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CRC</w:t>
            </w: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9562F02" w14:textId="440046F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A56309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79250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33529D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94.8%</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9930B1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99.1%</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91DB0C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33145F7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82.9%</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2F9F64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93.4%</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0ED968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5B498E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C59AF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86.3%</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ABD19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593BA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73.9%</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F5F54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83.9%</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73D3A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2FF5C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69.7%</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99DB9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82.0%</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2D0512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3FEE2E5E"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710C6450"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71461B" w14:textId="16A79D0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B9B22C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992AD4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B0F17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83.4%</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D0549B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92.9%</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EE9BE8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83E509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72.5%</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9A5FE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82.0%</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32B18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3D16E8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68.2%</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48AB6E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79.1%</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89828D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063A74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65.4%</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A1553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F36964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C3089B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63.0%</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D1EF66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75.8%</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7DEF8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012B93AF"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2F7596DA"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D2906B5" w14:textId="1D83ED6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9F31B9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E76D89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05FACB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83.4%</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171A1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92.9%</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F3F2E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F16BB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72.5%</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9BD4D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82.0%</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E4E41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B274B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68.2%</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D831DD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79.1%</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A1C2F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65141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65.4%</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642E3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F2D6F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D0E16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63.0%</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07DD16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75.4%</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5D6EC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476460A0"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7FCD60EF"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50CB228" w14:textId="7C621807"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31B54D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A9196D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E538EF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94.3%</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69F84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99.5%</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09E76E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A4483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82.9%</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18295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93.4%</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9B27E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FBD251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76.3%</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7644C4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89.6%</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7208D1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6D0A74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72.0%</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DAD5F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85.8%</w:t>
            </w:r>
          </w:p>
        </w:tc>
        <w:tc>
          <w:tcPr>
            <w:tcW w:w="191"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0F44DA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F91ECF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69.2%</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7C3D47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82.5%</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5EEDB6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3EBCE158"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70DBC246"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9B8E3B4" w14:textId="7F67408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50436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D986E0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BC1B5B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83.9%</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16530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92.4%</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1EF803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C1770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71.1%</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A528E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83.4%</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C2A18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5E7DE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67.3%</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B40F33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80.1%</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5BEBE5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19844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65.4%</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99B07F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B8D13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E2D2D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63.5%</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64123D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75.4%</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C081F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42D42CA8"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6F1DD38B"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6496EE2" w14:textId="03A74A6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A2FC9D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5E181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2CFEB6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83.9%</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D8774B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92.4%</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0963CB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EA4325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71.1%</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C2B0E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83.4%</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ACE189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F916DC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67.3%</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92D7C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80.1%</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102BBF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0F1F4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65.4%</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D326A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224C5A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7C005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63.5%</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CA81A1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74.9%</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7FDE8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140F235B"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60C213E1"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0817954" w14:textId="0C9D66A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21856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AAD9F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1DF588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94.8%</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053B5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99.1%</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65BE3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E23903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83.9%</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5617EC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92.4%</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849737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4E011B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78.7%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13B59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87.2%</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62AA9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DC54F3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74.9%</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7E0A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82.9%</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F6724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2E1D1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71.6%</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C2412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80.1%</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F625A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496F733D"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23CC0991"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597B94B" w14:textId="5207C93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8AC66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8DAEC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1B0E3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84.4%</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A273E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91.9%</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A0E27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D1BC3B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73.0%</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D304C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81.5%</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EBF3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6EA35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69.7%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211211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77.7%</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63059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E2DE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66.8%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591AB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07CEA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32922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65.9%</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1DCF5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73.0%</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0A8090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47B3938A"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53A4C440"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309AF6D" w14:textId="37F42E9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59BE3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8673B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6FA9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84.4%</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B4706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91.9%</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48C0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0096C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73.0%</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4A008A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81.5%</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A79DF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092D29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69.7%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A5B0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77.7%</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83B4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DAA9D6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66.8%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564BDB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75.4%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4D03FF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433096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65.9%</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4FC75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72.5%</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421973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3D36097C"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F2FFE8E"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F457D3A" w14:textId="47F5D6B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E20CA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60B98B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5EE739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92.4%</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7D5D3F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83.9%</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1311E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47AF6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79.6%</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441F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74.9%</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C8A9F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D0912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006905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70.6%</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DBE04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37BDB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74.4%</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175D89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67.8%</w:t>
            </w:r>
          </w:p>
        </w:tc>
        <w:tc>
          <w:tcPr>
            <w:tcW w:w="19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103F5A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FF3A96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72.0%</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B616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66.8%</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18101F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76A5A850" w14:textId="77777777" w:rsidTr="00A13C59">
        <w:tc>
          <w:tcPr>
            <w:tcW w:w="299" w:type="pct"/>
            <w:vMerge/>
            <w:tcBorders>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D16AF93"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A5A9489" w14:textId="4B3CDFC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001287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779DE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956F8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98.6%</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87CBF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95.3%</w:t>
            </w:r>
          </w:p>
        </w:tc>
        <w:tc>
          <w:tcPr>
            <w:tcW w:w="15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4C5BF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14044D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91.0%</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99EFA5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85.3%</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F712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8807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86.7%</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C9D15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79.1%</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160120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D9F544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83.4%</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4701B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E2A2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07DFCB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78.2%</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54355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73.5%</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58F546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153513BF" w14:textId="77777777" w:rsidTr="00A13C59">
        <w:tc>
          <w:tcPr>
            <w:tcW w:w="299" w:type="pct"/>
            <w:vMerge w:val="restart"/>
            <w:tcBorders>
              <w:top w:val="single" w:sz="4" w:space="0" w:color="CCCCCC"/>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C370E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PDAC</w:t>
            </w: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73083AB" w14:textId="0244887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3839C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70E188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2D0EA6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81.9%</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3BE7EE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65.0%</w:t>
            </w:r>
          </w:p>
        </w:tc>
        <w:tc>
          <w:tcPr>
            <w:tcW w:w="15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E17A1A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BA0C0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53.8%</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10FA4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37.2%</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0249EA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7E836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37.6%</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290FB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19.0%</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F1C3E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198686D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29.5%</w:t>
            </w:r>
          </w:p>
        </w:tc>
        <w:tc>
          <w:tcPr>
            <w:tcW w:w="275"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58EEDBF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12.5%</w:t>
            </w:r>
          </w:p>
        </w:tc>
        <w:tc>
          <w:tcPr>
            <w:tcW w:w="191" w:type="pct"/>
            <w:tcBorders>
              <w:top w:val="single" w:sz="4" w:space="0" w:color="CCCCCC"/>
              <w:left w:val="single" w:sz="4" w:space="0" w:color="CCCCCC"/>
              <w:bottom w:val="single" w:sz="4" w:space="0" w:color="CCCCCC"/>
              <w:right w:val="single" w:sz="4" w:space="0" w:color="CCCCCC"/>
            </w:tcBorders>
            <w:shd w:val="clear" w:color="auto" w:fill="FFD7D7"/>
            <w:tcMar>
              <w:top w:w="50" w:type="dxa"/>
              <w:left w:w="100" w:type="dxa"/>
              <w:bottom w:w="50" w:type="dxa"/>
              <w:right w:w="100" w:type="dxa"/>
            </w:tcMar>
            <w:vAlign w:val="center"/>
            <w:hideMark/>
          </w:tcPr>
          <w:p w14:paraId="5E78621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4B593A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15.8%</w:t>
            </w:r>
          </w:p>
        </w:tc>
        <w:tc>
          <w:tcPr>
            <w:tcW w:w="27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3929B24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10.4%</w:t>
            </w:r>
          </w:p>
        </w:tc>
        <w:tc>
          <w:tcPr>
            <w:tcW w:w="166"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0FAA596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5C5C2585" w14:textId="77777777" w:rsidTr="00A13C59">
        <w:tc>
          <w:tcPr>
            <w:tcW w:w="299" w:type="pct"/>
            <w:vMerge/>
            <w:tcBorders>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304350DE"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1821D42" w14:textId="212C356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7A920D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E5D332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880BD6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76.8%</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DEF0EE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70.1%</w:t>
            </w:r>
          </w:p>
        </w:tc>
        <w:tc>
          <w:tcPr>
            <w:tcW w:w="15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71AAE3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59B7EE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49.8%</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961345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41.2%</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12203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EE8A5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34.8%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A3F0BB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22.4%</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FB073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F49B6B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25.1%</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9F2EC8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17.2%</w:t>
            </w:r>
          </w:p>
        </w:tc>
        <w:tc>
          <w:tcPr>
            <w:tcW w:w="191"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681E4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05D741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18.0%</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C3B4CF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A04FC9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2A2E4B19" w14:textId="77777777" w:rsidTr="00A13C59">
        <w:tc>
          <w:tcPr>
            <w:tcW w:w="299" w:type="pct"/>
            <w:vMerge/>
            <w:tcBorders>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6183D47"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AF39E16" w14:textId="290FCBA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F04B5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2AAD48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EA855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68.8%</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AED7E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78.1%</w:t>
            </w:r>
          </w:p>
        </w:tc>
        <w:tc>
          <w:tcPr>
            <w:tcW w:w="15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424CF8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3AAC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44.6%</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D018CB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46.4%</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F7F982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CFCFAF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24.3%</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033C32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32.9%</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CD33DB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EF42B7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15.1%</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83449B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28.3%</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8FD21B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203255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11.1%</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DBCA6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14.2%</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9407D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4ED4865F" w14:textId="77777777" w:rsidTr="00A13C59">
        <w:tc>
          <w:tcPr>
            <w:tcW w:w="299" w:type="pct"/>
            <w:vMerge w:val="restart"/>
            <w:tcBorders>
              <w:top w:val="single" w:sz="4" w:space="0" w:color="CCCCCC"/>
              <w:left w:val="single" w:sz="4" w:space="0" w:color="CCCCCC"/>
              <w:right w:val="single" w:sz="4" w:space="0" w:color="CCCCCC"/>
            </w:tcBorders>
            <w:shd w:val="clear" w:color="auto" w:fill="F9F0F0"/>
            <w:tcMar>
              <w:top w:w="50" w:type="dxa"/>
              <w:left w:w="100" w:type="dxa"/>
              <w:bottom w:w="50" w:type="dxa"/>
              <w:right w:w="100" w:type="dxa"/>
            </w:tcMar>
            <w:vAlign w:val="center"/>
            <w:hideMark/>
          </w:tcPr>
          <w:p w14:paraId="4D03BF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BRCA</w:t>
            </w: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3C4F558" w14:textId="437A456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604FD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87CCF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403BD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46.8%</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645658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55.3%</w:t>
            </w:r>
          </w:p>
        </w:tc>
        <w:tc>
          <w:tcPr>
            <w:tcW w:w="15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F55AB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48E75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23.4%</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836AAF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46.8%</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449B5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B4709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4.3%</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75057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25.5%</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02B53A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934C5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894E95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25.5%</w:t>
            </w:r>
          </w:p>
        </w:tc>
        <w:tc>
          <w:tcPr>
            <w:tcW w:w="191"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3C7A9D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DCB2F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w:t>
            </w:r>
          </w:p>
        </w:tc>
        <w:tc>
          <w:tcPr>
            <w:tcW w:w="27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6E2EF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19.1%</w:t>
            </w:r>
          </w:p>
        </w:tc>
        <w:tc>
          <w:tcPr>
            <w:tcW w:w="166"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B030B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A13C59" w:rsidRPr="003759FE" w14:paraId="4B2D207B" w14:textId="77777777" w:rsidTr="00A13C59">
        <w:tc>
          <w:tcPr>
            <w:tcW w:w="299" w:type="pct"/>
            <w:vMerge/>
            <w:tcBorders>
              <w:left w:val="single" w:sz="4" w:space="0" w:color="CCCCCC"/>
              <w:right w:val="single" w:sz="4" w:space="0" w:color="CCCCCC"/>
            </w:tcBorders>
            <w:shd w:val="clear" w:color="auto" w:fill="FFFFFF"/>
            <w:tcMar>
              <w:top w:w="50" w:type="dxa"/>
              <w:left w:w="100" w:type="dxa"/>
              <w:bottom w:w="50" w:type="dxa"/>
              <w:right w:w="100" w:type="dxa"/>
            </w:tcMar>
            <w:vAlign w:val="center"/>
            <w:hideMark/>
          </w:tcPr>
          <w:p w14:paraId="4A33D3B6"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4DC7DB" w14:textId="2A2E4E4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36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FF8F51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CE09AE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FA448D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87.2%</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C8A68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91.2%</w:t>
            </w:r>
          </w:p>
        </w:tc>
        <w:tc>
          <w:tcPr>
            <w:tcW w:w="15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4CA34C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C5767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78.5%</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0399F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77.9%</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DA7B24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56F5F6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74.0%</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CAAE34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62.2%</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2DF03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09EA89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69.4%</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B7C27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49.6%</w:t>
            </w:r>
          </w:p>
        </w:tc>
        <w:tc>
          <w:tcPr>
            <w:tcW w:w="191"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AD10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59F9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59.6%</w:t>
            </w:r>
          </w:p>
        </w:tc>
        <w:tc>
          <w:tcPr>
            <w:tcW w:w="27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D7FA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38.0%</w:t>
            </w:r>
          </w:p>
        </w:tc>
        <w:tc>
          <w:tcPr>
            <w:tcW w:w="166"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B13A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A13C59" w:rsidRPr="003759FE" w14:paraId="018EA8CE" w14:textId="77777777" w:rsidTr="00A13C59">
        <w:tc>
          <w:tcPr>
            <w:tcW w:w="299" w:type="pct"/>
            <w:vMerge/>
            <w:tcBorders>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D43FEDB" w14:textId="77777777" w:rsidR="003759FE" w:rsidRPr="003759FE" w:rsidRDefault="003759FE" w:rsidP="003759FE">
            <w:pPr>
              <w:spacing w:line="240" w:lineRule="auto"/>
              <w:jc w:val="both"/>
              <w:rPr>
                <w:rFonts w:ascii="Arial" w:hAnsi="Arial" w:cs="Arial"/>
                <w:sz w:val="16"/>
                <w:szCs w:val="16"/>
              </w:rPr>
            </w:pPr>
          </w:p>
        </w:tc>
        <w:tc>
          <w:tcPr>
            <w:tcW w:w="32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494C7D0" w14:textId="34FF198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36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AC24F8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B70D2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24DC2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57.4%</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C1A83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44.7%</w:t>
            </w:r>
          </w:p>
        </w:tc>
        <w:tc>
          <w:tcPr>
            <w:tcW w:w="15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0274B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E82E57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42.6%</w:t>
            </w:r>
          </w:p>
        </w:tc>
        <w:tc>
          <w:tcPr>
            <w:tcW w:w="27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EAA90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27.7%</w:t>
            </w:r>
          </w:p>
        </w:tc>
        <w:tc>
          <w:tcPr>
            <w:tcW w:w="166"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07473C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E8A77A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21.3%</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11C29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67DE0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BCD7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19.1%</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A1759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6.4%</w:t>
            </w:r>
          </w:p>
        </w:tc>
        <w:tc>
          <w:tcPr>
            <w:tcW w:w="191"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B2931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c>
          <w:tcPr>
            <w:tcW w:w="2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66AEFD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12.8%</w:t>
            </w:r>
          </w:p>
        </w:tc>
        <w:tc>
          <w:tcPr>
            <w:tcW w:w="27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F7FA49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6.4%</w:t>
            </w:r>
          </w:p>
        </w:tc>
        <w:tc>
          <w:tcPr>
            <w:tcW w:w="166"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ED9B8A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bl>
    <w:p w14:paraId="566EAC0B" w14:textId="70C25D18" w:rsidR="003759FE" w:rsidRPr="003759FE" w:rsidRDefault="003759FE" w:rsidP="003759FE">
      <w:pPr>
        <w:spacing w:line="240" w:lineRule="auto"/>
        <w:jc w:val="both"/>
        <w:rPr>
          <w:rFonts w:ascii="Arial" w:hAnsi="Arial" w:cs="Arial"/>
          <w:i/>
          <w:iCs/>
          <w:sz w:val="16"/>
          <w:szCs w:val="16"/>
        </w:rPr>
      </w:pPr>
    </w:p>
    <w:p w14:paraId="39D25E66" w14:textId="7C066B23" w:rsidR="003759FE" w:rsidRPr="003759FE" w:rsidRDefault="00FE7EA0" w:rsidP="003759FE">
      <w:pPr>
        <w:spacing w:line="240" w:lineRule="auto"/>
        <w:jc w:val="both"/>
        <w:rPr>
          <w:rFonts w:ascii="Arial" w:hAnsi="Arial" w:cs="Arial"/>
          <w:sz w:val="22"/>
          <w:szCs w:val="22"/>
        </w:rPr>
      </w:pPr>
      <w:r w:rsidRPr="00FE7EA0">
        <w:rPr>
          <w:rFonts w:ascii="Arial" w:hAnsi="Arial" w:cs="Arial"/>
          <w:b/>
          <w:bCs/>
          <w:sz w:val="20"/>
          <w:szCs w:val="20"/>
        </w:rPr>
        <w:t xml:space="preserve">Table </w:t>
      </w:r>
      <w:r w:rsidR="004D4450">
        <w:rPr>
          <w:rFonts w:ascii="Arial" w:hAnsi="Arial" w:cs="Arial"/>
          <w:b/>
          <w:bCs/>
          <w:sz w:val="20"/>
          <w:szCs w:val="20"/>
        </w:rPr>
        <w:t>S</w:t>
      </w:r>
      <w:r w:rsidRPr="00FE7EA0">
        <w:rPr>
          <w:rFonts w:ascii="Arial" w:hAnsi="Arial" w:cs="Arial"/>
          <w:b/>
          <w:bCs/>
          <w:sz w:val="20"/>
          <w:szCs w:val="20"/>
        </w:rPr>
        <w:t xml:space="preserve">4 | Univariable Cox proportional hazards regression using binary median-split predicted mutation probability. </w:t>
      </w:r>
      <w:r w:rsidRPr="00FE7EA0">
        <w:rPr>
          <w:rFonts w:ascii="Arial" w:hAnsi="Arial" w:cs="Arial"/>
          <w:sz w:val="16"/>
          <w:szCs w:val="16"/>
        </w:rPr>
        <w:t xml:space="preserve">Results of univariable Cox regression in which patients were stratified into High (predicted probability ≥ cohort median) and Low (probability &lt; cohort median) groups. For each gene–cohort–endpoint combination, the table reports the number of patients and events in each arm, the estimated HR with 95% confidence interval, unadjusted P value, and significance designation. HR &gt; 1 indicates that the High-probability group has elevated hazard relative to the Low-probability group; HR &lt; 1 indicates reduced hazard in the High-probability group (protective direction). Selected significant and representative non-significant associations are shown; complete results are provided in Supplementary </w:t>
      </w:r>
      <w:r w:rsidR="001D471B">
        <w:rPr>
          <w:rFonts w:ascii="Arial" w:hAnsi="Arial" w:cs="Arial"/>
          <w:sz w:val="16"/>
          <w:szCs w:val="16"/>
        </w:rPr>
        <w:t>Figures</w:t>
      </w:r>
      <w:r w:rsidRPr="00FE7EA0">
        <w:rPr>
          <w:rFonts w:ascii="Arial" w:hAnsi="Arial" w:cs="Arial"/>
          <w:sz w:val="16"/>
          <w:szCs w:val="16"/>
        </w:rPr>
        <w:t>. Significance thresholds: ***P &lt; 0.001, **P &lt; 0.01, *P &lt; 0.05; ns, not significant.</w:t>
      </w:r>
    </w:p>
    <w:tbl>
      <w:tblPr>
        <w:tblW w:w="5000" w:type="pct"/>
        <w:tblCellMar>
          <w:top w:w="15" w:type="dxa"/>
          <w:left w:w="15" w:type="dxa"/>
          <w:bottom w:w="15" w:type="dxa"/>
          <w:right w:w="15" w:type="dxa"/>
        </w:tblCellMar>
        <w:tblLook w:val="04A0" w:firstRow="1" w:lastRow="0" w:firstColumn="1" w:lastColumn="0" w:noHBand="0" w:noVBand="1"/>
      </w:tblPr>
      <w:tblGrid>
        <w:gridCol w:w="970"/>
        <w:gridCol w:w="1055"/>
        <w:gridCol w:w="1198"/>
        <w:gridCol w:w="958"/>
        <w:gridCol w:w="911"/>
        <w:gridCol w:w="1111"/>
        <w:gridCol w:w="1062"/>
        <w:gridCol w:w="1843"/>
        <w:gridCol w:w="1019"/>
        <w:gridCol w:w="663"/>
      </w:tblGrid>
      <w:tr w:rsidR="00376499" w:rsidRPr="003759FE" w14:paraId="1EA86E5B" w14:textId="77777777" w:rsidTr="00A13C59">
        <w:trPr>
          <w:tblHeader/>
        </w:trPr>
        <w:tc>
          <w:tcPr>
            <w:tcW w:w="450"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757333FC"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Cohort</w:t>
            </w:r>
          </w:p>
        </w:tc>
        <w:tc>
          <w:tcPr>
            <w:tcW w:w="489"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5F9E5071"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Gene</w:t>
            </w:r>
          </w:p>
        </w:tc>
        <w:tc>
          <w:tcPr>
            <w:tcW w:w="55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5780EFAB"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Outcome</w:t>
            </w:r>
          </w:p>
        </w:tc>
        <w:tc>
          <w:tcPr>
            <w:tcW w:w="444"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08774D30"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N High</w:t>
            </w:r>
          </w:p>
        </w:tc>
        <w:tc>
          <w:tcPr>
            <w:tcW w:w="422"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3D8EAA6"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N Low</w:t>
            </w:r>
          </w:p>
        </w:tc>
        <w:tc>
          <w:tcPr>
            <w:tcW w:w="515"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13AED5B3"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Ev. High</w:t>
            </w:r>
          </w:p>
        </w:tc>
        <w:tc>
          <w:tcPr>
            <w:tcW w:w="492"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3548DD04"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Ev. Low</w:t>
            </w:r>
          </w:p>
        </w:tc>
        <w:tc>
          <w:tcPr>
            <w:tcW w:w="854"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4753A3A4"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HR (95% CI)</w:t>
            </w:r>
          </w:p>
        </w:tc>
        <w:tc>
          <w:tcPr>
            <w:tcW w:w="472"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EB9A577"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p-value</w:t>
            </w:r>
          </w:p>
        </w:tc>
        <w:tc>
          <w:tcPr>
            <w:tcW w:w="307" w:type="pct"/>
            <w:tcBorders>
              <w:top w:val="single" w:sz="4" w:space="0" w:color="BB0000"/>
              <w:left w:val="single" w:sz="4" w:space="0" w:color="CCCCCC"/>
              <w:bottom w:val="single" w:sz="4" w:space="0" w:color="BB0000"/>
              <w:right w:val="single" w:sz="4" w:space="0" w:color="CCCCCC"/>
            </w:tcBorders>
            <w:shd w:val="clear" w:color="auto" w:fill="BB0000"/>
            <w:tcMar>
              <w:top w:w="60" w:type="dxa"/>
              <w:left w:w="100" w:type="dxa"/>
              <w:bottom w:w="60" w:type="dxa"/>
              <w:right w:w="100" w:type="dxa"/>
            </w:tcMar>
            <w:vAlign w:val="center"/>
            <w:hideMark/>
          </w:tcPr>
          <w:p w14:paraId="630DACBB" w14:textId="77777777" w:rsidR="003759FE" w:rsidRPr="003759FE" w:rsidRDefault="003759FE" w:rsidP="003759FE">
            <w:pPr>
              <w:spacing w:line="240" w:lineRule="auto"/>
              <w:jc w:val="both"/>
              <w:rPr>
                <w:rFonts w:ascii="Arial" w:hAnsi="Arial" w:cs="Arial"/>
                <w:b/>
                <w:bCs/>
                <w:sz w:val="16"/>
                <w:szCs w:val="16"/>
              </w:rPr>
            </w:pPr>
            <w:r w:rsidRPr="003759FE">
              <w:rPr>
                <w:rFonts w:ascii="Arial" w:hAnsi="Arial" w:cs="Arial"/>
                <w:b/>
                <w:bCs/>
                <w:sz w:val="16"/>
                <w:szCs w:val="16"/>
              </w:rPr>
              <w:t>Sig.</w:t>
            </w:r>
          </w:p>
        </w:tc>
      </w:tr>
      <w:tr w:rsidR="00376499" w:rsidRPr="003759FE" w14:paraId="11342FA7" w14:textId="77777777" w:rsidTr="00A13C59">
        <w:tc>
          <w:tcPr>
            <w:tcW w:w="450"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E9E6C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LUAD</w:t>
            </w:r>
          </w:p>
        </w:tc>
        <w:tc>
          <w:tcPr>
            <w:tcW w:w="489"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EB65E38" w14:textId="5B00C1C9"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54968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C4488D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C43241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CD04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492"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24153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16</w:t>
            </w:r>
          </w:p>
        </w:tc>
        <w:tc>
          <w:tcPr>
            <w:tcW w:w="854"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F3029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1.83 (1.01–3.34)</w:t>
            </w:r>
          </w:p>
        </w:tc>
        <w:tc>
          <w:tcPr>
            <w:tcW w:w="472"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5C0CA4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0.047</w:t>
            </w:r>
          </w:p>
        </w:tc>
        <w:tc>
          <w:tcPr>
            <w:tcW w:w="307" w:type="pct"/>
            <w:tcBorders>
              <w:top w:val="single" w:sz="4" w:space="0" w:color="BB0000"/>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01C1A9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5F03F3C2"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A14E0A1"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DFA347D" w14:textId="5F20E2E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2BC7B7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3DA9A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45468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546FF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FD5490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45F0C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1.83 (1.15–2.92)</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D6D64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0.011</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8A7235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44FCFCE1"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5AB3EEE"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59A080E" w14:textId="0B8CB72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133C1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99413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0C1310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8280F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43</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F99FF5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1E469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1.78 (1.11–2.84)</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2BFB0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0.016</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D60EA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748BB725"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87E16E9"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841B3F2" w14:textId="4240D6EF"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A139C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3338D7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C620C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AE3A4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44</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A1FC7D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4278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1.76 (1.10–2.81)</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11931D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0.018</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E9AD28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4D839FE9"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EFDFD6E"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0F02985" w14:textId="4257CF0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875B4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6A8BBE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23CA41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70022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43</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30ED54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B17DE9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1.71 (1.07–2.73)</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DC3986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0.025</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3BB8F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37FA2BF7"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D9A9319"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E09FDAC" w14:textId="1D53228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TTN</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55964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E7350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8E2352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91CF5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28</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FB5B6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16</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ED21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1.85 (1.02–3.37)</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B2C25F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0.043</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B93A3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54C6AB9C"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375651F"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9B50731" w14:textId="749C00E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55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E1ADB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CD2AA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8F66D6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0CFB29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25</w:t>
            </w:r>
          </w:p>
        </w:tc>
        <w:tc>
          <w:tcPr>
            <w:tcW w:w="49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B03A1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w:t>
            </w:r>
          </w:p>
        </w:tc>
        <w:tc>
          <w:tcPr>
            <w:tcW w:w="85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566DA3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1.31 (0.73–2.35)</w:t>
            </w:r>
          </w:p>
        </w:tc>
        <w:tc>
          <w:tcPr>
            <w:tcW w:w="47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5CEF5E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0.359</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FBD85E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734B0E1A"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4B25E9B"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9E43F78" w14:textId="54230C3E"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55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463AC4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D5A0F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2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48C4CB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51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568CC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22</w:t>
            </w:r>
          </w:p>
        </w:tc>
        <w:tc>
          <w:tcPr>
            <w:tcW w:w="49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08D206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22</w:t>
            </w:r>
          </w:p>
        </w:tc>
        <w:tc>
          <w:tcPr>
            <w:tcW w:w="85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1214AD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0.99 (0.56–1.77)</w:t>
            </w:r>
          </w:p>
        </w:tc>
        <w:tc>
          <w:tcPr>
            <w:tcW w:w="47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53FF2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0.982</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13E04C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4E2C9B8B"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168EF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CRC</w:t>
            </w:r>
          </w:p>
        </w:tc>
        <w:tc>
          <w:tcPr>
            <w:tcW w:w="4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1B37643" w14:textId="2BF2FDF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CCCBA0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508DE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04BE2F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A4FB0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w:t>
            </w:r>
          </w:p>
        </w:tc>
        <w:tc>
          <w:tcPr>
            <w:tcW w:w="49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E2A0EE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59</w:t>
            </w:r>
          </w:p>
        </w:tc>
        <w:tc>
          <w:tcPr>
            <w:tcW w:w="85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E8B54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1.68 (1.21–2.34)</w:t>
            </w:r>
          </w:p>
        </w:tc>
        <w:tc>
          <w:tcPr>
            <w:tcW w:w="47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24865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0.002</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E61EF7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4438D5D3"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058123E"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DC099D4" w14:textId="7C603BD8"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0DA5A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44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23DDC6D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E2273D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AC3908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85</w:t>
            </w:r>
          </w:p>
        </w:tc>
        <w:tc>
          <w:tcPr>
            <w:tcW w:w="49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B8C10B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59</w:t>
            </w:r>
          </w:p>
        </w:tc>
        <w:tc>
          <w:tcPr>
            <w:tcW w:w="85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76AF50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1.60 (1.16–2.22)</w:t>
            </w:r>
          </w:p>
        </w:tc>
        <w:tc>
          <w:tcPr>
            <w:tcW w:w="47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D46191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0.005</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553DF04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3002921E"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36FD24C"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3E394DD" w14:textId="6B68D732"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CD2A14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782D7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195CD2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AEBBFA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80</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12396B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57</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D5A19B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1.55 (1.11–2.16)</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49A3C1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0.011</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C00A68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3033DAC8"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DAC5E64"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8AE05D6" w14:textId="231EA0D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229E9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62BA58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7A2A9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0C101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5FB3B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D7F6C5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1.40 (1.01–1.94)</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C6D45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0.042</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7032F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6341F3DC"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05D03AC"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B62AF3C" w14:textId="13D27D4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3E94AC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E717D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78AD2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3B3829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81</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8A666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63</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2C84EA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1.43 (1.03–1.97)</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97EE08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0.031</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378257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377C1BC5"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4353096"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795D963" w14:textId="1B85DF43"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AC17E3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RFS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C13AF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A4F823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74431C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78</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E36946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59</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1EE82FF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1.47 (1.05–2.05)</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C8452C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0.024</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B6833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49D1DCB8"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F42336D"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9BBB4CA" w14:textId="4FB01FC6"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55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1137B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36A613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320675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D28CE2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w:t>
            </w:r>
          </w:p>
        </w:tc>
        <w:tc>
          <w:tcPr>
            <w:tcW w:w="49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17A1A7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w:t>
            </w:r>
          </w:p>
        </w:tc>
        <w:tc>
          <w:tcPr>
            <w:tcW w:w="85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457299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1.27 (0.92–1.76)</w:t>
            </w:r>
          </w:p>
        </w:tc>
        <w:tc>
          <w:tcPr>
            <w:tcW w:w="47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EE278B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0.147</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13CF00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112DDA81"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30D491A"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FBA1E24" w14:textId="034F3631"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55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223580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DFS</w:t>
            </w:r>
          </w:p>
        </w:tc>
        <w:tc>
          <w:tcPr>
            <w:tcW w:w="44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0F484E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F9C01A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EF9A05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79</w:t>
            </w:r>
          </w:p>
        </w:tc>
        <w:tc>
          <w:tcPr>
            <w:tcW w:w="49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98A11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65</w:t>
            </w:r>
          </w:p>
        </w:tc>
        <w:tc>
          <w:tcPr>
            <w:tcW w:w="85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0CDABF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1.32 (0.95–1.82)</w:t>
            </w:r>
          </w:p>
        </w:tc>
        <w:tc>
          <w:tcPr>
            <w:tcW w:w="47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D4C295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0.096</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DDA77A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261FEF99"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7243240"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2A87B3F" w14:textId="214285E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55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48CE9F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CF9816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AE614D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7BBA1A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67</w:t>
            </w:r>
          </w:p>
        </w:tc>
        <w:tc>
          <w:tcPr>
            <w:tcW w:w="49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4355A3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77</w:t>
            </w:r>
          </w:p>
        </w:tc>
        <w:tc>
          <w:tcPr>
            <w:tcW w:w="85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2DD29B9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0.82 (0.59–1.13)</w:t>
            </w:r>
          </w:p>
        </w:tc>
        <w:tc>
          <w:tcPr>
            <w:tcW w:w="47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03A7BEC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0.226</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54DD63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0BABE4BD"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2377E79"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5FBC326" w14:textId="62BEBDD0"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55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67A3E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ABAC4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42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A01084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211</w:t>
            </w:r>
          </w:p>
        </w:tc>
        <w:tc>
          <w:tcPr>
            <w:tcW w:w="51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4A89EC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73</w:t>
            </w:r>
          </w:p>
        </w:tc>
        <w:tc>
          <w:tcPr>
            <w:tcW w:w="49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3DF4D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71</w:t>
            </w:r>
          </w:p>
        </w:tc>
        <w:tc>
          <w:tcPr>
            <w:tcW w:w="85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8A247E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0.99 (0.72–1.37)</w:t>
            </w:r>
          </w:p>
        </w:tc>
        <w:tc>
          <w:tcPr>
            <w:tcW w:w="47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4ACDAE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0.959</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656D16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0C3BD7C8"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C72E05B"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PDAC</w:t>
            </w:r>
          </w:p>
        </w:tc>
        <w:tc>
          <w:tcPr>
            <w:tcW w:w="489"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3E15D7A7" w14:textId="204CA87B"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6FEFE4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5F6DD71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138</w:t>
            </w:r>
          </w:p>
        </w:tc>
        <w:tc>
          <w:tcPr>
            <w:tcW w:w="422"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13E24DE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515"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BD34CA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94</w:t>
            </w:r>
          </w:p>
        </w:tc>
        <w:tc>
          <w:tcPr>
            <w:tcW w:w="492"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2430127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109</w:t>
            </w:r>
          </w:p>
        </w:tc>
        <w:tc>
          <w:tcPr>
            <w:tcW w:w="854"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341EF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0.60 (0.46–0.80)</w:t>
            </w:r>
          </w:p>
        </w:tc>
        <w:tc>
          <w:tcPr>
            <w:tcW w:w="472"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739CFDA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&lt;0.001</w:t>
            </w:r>
          </w:p>
        </w:tc>
        <w:tc>
          <w:tcPr>
            <w:tcW w:w="307" w:type="pct"/>
            <w:tcBorders>
              <w:top w:val="single" w:sz="4" w:space="0" w:color="CCCCCC"/>
              <w:left w:val="single" w:sz="4" w:space="0" w:color="CCCCCC"/>
              <w:bottom w:val="single" w:sz="4" w:space="0" w:color="CCCCCC"/>
              <w:right w:val="single" w:sz="4" w:space="0" w:color="CCCCCC"/>
            </w:tcBorders>
            <w:shd w:val="clear" w:color="auto" w:fill="FFE4C4"/>
            <w:tcMar>
              <w:top w:w="50" w:type="dxa"/>
              <w:left w:w="100" w:type="dxa"/>
              <w:bottom w:w="50" w:type="dxa"/>
              <w:right w:w="100" w:type="dxa"/>
            </w:tcMar>
            <w:vAlign w:val="center"/>
            <w:hideMark/>
          </w:tcPr>
          <w:p w14:paraId="68BBEB3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4F57941B"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ED1C09C"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FD72045" w14:textId="079B209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APC</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AFE04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DF24D9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138</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396A83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5BF24A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95</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EE3E7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108</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6EDF114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0.74 (0.56–0.97)</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EA5C30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0.032</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3837CA4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7CAE11F5"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DD99DE2"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08ACB48" w14:textId="4602FDA5"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BRAF</w:t>
            </w:r>
          </w:p>
        </w:tc>
        <w:tc>
          <w:tcPr>
            <w:tcW w:w="55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7A55D7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DFEEBE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138</w:t>
            </w:r>
          </w:p>
        </w:tc>
        <w:tc>
          <w:tcPr>
            <w:tcW w:w="42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7ABEE2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51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9DD339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110</w:t>
            </w:r>
          </w:p>
        </w:tc>
        <w:tc>
          <w:tcPr>
            <w:tcW w:w="49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610789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93</w:t>
            </w:r>
          </w:p>
        </w:tc>
        <w:tc>
          <w:tcPr>
            <w:tcW w:w="85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0EE881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1.29 (0.98–1.70)</w:t>
            </w:r>
          </w:p>
        </w:tc>
        <w:tc>
          <w:tcPr>
            <w:tcW w:w="47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9E7379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0.071</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64C6AE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6A48B586"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CF3CF60"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0677AF3" w14:textId="24644D4D"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KMT2D</w:t>
            </w:r>
          </w:p>
        </w:tc>
        <w:tc>
          <w:tcPr>
            <w:tcW w:w="55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E4BDC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E506A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138</w:t>
            </w:r>
          </w:p>
        </w:tc>
        <w:tc>
          <w:tcPr>
            <w:tcW w:w="42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E056096"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137</w:t>
            </w:r>
          </w:p>
        </w:tc>
        <w:tc>
          <w:tcPr>
            <w:tcW w:w="51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5F57559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101</w:t>
            </w:r>
          </w:p>
        </w:tc>
        <w:tc>
          <w:tcPr>
            <w:tcW w:w="49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47BB93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102</w:t>
            </w:r>
          </w:p>
        </w:tc>
        <w:tc>
          <w:tcPr>
            <w:tcW w:w="85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97CEBF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1.16 (0.88–1.53)</w:t>
            </w:r>
          </w:p>
        </w:tc>
        <w:tc>
          <w:tcPr>
            <w:tcW w:w="47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8742D2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0.308</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3BF6132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10871672"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268BC0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BRCA</w:t>
            </w:r>
          </w:p>
        </w:tc>
        <w:tc>
          <w:tcPr>
            <w:tcW w:w="489"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7025D65" w14:textId="62149534"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55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00C5A10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44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8BFFA0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2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7E8B8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515"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75EFFF2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9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131D627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854"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6956AE6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1.90 (1.21–2.96)</w:t>
            </w:r>
          </w:p>
        </w:tc>
        <w:tc>
          <w:tcPr>
            <w:tcW w:w="472"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3D6E142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0.005</w:t>
            </w:r>
          </w:p>
        </w:tc>
        <w:tc>
          <w:tcPr>
            <w:tcW w:w="307" w:type="pct"/>
            <w:tcBorders>
              <w:top w:val="single" w:sz="4" w:space="0" w:color="CCCCCC"/>
              <w:left w:val="single" w:sz="4" w:space="0" w:color="CCCCCC"/>
              <w:bottom w:val="single" w:sz="4" w:space="0" w:color="CCCCCC"/>
              <w:right w:val="single" w:sz="4" w:space="0" w:color="CCCCCC"/>
            </w:tcBorders>
            <w:shd w:val="clear" w:color="auto" w:fill="FFFACC"/>
            <w:tcMar>
              <w:top w:w="50" w:type="dxa"/>
              <w:left w:w="100" w:type="dxa"/>
              <w:bottom w:w="50" w:type="dxa"/>
              <w:right w:w="100" w:type="dxa"/>
            </w:tcMar>
            <w:vAlign w:val="center"/>
            <w:hideMark/>
          </w:tcPr>
          <w:p w14:paraId="430777A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562BED8B"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974CACA"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09463C7" w14:textId="69C68FFA"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PIK3CA</w:t>
            </w:r>
          </w:p>
        </w:tc>
        <w:tc>
          <w:tcPr>
            <w:tcW w:w="55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57C48C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A43889A"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2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BDC357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515"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9FCE96E"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31</w:t>
            </w:r>
          </w:p>
        </w:tc>
        <w:tc>
          <w:tcPr>
            <w:tcW w:w="49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069405E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37</w:t>
            </w:r>
          </w:p>
        </w:tc>
        <w:tc>
          <w:tcPr>
            <w:tcW w:w="854"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77B2C90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0.61 (0.38–0.99)</w:t>
            </w:r>
          </w:p>
        </w:tc>
        <w:tc>
          <w:tcPr>
            <w:tcW w:w="472"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20D608A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0.044</w:t>
            </w:r>
          </w:p>
        </w:tc>
        <w:tc>
          <w:tcPr>
            <w:tcW w:w="307" w:type="pct"/>
            <w:tcBorders>
              <w:top w:val="single" w:sz="4" w:space="0" w:color="CCCCCC"/>
              <w:left w:val="single" w:sz="4" w:space="0" w:color="CCCCCC"/>
              <w:bottom w:val="single" w:sz="4" w:space="0" w:color="CCCCCC"/>
              <w:right w:val="single" w:sz="4" w:space="0" w:color="CCCCCC"/>
            </w:tcBorders>
            <w:shd w:val="clear" w:color="auto" w:fill="F0FFF0"/>
            <w:tcMar>
              <w:top w:w="50" w:type="dxa"/>
              <w:left w:w="100" w:type="dxa"/>
              <w:bottom w:w="50" w:type="dxa"/>
              <w:right w:w="100" w:type="dxa"/>
            </w:tcMar>
            <w:vAlign w:val="center"/>
            <w:hideMark/>
          </w:tcPr>
          <w:p w14:paraId="4E16A7B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b/>
                <w:bCs/>
                <w:sz w:val="16"/>
                <w:szCs w:val="16"/>
              </w:rPr>
              <w:t>*</w:t>
            </w:r>
          </w:p>
        </w:tc>
      </w:tr>
      <w:tr w:rsidR="00376499" w:rsidRPr="003759FE" w14:paraId="792E7EC5"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E44C8D5"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FD97D53" w14:textId="65E49C2B"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KRAS</w:t>
            </w:r>
          </w:p>
        </w:tc>
        <w:tc>
          <w:tcPr>
            <w:tcW w:w="55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35A9D35D"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PFS</w:t>
            </w:r>
          </w:p>
        </w:tc>
        <w:tc>
          <w:tcPr>
            <w:tcW w:w="44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4F1E541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2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598C4D1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515"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675822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9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150F1179"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854"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7E1E19CF"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0.68 (0.45–1.03)</w:t>
            </w:r>
          </w:p>
        </w:tc>
        <w:tc>
          <w:tcPr>
            <w:tcW w:w="472"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3D105A5"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0.069</w:t>
            </w:r>
          </w:p>
        </w:tc>
        <w:tc>
          <w:tcPr>
            <w:tcW w:w="307" w:type="pct"/>
            <w:tcBorders>
              <w:top w:val="single" w:sz="4" w:space="0" w:color="CCCCCC"/>
              <w:left w:val="single" w:sz="4" w:space="0" w:color="CCCCCC"/>
              <w:bottom w:val="single" w:sz="4" w:space="0" w:color="CCCCCC"/>
              <w:right w:val="single" w:sz="4" w:space="0" w:color="CCCCCC"/>
            </w:tcBorders>
            <w:shd w:val="clear" w:color="auto" w:fill="FFFFFF"/>
            <w:tcMar>
              <w:top w:w="50" w:type="dxa"/>
              <w:left w:w="100" w:type="dxa"/>
              <w:bottom w:w="50" w:type="dxa"/>
              <w:right w:w="100" w:type="dxa"/>
            </w:tcMar>
            <w:vAlign w:val="center"/>
            <w:hideMark/>
          </w:tcPr>
          <w:p w14:paraId="64D27710"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r w:rsidR="00376499" w:rsidRPr="003759FE" w14:paraId="09030D3B" w14:textId="77777777" w:rsidTr="00A13C59">
        <w:tc>
          <w:tcPr>
            <w:tcW w:w="450"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7C2433B" w14:textId="77777777" w:rsidR="003759FE" w:rsidRPr="003759FE" w:rsidRDefault="003759FE" w:rsidP="003759FE">
            <w:pPr>
              <w:spacing w:line="240" w:lineRule="auto"/>
              <w:jc w:val="both"/>
              <w:rPr>
                <w:rFonts w:ascii="Arial" w:hAnsi="Arial" w:cs="Arial"/>
                <w:sz w:val="16"/>
                <w:szCs w:val="16"/>
              </w:rPr>
            </w:pPr>
          </w:p>
        </w:tc>
        <w:tc>
          <w:tcPr>
            <w:tcW w:w="489"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299E50E" w14:textId="660430BC" w:rsidR="003759FE" w:rsidRPr="00922793" w:rsidRDefault="00445CAB" w:rsidP="003759FE">
            <w:pPr>
              <w:spacing w:line="240" w:lineRule="auto"/>
              <w:jc w:val="both"/>
              <w:rPr>
                <w:rFonts w:ascii="Arial" w:hAnsi="Arial" w:cs="Arial"/>
                <w:i/>
                <w:iCs/>
                <w:sz w:val="16"/>
                <w:szCs w:val="16"/>
              </w:rPr>
            </w:pPr>
            <w:r w:rsidRPr="00445CAB">
              <w:rPr>
                <w:rFonts w:ascii="Arial" w:hAnsi="Arial" w:cs="Arial"/>
                <w:b/>
                <w:bCs/>
                <w:i/>
                <w:iCs/>
                <w:sz w:val="16"/>
                <w:szCs w:val="16"/>
              </w:rPr>
              <w:t>TP53</w:t>
            </w:r>
          </w:p>
        </w:tc>
        <w:tc>
          <w:tcPr>
            <w:tcW w:w="55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24F533E3"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OS</w:t>
            </w:r>
          </w:p>
        </w:tc>
        <w:tc>
          <w:tcPr>
            <w:tcW w:w="44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DD45138"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42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53CD5AC"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47</w:t>
            </w:r>
          </w:p>
        </w:tc>
        <w:tc>
          <w:tcPr>
            <w:tcW w:w="515"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09DDD292"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35</w:t>
            </w:r>
          </w:p>
        </w:tc>
        <w:tc>
          <w:tcPr>
            <w:tcW w:w="49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1DE3EF87"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33</w:t>
            </w:r>
          </w:p>
        </w:tc>
        <w:tc>
          <w:tcPr>
            <w:tcW w:w="854"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4C68C24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1.54 (0.95–2.50)</w:t>
            </w:r>
          </w:p>
        </w:tc>
        <w:tc>
          <w:tcPr>
            <w:tcW w:w="472"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69F19BB1"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0.078</w:t>
            </w:r>
          </w:p>
        </w:tc>
        <w:tc>
          <w:tcPr>
            <w:tcW w:w="307" w:type="pct"/>
            <w:tcBorders>
              <w:top w:val="single" w:sz="4" w:space="0" w:color="CCCCCC"/>
              <w:left w:val="single" w:sz="4" w:space="0" w:color="CCCCCC"/>
              <w:bottom w:val="single" w:sz="4" w:space="0" w:color="CCCCCC"/>
              <w:right w:val="single" w:sz="4" w:space="0" w:color="CCCCCC"/>
            </w:tcBorders>
            <w:shd w:val="clear" w:color="auto" w:fill="F9F0F0"/>
            <w:tcMar>
              <w:top w:w="50" w:type="dxa"/>
              <w:left w:w="100" w:type="dxa"/>
              <w:bottom w:w="50" w:type="dxa"/>
              <w:right w:w="100" w:type="dxa"/>
            </w:tcMar>
            <w:vAlign w:val="center"/>
            <w:hideMark/>
          </w:tcPr>
          <w:p w14:paraId="74EED234" w14:textId="77777777" w:rsidR="003759FE" w:rsidRPr="003759FE" w:rsidRDefault="003759FE" w:rsidP="003759FE">
            <w:pPr>
              <w:spacing w:line="240" w:lineRule="auto"/>
              <w:jc w:val="both"/>
              <w:rPr>
                <w:rFonts w:ascii="Arial" w:hAnsi="Arial" w:cs="Arial"/>
                <w:sz w:val="16"/>
                <w:szCs w:val="16"/>
              </w:rPr>
            </w:pPr>
            <w:r w:rsidRPr="003759FE">
              <w:rPr>
                <w:rFonts w:ascii="Arial" w:hAnsi="Arial" w:cs="Arial"/>
                <w:sz w:val="16"/>
                <w:szCs w:val="16"/>
              </w:rPr>
              <w:t>ns</w:t>
            </w:r>
          </w:p>
        </w:tc>
      </w:tr>
    </w:tbl>
    <w:p w14:paraId="290795EF" w14:textId="774C49CB" w:rsidR="00495CE9" w:rsidRDefault="00495CE9" w:rsidP="00850AD7">
      <w:pPr>
        <w:spacing w:line="240" w:lineRule="auto"/>
        <w:jc w:val="both"/>
        <w:rPr>
          <w:rFonts w:ascii="Arial" w:hAnsi="Arial" w:cs="Arial"/>
          <w:i/>
          <w:iCs/>
          <w:sz w:val="16"/>
          <w:szCs w:val="16"/>
        </w:rPr>
      </w:pPr>
    </w:p>
    <w:p w14:paraId="5BC69883" w14:textId="19EDC808" w:rsidR="00EF6137" w:rsidRPr="00EF6137" w:rsidRDefault="00EF6137" w:rsidP="00850AD7">
      <w:pPr>
        <w:spacing w:line="240" w:lineRule="auto"/>
        <w:jc w:val="both"/>
        <w:rPr>
          <w:rFonts w:ascii="Arial" w:hAnsi="Arial" w:cs="Arial"/>
          <w:sz w:val="16"/>
          <w:szCs w:val="16"/>
        </w:rPr>
      </w:pPr>
      <w:r w:rsidRPr="00EF6137">
        <w:rPr>
          <w:rFonts w:ascii="Arial" w:hAnsi="Arial" w:cs="Arial"/>
          <w:b/>
          <w:bCs/>
          <w:sz w:val="20"/>
          <w:szCs w:val="20"/>
        </w:rPr>
        <w:t xml:space="preserve">Table </w:t>
      </w:r>
      <w:r w:rsidR="004D4450">
        <w:rPr>
          <w:rFonts w:ascii="Arial" w:hAnsi="Arial" w:cs="Arial"/>
          <w:b/>
          <w:bCs/>
          <w:sz w:val="20"/>
          <w:szCs w:val="20"/>
        </w:rPr>
        <w:t>S</w:t>
      </w:r>
      <w:r w:rsidRPr="00EF6137">
        <w:rPr>
          <w:rFonts w:ascii="Arial" w:hAnsi="Arial" w:cs="Arial"/>
          <w:b/>
          <w:bCs/>
          <w:sz w:val="20"/>
          <w:szCs w:val="20"/>
        </w:rPr>
        <w:t>5 | Cancer type-specific mutation prediction performance.</w:t>
      </w:r>
      <w:r w:rsidRPr="00EF6137">
        <w:rPr>
          <w:rFonts w:ascii="Arial" w:hAnsi="Arial" w:cs="Arial"/>
          <w:sz w:val="16"/>
          <w:szCs w:val="16"/>
        </w:rPr>
        <w:t xml:space="preserve"> Cross-validated classification performance of GenoGlyph cancer type-specific models for predicting individual somatic mutations from H&amp;E whole-slide images within the TCGA dataset. Each model was evaluated under five-fold patient-stratified cross-validation. Metrics reported are mean ± standard deviation of area under the receiver operating characteristic curve (AUC), accuracy, balanced accuracy, sensitivity, and specificity across folds. Cancer types shown include PAAD (pancreatic ductal adenocarcinoma), CRC (colorectal adenocarcinoma; TCGA-COAD and TCGA-READ combined), BRCA (breast invasive carcinoma), LUAD (lung adenocarcinoma), KIXX (kidney cancers; KICH, KIRC, and KIRP combined), LIHC (liver hepatocellular carcinoma), LUSC (lung squamous cell carcinoma), STAD (stomach adenocarcinoma), and HNSC (head and neck squamous cell carcinoma). All metrics are expressed as percentages.</w:t>
      </w:r>
    </w:p>
    <w:tbl>
      <w:tblPr>
        <w:tblStyle w:val="GridTable5Dark"/>
        <w:tblW w:w="5000" w:type="pct"/>
        <w:tblLook w:val="06A0" w:firstRow="1" w:lastRow="0" w:firstColumn="1" w:lastColumn="0" w:noHBand="1" w:noVBand="1"/>
      </w:tblPr>
      <w:tblGrid>
        <w:gridCol w:w="2491"/>
        <w:gridCol w:w="969"/>
        <w:gridCol w:w="1506"/>
        <w:gridCol w:w="1407"/>
        <w:gridCol w:w="1407"/>
        <w:gridCol w:w="1506"/>
        <w:gridCol w:w="1504"/>
      </w:tblGrid>
      <w:tr w:rsidR="00E54D4B" w:rsidRPr="0072250C" w14:paraId="785D6FF8" w14:textId="77777777" w:rsidTr="00FE619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4" w:type="pct"/>
            <w:tcBorders>
              <w:right w:val="single" w:sz="4" w:space="0" w:color="FFFFFF" w:themeColor="background1"/>
            </w:tcBorders>
            <w:shd w:val="clear" w:color="auto" w:fill="C00000"/>
            <w:vAlign w:val="center"/>
            <w:hideMark/>
          </w:tcPr>
          <w:p w14:paraId="7549C66F" w14:textId="77777777" w:rsidR="0072250C" w:rsidRPr="0072250C" w:rsidRDefault="0072250C" w:rsidP="001A2693">
            <w:pPr>
              <w:spacing w:after="160"/>
              <w:rPr>
                <w:rFonts w:ascii="Arial" w:hAnsi="Arial" w:cs="Arial"/>
                <w:sz w:val="16"/>
                <w:szCs w:val="16"/>
              </w:rPr>
            </w:pPr>
            <w:r w:rsidRPr="0072250C">
              <w:rPr>
                <w:rFonts w:ascii="Arial" w:hAnsi="Arial" w:cs="Arial"/>
                <w:sz w:val="16"/>
                <w:szCs w:val="16"/>
              </w:rPr>
              <w:t>Dataset</w:t>
            </w:r>
          </w:p>
        </w:tc>
        <w:tc>
          <w:tcPr>
            <w:tcW w:w="449" w:type="pct"/>
            <w:tcBorders>
              <w:left w:val="single" w:sz="4" w:space="0" w:color="FFFFFF" w:themeColor="background1"/>
              <w:right w:val="single" w:sz="4" w:space="0" w:color="FFFFFF" w:themeColor="background1"/>
            </w:tcBorders>
            <w:shd w:val="clear" w:color="auto" w:fill="C00000"/>
            <w:vAlign w:val="center"/>
            <w:hideMark/>
          </w:tcPr>
          <w:p w14:paraId="2A4E7E52"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Mutation</w:t>
            </w:r>
          </w:p>
        </w:tc>
        <w:tc>
          <w:tcPr>
            <w:tcW w:w="698" w:type="pct"/>
            <w:tcBorders>
              <w:left w:val="single" w:sz="4" w:space="0" w:color="FFFFFF" w:themeColor="background1"/>
              <w:right w:val="single" w:sz="4" w:space="0" w:color="FFFFFF" w:themeColor="background1"/>
            </w:tcBorders>
            <w:shd w:val="clear" w:color="auto" w:fill="C00000"/>
            <w:vAlign w:val="center"/>
            <w:hideMark/>
          </w:tcPr>
          <w:p w14:paraId="2050DC25"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AUC</w:t>
            </w:r>
          </w:p>
        </w:tc>
        <w:tc>
          <w:tcPr>
            <w:tcW w:w="652" w:type="pct"/>
            <w:tcBorders>
              <w:left w:val="single" w:sz="4" w:space="0" w:color="FFFFFF" w:themeColor="background1"/>
              <w:right w:val="single" w:sz="4" w:space="0" w:color="FFFFFF" w:themeColor="background1"/>
            </w:tcBorders>
            <w:shd w:val="clear" w:color="auto" w:fill="C00000"/>
            <w:vAlign w:val="center"/>
            <w:hideMark/>
          </w:tcPr>
          <w:p w14:paraId="591A2E70"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Accuracy</w:t>
            </w:r>
          </w:p>
        </w:tc>
        <w:tc>
          <w:tcPr>
            <w:tcW w:w="652" w:type="pct"/>
            <w:tcBorders>
              <w:left w:val="single" w:sz="4" w:space="0" w:color="FFFFFF" w:themeColor="background1"/>
              <w:right w:val="single" w:sz="4" w:space="0" w:color="FFFFFF" w:themeColor="background1"/>
            </w:tcBorders>
            <w:shd w:val="clear" w:color="auto" w:fill="C00000"/>
            <w:vAlign w:val="center"/>
            <w:hideMark/>
          </w:tcPr>
          <w:p w14:paraId="5C7464F7"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Bal. Acc.</w:t>
            </w:r>
          </w:p>
        </w:tc>
        <w:tc>
          <w:tcPr>
            <w:tcW w:w="698" w:type="pct"/>
            <w:tcBorders>
              <w:left w:val="single" w:sz="4" w:space="0" w:color="FFFFFF" w:themeColor="background1"/>
              <w:right w:val="single" w:sz="4" w:space="0" w:color="FFFFFF" w:themeColor="background1"/>
            </w:tcBorders>
            <w:shd w:val="clear" w:color="auto" w:fill="C00000"/>
            <w:vAlign w:val="center"/>
            <w:hideMark/>
          </w:tcPr>
          <w:p w14:paraId="78522F3E"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Sensitivity</w:t>
            </w:r>
          </w:p>
        </w:tc>
        <w:tc>
          <w:tcPr>
            <w:tcW w:w="698" w:type="pct"/>
            <w:tcBorders>
              <w:left w:val="single" w:sz="4" w:space="0" w:color="FFFFFF" w:themeColor="background1"/>
            </w:tcBorders>
            <w:shd w:val="clear" w:color="auto" w:fill="C00000"/>
            <w:vAlign w:val="center"/>
            <w:hideMark/>
          </w:tcPr>
          <w:p w14:paraId="03EB63B9" w14:textId="77777777" w:rsidR="0072250C" w:rsidRPr="0072250C" w:rsidRDefault="0072250C" w:rsidP="001A2693">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Specificity</w:t>
            </w:r>
          </w:p>
        </w:tc>
      </w:tr>
      <w:tr w:rsidR="00636951" w:rsidRPr="0072250C" w14:paraId="5768B495"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339D6D0A" w14:textId="77777777" w:rsidR="0072250C" w:rsidRPr="0072250C" w:rsidRDefault="0072250C" w:rsidP="001A2693">
            <w:pPr>
              <w:spacing w:after="160"/>
              <w:rPr>
                <w:rFonts w:ascii="Arial" w:hAnsi="Arial" w:cs="Arial"/>
                <w:sz w:val="16"/>
                <w:szCs w:val="16"/>
              </w:rPr>
            </w:pPr>
            <w:r w:rsidRPr="0072250C">
              <w:rPr>
                <w:rFonts w:ascii="Arial" w:hAnsi="Arial" w:cs="Arial"/>
                <w:sz w:val="16"/>
                <w:szCs w:val="16"/>
              </w:rPr>
              <w:t>PAAD</w:t>
            </w:r>
          </w:p>
        </w:tc>
        <w:tc>
          <w:tcPr>
            <w:tcW w:w="449" w:type="pct"/>
            <w:shd w:val="clear" w:color="auto" w:fill="C00000"/>
            <w:vAlign w:val="center"/>
            <w:hideMark/>
          </w:tcPr>
          <w:p w14:paraId="396CDA7F" w14:textId="13EF87DA"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2007070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65.544 ± 10.591</w:t>
            </w:r>
          </w:p>
        </w:tc>
        <w:tc>
          <w:tcPr>
            <w:tcW w:w="652" w:type="pct"/>
            <w:vAlign w:val="center"/>
            <w:hideMark/>
          </w:tcPr>
          <w:p w14:paraId="48A4E5DE"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64.062 ± 3.819</w:t>
            </w:r>
          </w:p>
        </w:tc>
        <w:tc>
          <w:tcPr>
            <w:tcW w:w="652" w:type="pct"/>
            <w:vAlign w:val="center"/>
            <w:hideMark/>
          </w:tcPr>
          <w:p w14:paraId="79133F13"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64.936 ± 4.135</w:t>
            </w:r>
          </w:p>
        </w:tc>
        <w:tc>
          <w:tcPr>
            <w:tcW w:w="698" w:type="pct"/>
            <w:vAlign w:val="center"/>
            <w:hideMark/>
          </w:tcPr>
          <w:p w14:paraId="7267BC6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63.981 ± 9.630</w:t>
            </w:r>
          </w:p>
        </w:tc>
        <w:tc>
          <w:tcPr>
            <w:tcW w:w="698" w:type="pct"/>
            <w:vAlign w:val="center"/>
            <w:hideMark/>
          </w:tcPr>
          <w:p w14:paraId="10B3A90B"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65.890 ± 13.590</w:t>
            </w:r>
          </w:p>
        </w:tc>
      </w:tr>
      <w:tr w:rsidR="00246DFB" w:rsidRPr="0072250C" w14:paraId="16CB2936"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66E48AB3"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68A9D54F" w14:textId="7EA76517"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KRAS</w:t>
            </w:r>
          </w:p>
        </w:tc>
        <w:tc>
          <w:tcPr>
            <w:tcW w:w="698" w:type="pct"/>
            <w:vAlign w:val="center"/>
            <w:hideMark/>
          </w:tcPr>
          <w:p w14:paraId="5669213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70.675 ± 7.008</w:t>
            </w:r>
          </w:p>
        </w:tc>
        <w:tc>
          <w:tcPr>
            <w:tcW w:w="652" w:type="pct"/>
            <w:vAlign w:val="center"/>
            <w:hideMark/>
          </w:tcPr>
          <w:p w14:paraId="1A2B71C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65.169 ± 7.481</w:t>
            </w:r>
          </w:p>
        </w:tc>
        <w:tc>
          <w:tcPr>
            <w:tcW w:w="652" w:type="pct"/>
            <w:vAlign w:val="center"/>
            <w:hideMark/>
          </w:tcPr>
          <w:p w14:paraId="0FB8A761"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63.674 ± 5.749</w:t>
            </w:r>
          </w:p>
        </w:tc>
        <w:tc>
          <w:tcPr>
            <w:tcW w:w="698" w:type="pct"/>
            <w:vAlign w:val="center"/>
            <w:hideMark/>
          </w:tcPr>
          <w:p w14:paraId="39F9DDAD"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67.383 ± 12.558</w:t>
            </w:r>
          </w:p>
        </w:tc>
        <w:tc>
          <w:tcPr>
            <w:tcW w:w="698" w:type="pct"/>
            <w:vAlign w:val="center"/>
            <w:hideMark/>
          </w:tcPr>
          <w:p w14:paraId="41B9FA7B"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59.965 ± 7.997</w:t>
            </w:r>
          </w:p>
        </w:tc>
      </w:tr>
      <w:tr w:rsidR="00246DFB" w:rsidRPr="0072250C" w14:paraId="3BDD7313"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0AF8BF02" w14:textId="77777777" w:rsidR="0072250C" w:rsidRPr="0072250C" w:rsidRDefault="0072250C" w:rsidP="001A2693">
            <w:pPr>
              <w:spacing w:after="160"/>
              <w:rPr>
                <w:rFonts w:ascii="Arial" w:hAnsi="Arial" w:cs="Arial"/>
                <w:sz w:val="16"/>
                <w:szCs w:val="16"/>
              </w:rPr>
            </w:pPr>
            <w:r w:rsidRPr="0072250C">
              <w:rPr>
                <w:rFonts w:ascii="Arial" w:hAnsi="Arial" w:cs="Arial"/>
                <w:sz w:val="16"/>
                <w:szCs w:val="16"/>
              </w:rPr>
              <w:t>CRC (READ + COAD)</w:t>
            </w:r>
          </w:p>
        </w:tc>
        <w:tc>
          <w:tcPr>
            <w:tcW w:w="449" w:type="pct"/>
            <w:shd w:val="clear" w:color="auto" w:fill="C00000"/>
            <w:vAlign w:val="center"/>
            <w:hideMark/>
          </w:tcPr>
          <w:p w14:paraId="03C460A9" w14:textId="4BFCC297"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PIK3CA</w:t>
            </w:r>
          </w:p>
        </w:tc>
        <w:tc>
          <w:tcPr>
            <w:tcW w:w="698" w:type="pct"/>
            <w:vAlign w:val="center"/>
            <w:hideMark/>
          </w:tcPr>
          <w:p w14:paraId="1FBCD7F6"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63.485 ± 5.582</w:t>
            </w:r>
          </w:p>
        </w:tc>
        <w:tc>
          <w:tcPr>
            <w:tcW w:w="652" w:type="pct"/>
            <w:vAlign w:val="center"/>
            <w:hideMark/>
          </w:tcPr>
          <w:p w14:paraId="2AB5C46C"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61.857 ± 3.430</w:t>
            </w:r>
          </w:p>
        </w:tc>
        <w:tc>
          <w:tcPr>
            <w:tcW w:w="652" w:type="pct"/>
            <w:vAlign w:val="center"/>
            <w:hideMark/>
          </w:tcPr>
          <w:p w14:paraId="1A3D24B9"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60.888 ± 3.690</w:t>
            </w:r>
          </w:p>
        </w:tc>
        <w:tc>
          <w:tcPr>
            <w:tcW w:w="698" w:type="pct"/>
            <w:vAlign w:val="center"/>
            <w:hideMark/>
          </w:tcPr>
          <w:p w14:paraId="36B69D9B"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58.923 ± 6.893</w:t>
            </w:r>
          </w:p>
        </w:tc>
        <w:tc>
          <w:tcPr>
            <w:tcW w:w="698" w:type="pct"/>
            <w:vAlign w:val="center"/>
            <w:hideMark/>
          </w:tcPr>
          <w:p w14:paraId="16C9195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62.853 ± 4.234</w:t>
            </w:r>
          </w:p>
        </w:tc>
      </w:tr>
      <w:tr w:rsidR="00636951" w:rsidRPr="0072250C" w14:paraId="25F863FD"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39946549"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0CFE8301" w14:textId="41AB266B"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KRAS</w:t>
            </w:r>
          </w:p>
        </w:tc>
        <w:tc>
          <w:tcPr>
            <w:tcW w:w="698" w:type="pct"/>
            <w:vAlign w:val="center"/>
            <w:hideMark/>
          </w:tcPr>
          <w:p w14:paraId="1AF47CE8"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63.132 ± 7.557</w:t>
            </w:r>
          </w:p>
        </w:tc>
        <w:tc>
          <w:tcPr>
            <w:tcW w:w="652" w:type="pct"/>
            <w:vAlign w:val="center"/>
            <w:hideMark/>
          </w:tcPr>
          <w:p w14:paraId="306884F5"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59.998 ± 6.120</w:t>
            </w:r>
          </w:p>
        </w:tc>
        <w:tc>
          <w:tcPr>
            <w:tcW w:w="652" w:type="pct"/>
            <w:vAlign w:val="center"/>
            <w:hideMark/>
          </w:tcPr>
          <w:p w14:paraId="34C17915"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60.241 ± 6.115</w:t>
            </w:r>
          </w:p>
        </w:tc>
        <w:tc>
          <w:tcPr>
            <w:tcW w:w="698" w:type="pct"/>
            <w:vAlign w:val="center"/>
            <w:hideMark/>
          </w:tcPr>
          <w:p w14:paraId="7D4ED871"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61.039 ± 7.806</w:t>
            </w:r>
          </w:p>
        </w:tc>
        <w:tc>
          <w:tcPr>
            <w:tcW w:w="698" w:type="pct"/>
            <w:vAlign w:val="center"/>
            <w:hideMark/>
          </w:tcPr>
          <w:p w14:paraId="54D261A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59.444 ± 7.089</w:t>
            </w:r>
          </w:p>
        </w:tc>
      </w:tr>
      <w:tr w:rsidR="00636951" w:rsidRPr="0072250C" w14:paraId="5E4F6FC2"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4520961C"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0E2B88AA" w14:textId="6D2F3EB5"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3726A91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75.112 ± 5.824</w:t>
            </w:r>
          </w:p>
        </w:tc>
        <w:tc>
          <w:tcPr>
            <w:tcW w:w="652" w:type="pct"/>
            <w:vAlign w:val="center"/>
            <w:hideMark/>
          </w:tcPr>
          <w:p w14:paraId="6131AE3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69.965 ± 3.755</w:t>
            </w:r>
          </w:p>
        </w:tc>
        <w:tc>
          <w:tcPr>
            <w:tcW w:w="652" w:type="pct"/>
            <w:vAlign w:val="center"/>
            <w:hideMark/>
          </w:tcPr>
          <w:p w14:paraId="49F4A20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70.026 ± 3.860</w:t>
            </w:r>
          </w:p>
        </w:tc>
        <w:tc>
          <w:tcPr>
            <w:tcW w:w="698" w:type="pct"/>
            <w:vAlign w:val="center"/>
            <w:hideMark/>
          </w:tcPr>
          <w:p w14:paraId="48F80B81"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71.243 ± 8.049</w:t>
            </w:r>
          </w:p>
        </w:tc>
        <w:tc>
          <w:tcPr>
            <w:tcW w:w="698" w:type="pct"/>
            <w:vAlign w:val="center"/>
            <w:hideMark/>
          </w:tcPr>
          <w:p w14:paraId="6EDE397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68.808 ± 10.316</w:t>
            </w:r>
          </w:p>
        </w:tc>
      </w:tr>
      <w:tr w:rsidR="00636951" w:rsidRPr="0072250C" w14:paraId="56559921"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87F441D"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3564CFD2" w14:textId="3207C22D"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APC</w:t>
            </w:r>
          </w:p>
        </w:tc>
        <w:tc>
          <w:tcPr>
            <w:tcW w:w="698" w:type="pct"/>
            <w:vAlign w:val="center"/>
            <w:hideMark/>
          </w:tcPr>
          <w:p w14:paraId="77858979"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70.890 ± 1.798</w:t>
            </w:r>
          </w:p>
        </w:tc>
        <w:tc>
          <w:tcPr>
            <w:tcW w:w="652" w:type="pct"/>
            <w:vAlign w:val="center"/>
            <w:hideMark/>
          </w:tcPr>
          <w:p w14:paraId="58F7CD28"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65.721 ± 4.496</w:t>
            </w:r>
          </w:p>
        </w:tc>
        <w:tc>
          <w:tcPr>
            <w:tcW w:w="652" w:type="pct"/>
            <w:vAlign w:val="center"/>
            <w:hideMark/>
          </w:tcPr>
          <w:p w14:paraId="35866E7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65.140 ± 4.166</w:t>
            </w:r>
          </w:p>
        </w:tc>
        <w:tc>
          <w:tcPr>
            <w:tcW w:w="698" w:type="pct"/>
            <w:vAlign w:val="center"/>
            <w:hideMark/>
          </w:tcPr>
          <w:p w14:paraId="0147C90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66.783 ± 6.941</w:t>
            </w:r>
          </w:p>
        </w:tc>
        <w:tc>
          <w:tcPr>
            <w:tcW w:w="698" w:type="pct"/>
            <w:vAlign w:val="center"/>
            <w:hideMark/>
          </w:tcPr>
          <w:p w14:paraId="39F7110B"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63.497 ± 7.507</w:t>
            </w:r>
          </w:p>
        </w:tc>
      </w:tr>
      <w:tr w:rsidR="00636951" w:rsidRPr="0072250C" w14:paraId="5C619B9E"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CE06CE4"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38BE41DE" w14:textId="24D536E7"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TTN</w:t>
            </w:r>
          </w:p>
        </w:tc>
        <w:tc>
          <w:tcPr>
            <w:tcW w:w="698" w:type="pct"/>
            <w:vAlign w:val="center"/>
            <w:hideMark/>
          </w:tcPr>
          <w:p w14:paraId="75F1AFB9"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63.270 ± 5.060</w:t>
            </w:r>
          </w:p>
        </w:tc>
        <w:tc>
          <w:tcPr>
            <w:tcW w:w="652" w:type="pct"/>
            <w:vAlign w:val="center"/>
            <w:hideMark/>
          </w:tcPr>
          <w:p w14:paraId="53EF3063"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57.103 ± 4.107</w:t>
            </w:r>
          </w:p>
        </w:tc>
        <w:tc>
          <w:tcPr>
            <w:tcW w:w="652" w:type="pct"/>
            <w:vAlign w:val="center"/>
            <w:hideMark/>
          </w:tcPr>
          <w:p w14:paraId="1A201A43"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57.507 ± 4.340</w:t>
            </w:r>
          </w:p>
        </w:tc>
        <w:tc>
          <w:tcPr>
            <w:tcW w:w="698" w:type="pct"/>
            <w:vAlign w:val="center"/>
            <w:hideMark/>
          </w:tcPr>
          <w:p w14:paraId="5C9C3D1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60.548 ± 7.253</w:t>
            </w:r>
          </w:p>
        </w:tc>
        <w:tc>
          <w:tcPr>
            <w:tcW w:w="698" w:type="pct"/>
            <w:vAlign w:val="center"/>
            <w:hideMark/>
          </w:tcPr>
          <w:p w14:paraId="70DFFFB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54.467 ± 1.878</w:t>
            </w:r>
          </w:p>
        </w:tc>
      </w:tr>
      <w:tr w:rsidR="00636951" w:rsidRPr="0072250C" w14:paraId="15D3EE3D"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79BE6B9" w14:textId="20C1E7DD"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22EF1762" w14:textId="77777777" w:rsidR="0072250C" w:rsidRPr="00C3523E"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COX2</w:t>
            </w:r>
          </w:p>
        </w:tc>
        <w:tc>
          <w:tcPr>
            <w:tcW w:w="698" w:type="pct"/>
            <w:vAlign w:val="center"/>
            <w:hideMark/>
          </w:tcPr>
          <w:p w14:paraId="4960CBB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63.056 ± 4.929</w:t>
            </w:r>
          </w:p>
        </w:tc>
        <w:tc>
          <w:tcPr>
            <w:tcW w:w="652" w:type="pct"/>
            <w:vAlign w:val="center"/>
            <w:hideMark/>
          </w:tcPr>
          <w:p w14:paraId="2173FF6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61.980 ± 4.903</w:t>
            </w:r>
          </w:p>
        </w:tc>
        <w:tc>
          <w:tcPr>
            <w:tcW w:w="652" w:type="pct"/>
            <w:vAlign w:val="center"/>
            <w:hideMark/>
          </w:tcPr>
          <w:p w14:paraId="7A19D6AD"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61.069 ± 3.862</w:t>
            </w:r>
          </w:p>
        </w:tc>
        <w:tc>
          <w:tcPr>
            <w:tcW w:w="698" w:type="pct"/>
            <w:vAlign w:val="center"/>
            <w:hideMark/>
          </w:tcPr>
          <w:p w14:paraId="4C4D96E5"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57.926 ± 4.300</w:t>
            </w:r>
          </w:p>
        </w:tc>
        <w:tc>
          <w:tcPr>
            <w:tcW w:w="698" w:type="pct"/>
            <w:vAlign w:val="center"/>
            <w:hideMark/>
          </w:tcPr>
          <w:p w14:paraId="57A2A655"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64.212 ± 8.039</w:t>
            </w:r>
          </w:p>
        </w:tc>
      </w:tr>
      <w:tr w:rsidR="00246DFB" w:rsidRPr="0072250C" w14:paraId="5356DC8B"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E674816" w14:textId="69F0A1AC"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5B458175" w14:textId="7AA84321"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BRAF</w:t>
            </w:r>
          </w:p>
        </w:tc>
        <w:tc>
          <w:tcPr>
            <w:tcW w:w="698" w:type="pct"/>
            <w:vAlign w:val="center"/>
            <w:hideMark/>
          </w:tcPr>
          <w:p w14:paraId="14843CF3"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83.528 ± 6.515</w:t>
            </w:r>
          </w:p>
        </w:tc>
        <w:tc>
          <w:tcPr>
            <w:tcW w:w="652" w:type="pct"/>
            <w:vAlign w:val="center"/>
            <w:hideMark/>
          </w:tcPr>
          <w:p w14:paraId="3022E8C8"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83.323 ± 7.395</w:t>
            </w:r>
          </w:p>
        </w:tc>
        <w:tc>
          <w:tcPr>
            <w:tcW w:w="652" w:type="pct"/>
            <w:vAlign w:val="center"/>
            <w:hideMark/>
          </w:tcPr>
          <w:p w14:paraId="46490477"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78.042 ± 5.646</w:t>
            </w:r>
          </w:p>
        </w:tc>
        <w:tc>
          <w:tcPr>
            <w:tcW w:w="698" w:type="pct"/>
            <w:vAlign w:val="center"/>
            <w:hideMark/>
          </w:tcPr>
          <w:p w14:paraId="7A3D31D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70.606 ± 5.177</w:t>
            </w:r>
          </w:p>
        </w:tc>
        <w:tc>
          <w:tcPr>
            <w:tcW w:w="698" w:type="pct"/>
            <w:vAlign w:val="center"/>
            <w:hideMark/>
          </w:tcPr>
          <w:p w14:paraId="18AD81BD"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85.477 ± 8.227</w:t>
            </w:r>
          </w:p>
        </w:tc>
      </w:tr>
      <w:tr w:rsidR="00636951" w:rsidRPr="0072250C" w14:paraId="7B912739"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465792C4" w14:textId="77777777" w:rsidR="0072250C" w:rsidRPr="0072250C" w:rsidRDefault="0072250C" w:rsidP="001A2693">
            <w:pPr>
              <w:spacing w:after="160"/>
              <w:rPr>
                <w:rFonts w:ascii="Arial" w:hAnsi="Arial" w:cs="Arial"/>
                <w:sz w:val="16"/>
                <w:szCs w:val="16"/>
              </w:rPr>
            </w:pPr>
            <w:r w:rsidRPr="0072250C">
              <w:rPr>
                <w:rFonts w:ascii="Arial" w:hAnsi="Arial" w:cs="Arial"/>
                <w:sz w:val="16"/>
                <w:szCs w:val="16"/>
              </w:rPr>
              <w:t>BRCA</w:t>
            </w:r>
          </w:p>
        </w:tc>
        <w:tc>
          <w:tcPr>
            <w:tcW w:w="449" w:type="pct"/>
            <w:shd w:val="clear" w:color="auto" w:fill="C00000"/>
            <w:vAlign w:val="center"/>
            <w:hideMark/>
          </w:tcPr>
          <w:p w14:paraId="28A653FA" w14:textId="3CD5594F"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PIK3CA</w:t>
            </w:r>
          </w:p>
        </w:tc>
        <w:tc>
          <w:tcPr>
            <w:tcW w:w="698" w:type="pct"/>
            <w:vAlign w:val="center"/>
            <w:hideMark/>
          </w:tcPr>
          <w:p w14:paraId="0FF07172"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65.406 ± 3.469</w:t>
            </w:r>
          </w:p>
        </w:tc>
        <w:tc>
          <w:tcPr>
            <w:tcW w:w="652" w:type="pct"/>
            <w:vAlign w:val="center"/>
            <w:hideMark/>
          </w:tcPr>
          <w:p w14:paraId="163CCACE"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61.232 ± 4.222</w:t>
            </w:r>
          </w:p>
        </w:tc>
        <w:tc>
          <w:tcPr>
            <w:tcW w:w="652" w:type="pct"/>
            <w:vAlign w:val="center"/>
            <w:hideMark/>
          </w:tcPr>
          <w:p w14:paraId="353CF0A4"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61.049 ± 2.792</w:t>
            </w:r>
          </w:p>
        </w:tc>
        <w:tc>
          <w:tcPr>
            <w:tcW w:w="698" w:type="pct"/>
            <w:vAlign w:val="center"/>
            <w:hideMark/>
          </w:tcPr>
          <w:p w14:paraId="7DE89911"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60.439 ± 4.927</w:t>
            </w:r>
          </w:p>
        </w:tc>
        <w:tc>
          <w:tcPr>
            <w:tcW w:w="698" w:type="pct"/>
            <w:vAlign w:val="center"/>
            <w:hideMark/>
          </w:tcPr>
          <w:p w14:paraId="5F452B0B"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61.660 ± 7.649</w:t>
            </w:r>
          </w:p>
        </w:tc>
      </w:tr>
      <w:tr w:rsidR="00636951" w:rsidRPr="0072250C" w14:paraId="41564558"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0A9ABAEF" w14:textId="77777777" w:rsidR="0072250C" w:rsidRPr="0072250C" w:rsidRDefault="0072250C" w:rsidP="001A2693">
            <w:pPr>
              <w:spacing w:after="160"/>
              <w:rPr>
                <w:rFonts w:ascii="Arial" w:hAnsi="Arial" w:cs="Arial"/>
                <w:sz w:val="16"/>
                <w:szCs w:val="16"/>
              </w:rPr>
            </w:pPr>
          </w:p>
        </w:tc>
        <w:tc>
          <w:tcPr>
            <w:tcW w:w="449" w:type="pct"/>
            <w:shd w:val="clear" w:color="auto" w:fill="C00000"/>
            <w:vAlign w:val="center"/>
            <w:hideMark/>
          </w:tcPr>
          <w:p w14:paraId="6D0214CD" w14:textId="4614E99A" w:rsidR="0072250C"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03E4DC3C"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83.620 ± 3.729</w:t>
            </w:r>
          </w:p>
        </w:tc>
        <w:tc>
          <w:tcPr>
            <w:tcW w:w="652" w:type="pct"/>
            <w:vAlign w:val="center"/>
            <w:hideMark/>
          </w:tcPr>
          <w:p w14:paraId="7DE1A2AA"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79.049 ± 3.658</w:t>
            </w:r>
          </w:p>
        </w:tc>
        <w:tc>
          <w:tcPr>
            <w:tcW w:w="652" w:type="pct"/>
            <w:vAlign w:val="center"/>
            <w:hideMark/>
          </w:tcPr>
          <w:p w14:paraId="542A4ECA"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77.003 ± 3.999</w:t>
            </w:r>
          </w:p>
        </w:tc>
        <w:tc>
          <w:tcPr>
            <w:tcW w:w="698" w:type="pct"/>
            <w:vAlign w:val="center"/>
            <w:hideMark/>
          </w:tcPr>
          <w:p w14:paraId="761D7F1C"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70.987 ± 5.678</w:t>
            </w:r>
          </w:p>
        </w:tc>
        <w:tc>
          <w:tcPr>
            <w:tcW w:w="698" w:type="pct"/>
            <w:vAlign w:val="center"/>
            <w:hideMark/>
          </w:tcPr>
          <w:p w14:paraId="64A24C4E" w14:textId="77777777" w:rsidR="0072250C" w:rsidRPr="0072250C" w:rsidRDefault="0072250C"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83.020 ± 3.464</w:t>
            </w:r>
          </w:p>
        </w:tc>
      </w:tr>
      <w:tr w:rsidR="00636951" w:rsidRPr="00D6232D" w14:paraId="617EC81C"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226175F0"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t>LUAD</w:t>
            </w:r>
          </w:p>
        </w:tc>
        <w:tc>
          <w:tcPr>
            <w:tcW w:w="449" w:type="pct"/>
            <w:shd w:val="clear" w:color="auto" w:fill="C00000"/>
            <w:vAlign w:val="center"/>
            <w:hideMark/>
          </w:tcPr>
          <w:p w14:paraId="0FF63961" w14:textId="195A6041"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7403F2C3"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70.372 ± 3.656</w:t>
            </w:r>
          </w:p>
        </w:tc>
        <w:tc>
          <w:tcPr>
            <w:tcW w:w="652" w:type="pct"/>
            <w:vAlign w:val="center"/>
            <w:hideMark/>
          </w:tcPr>
          <w:p w14:paraId="5685095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67.044 ± 1.777</w:t>
            </w:r>
          </w:p>
        </w:tc>
        <w:tc>
          <w:tcPr>
            <w:tcW w:w="652" w:type="pct"/>
            <w:vAlign w:val="center"/>
            <w:hideMark/>
          </w:tcPr>
          <w:p w14:paraId="48C43B0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66.858 ± 1.138</w:t>
            </w:r>
          </w:p>
        </w:tc>
        <w:tc>
          <w:tcPr>
            <w:tcW w:w="698" w:type="pct"/>
            <w:vAlign w:val="center"/>
            <w:hideMark/>
          </w:tcPr>
          <w:p w14:paraId="2B194F04"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68.910 ± 11.010</w:t>
            </w:r>
          </w:p>
        </w:tc>
        <w:tc>
          <w:tcPr>
            <w:tcW w:w="698" w:type="pct"/>
            <w:vAlign w:val="center"/>
            <w:hideMark/>
          </w:tcPr>
          <w:p w14:paraId="04F90D45"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64.806 ± 9.555</w:t>
            </w:r>
          </w:p>
        </w:tc>
      </w:tr>
      <w:tr w:rsidR="00376499" w:rsidRPr="00D6232D" w14:paraId="5236C882"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57CFD547"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t>KIXX (KICH + KIRC + KIRP)</w:t>
            </w:r>
          </w:p>
        </w:tc>
        <w:tc>
          <w:tcPr>
            <w:tcW w:w="449" w:type="pct"/>
            <w:shd w:val="clear" w:color="auto" w:fill="C00000"/>
            <w:vAlign w:val="center"/>
            <w:hideMark/>
          </w:tcPr>
          <w:p w14:paraId="5B35EF57" w14:textId="77777777" w:rsidR="00D6232D" w:rsidRPr="00C3523E"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PBRM1</w:t>
            </w:r>
          </w:p>
        </w:tc>
        <w:tc>
          <w:tcPr>
            <w:tcW w:w="698" w:type="pct"/>
            <w:vAlign w:val="center"/>
            <w:hideMark/>
          </w:tcPr>
          <w:p w14:paraId="3F2BC1AF"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78.022 ± 8.167</w:t>
            </w:r>
          </w:p>
        </w:tc>
        <w:tc>
          <w:tcPr>
            <w:tcW w:w="652" w:type="pct"/>
            <w:vAlign w:val="center"/>
            <w:hideMark/>
          </w:tcPr>
          <w:p w14:paraId="0CB231B1"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70.561 ± 5.920</w:t>
            </w:r>
          </w:p>
        </w:tc>
        <w:tc>
          <w:tcPr>
            <w:tcW w:w="652" w:type="pct"/>
            <w:vAlign w:val="center"/>
            <w:hideMark/>
          </w:tcPr>
          <w:p w14:paraId="2B2901FC"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71.017 ± 6.494</w:t>
            </w:r>
          </w:p>
        </w:tc>
        <w:tc>
          <w:tcPr>
            <w:tcW w:w="698" w:type="pct"/>
            <w:vAlign w:val="center"/>
            <w:hideMark/>
          </w:tcPr>
          <w:p w14:paraId="5F3DDA3D"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72.214 ± 12.754</w:t>
            </w:r>
          </w:p>
        </w:tc>
        <w:tc>
          <w:tcPr>
            <w:tcW w:w="698" w:type="pct"/>
            <w:vAlign w:val="center"/>
            <w:hideMark/>
          </w:tcPr>
          <w:p w14:paraId="62EA511E"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69.820 ± 8.193</w:t>
            </w:r>
          </w:p>
        </w:tc>
      </w:tr>
      <w:tr w:rsidR="00376499" w:rsidRPr="00D6232D" w14:paraId="0717A62E"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1AB7108D"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t>LIHC</w:t>
            </w:r>
          </w:p>
        </w:tc>
        <w:tc>
          <w:tcPr>
            <w:tcW w:w="449" w:type="pct"/>
            <w:shd w:val="clear" w:color="auto" w:fill="C00000"/>
            <w:vAlign w:val="center"/>
            <w:hideMark/>
          </w:tcPr>
          <w:p w14:paraId="7C02A538" w14:textId="77777777" w:rsidR="00D6232D" w:rsidRPr="00C3523E"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CTNNB1</w:t>
            </w:r>
          </w:p>
        </w:tc>
        <w:tc>
          <w:tcPr>
            <w:tcW w:w="698" w:type="pct"/>
            <w:vAlign w:val="center"/>
            <w:hideMark/>
          </w:tcPr>
          <w:p w14:paraId="0C8957CC"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78.328 ± 6.024</w:t>
            </w:r>
          </w:p>
        </w:tc>
        <w:tc>
          <w:tcPr>
            <w:tcW w:w="652" w:type="pct"/>
            <w:vAlign w:val="center"/>
            <w:hideMark/>
          </w:tcPr>
          <w:p w14:paraId="0BF9E9BB"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69.508 ± 5.670</w:t>
            </w:r>
          </w:p>
        </w:tc>
        <w:tc>
          <w:tcPr>
            <w:tcW w:w="652" w:type="pct"/>
            <w:vAlign w:val="center"/>
            <w:hideMark/>
          </w:tcPr>
          <w:p w14:paraId="0D885C64"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70.159 ± 5.199</w:t>
            </w:r>
          </w:p>
        </w:tc>
        <w:tc>
          <w:tcPr>
            <w:tcW w:w="698" w:type="pct"/>
            <w:vAlign w:val="center"/>
            <w:hideMark/>
          </w:tcPr>
          <w:p w14:paraId="434D174F"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71.591 ± 11.966</w:t>
            </w:r>
          </w:p>
        </w:tc>
        <w:tc>
          <w:tcPr>
            <w:tcW w:w="698" w:type="pct"/>
            <w:vAlign w:val="center"/>
            <w:hideMark/>
          </w:tcPr>
          <w:p w14:paraId="7F840744"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68.726 ± 9.286</w:t>
            </w:r>
          </w:p>
        </w:tc>
      </w:tr>
      <w:tr w:rsidR="00376499" w:rsidRPr="00D6232D" w14:paraId="0E9D6D09"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314EEA89" w14:textId="77777777" w:rsidR="00D6232D" w:rsidRPr="00D6232D" w:rsidRDefault="00D6232D" w:rsidP="001A2693">
            <w:pPr>
              <w:spacing w:after="160"/>
              <w:rPr>
                <w:rFonts w:ascii="Arial" w:hAnsi="Arial" w:cs="Arial"/>
                <w:sz w:val="16"/>
                <w:szCs w:val="16"/>
              </w:rPr>
            </w:pPr>
          </w:p>
        </w:tc>
        <w:tc>
          <w:tcPr>
            <w:tcW w:w="449" w:type="pct"/>
            <w:shd w:val="clear" w:color="auto" w:fill="C00000"/>
            <w:vAlign w:val="center"/>
            <w:hideMark/>
          </w:tcPr>
          <w:p w14:paraId="3B88499C" w14:textId="0B50A8CF"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767CB63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69.283 ± 5.962</w:t>
            </w:r>
          </w:p>
        </w:tc>
        <w:tc>
          <w:tcPr>
            <w:tcW w:w="652" w:type="pct"/>
            <w:vAlign w:val="center"/>
            <w:hideMark/>
          </w:tcPr>
          <w:p w14:paraId="2967664D"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64.396 ± 6.874</w:t>
            </w:r>
          </w:p>
        </w:tc>
        <w:tc>
          <w:tcPr>
            <w:tcW w:w="652" w:type="pct"/>
            <w:vAlign w:val="center"/>
            <w:hideMark/>
          </w:tcPr>
          <w:p w14:paraId="7ECC576F"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64.083 ± 7.363</w:t>
            </w:r>
          </w:p>
        </w:tc>
        <w:tc>
          <w:tcPr>
            <w:tcW w:w="698" w:type="pct"/>
            <w:vAlign w:val="center"/>
            <w:hideMark/>
          </w:tcPr>
          <w:p w14:paraId="004337C3"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63.212 ± 9.282</w:t>
            </w:r>
          </w:p>
        </w:tc>
        <w:tc>
          <w:tcPr>
            <w:tcW w:w="698" w:type="pct"/>
            <w:vAlign w:val="center"/>
            <w:hideMark/>
          </w:tcPr>
          <w:p w14:paraId="2DBEDFD3"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64.954 ± 6.462</w:t>
            </w:r>
          </w:p>
        </w:tc>
      </w:tr>
      <w:tr w:rsidR="00376499" w:rsidRPr="00D6232D" w14:paraId="1DCE30EC"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486CA9CB"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t>LUSC</w:t>
            </w:r>
          </w:p>
        </w:tc>
        <w:tc>
          <w:tcPr>
            <w:tcW w:w="449" w:type="pct"/>
            <w:shd w:val="clear" w:color="auto" w:fill="C00000"/>
            <w:vAlign w:val="center"/>
            <w:hideMark/>
          </w:tcPr>
          <w:p w14:paraId="0BBA9B14" w14:textId="410A381C"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10DC08F0"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61.250 ± 1.807</w:t>
            </w:r>
          </w:p>
        </w:tc>
        <w:tc>
          <w:tcPr>
            <w:tcW w:w="652" w:type="pct"/>
            <w:vAlign w:val="center"/>
            <w:hideMark/>
          </w:tcPr>
          <w:p w14:paraId="644F9B4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63.946 ± 5.878</w:t>
            </w:r>
          </w:p>
        </w:tc>
        <w:tc>
          <w:tcPr>
            <w:tcW w:w="652" w:type="pct"/>
            <w:vAlign w:val="center"/>
            <w:hideMark/>
          </w:tcPr>
          <w:p w14:paraId="5D04E68E"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61.554 ± 3.253</w:t>
            </w:r>
          </w:p>
        </w:tc>
        <w:tc>
          <w:tcPr>
            <w:tcW w:w="698" w:type="pct"/>
            <w:vAlign w:val="center"/>
            <w:hideMark/>
          </w:tcPr>
          <w:p w14:paraId="200DC7C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65.154 ± 7.828</w:t>
            </w:r>
          </w:p>
        </w:tc>
        <w:tc>
          <w:tcPr>
            <w:tcW w:w="698" w:type="pct"/>
            <w:vAlign w:val="center"/>
            <w:hideMark/>
          </w:tcPr>
          <w:p w14:paraId="4BB5F03D"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57.953 ± 6.976</w:t>
            </w:r>
          </w:p>
        </w:tc>
      </w:tr>
      <w:tr w:rsidR="00376499" w:rsidRPr="00D6232D" w14:paraId="57ACB48A"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0A37A2A2"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lastRenderedPageBreak/>
              <w:t>STAD</w:t>
            </w:r>
          </w:p>
        </w:tc>
        <w:tc>
          <w:tcPr>
            <w:tcW w:w="449" w:type="pct"/>
            <w:shd w:val="clear" w:color="auto" w:fill="C00000"/>
            <w:vAlign w:val="center"/>
            <w:hideMark/>
          </w:tcPr>
          <w:p w14:paraId="1366CC9D" w14:textId="784596A9"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ARID1A</w:t>
            </w:r>
          </w:p>
        </w:tc>
        <w:tc>
          <w:tcPr>
            <w:tcW w:w="698" w:type="pct"/>
            <w:vAlign w:val="center"/>
            <w:hideMark/>
          </w:tcPr>
          <w:p w14:paraId="69C45981"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72.849 ± 4.839</w:t>
            </w:r>
          </w:p>
        </w:tc>
        <w:tc>
          <w:tcPr>
            <w:tcW w:w="652" w:type="pct"/>
            <w:vAlign w:val="center"/>
            <w:hideMark/>
          </w:tcPr>
          <w:p w14:paraId="2CAAAC17"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70.154 ± 3.755</w:t>
            </w:r>
          </w:p>
        </w:tc>
        <w:tc>
          <w:tcPr>
            <w:tcW w:w="652" w:type="pct"/>
            <w:vAlign w:val="center"/>
            <w:hideMark/>
          </w:tcPr>
          <w:p w14:paraId="2A98BC5C"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67.809 ± 6.432</w:t>
            </w:r>
          </w:p>
        </w:tc>
        <w:tc>
          <w:tcPr>
            <w:tcW w:w="698" w:type="pct"/>
            <w:vAlign w:val="center"/>
            <w:hideMark/>
          </w:tcPr>
          <w:p w14:paraId="407ECC45"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63.296 ± 11.741</w:t>
            </w:r>
          </w:p>
        </w:tc>
        <w:tc>
          <w:tcPr>
            <w:tcW w:w="698" w:type="pct"/>
            <w:vAlign w:val="center"/>
            <w:hideMark/>
          </w:tcPr>
          <w:p w14:paraId="5B6F4B68"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72.321 ± 2.246</w:t>
            </w:r>
          </w:p>
        </w:tc>
      </w:tr>
      <w:tr w:rsidR="00376499" w:rsidRPr="00D6232D" w14:paraId="3FECA886"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1796F138" w14:textId="77777777" w:rsidR="00D6232D" w:rsidRPr="00D6232D" w:rsidRDefault="00D6232D" w:rsidP="001A2693">
            <w:pPr>
              <w:spacing w:after="160"/>
              <w:rPr>
                <w:rFonts w:ascii="Arial" w:hAnsi="Arial" w:cs="Arial"/>
                <w:sz w:val="16"/>
                <w:szCs w:val="16"/>
              </w:rPr>
            </w:pPr>
          </w:p>
        </w:tc>
        <w:tc>
          <w:tcPr>
            <w:tcW w:w="449" w:type="pct"/>
            <w:shd w:val="clear" w:color="auto" w:fill="C00000"/>
            <w:vAlign w:val="center"/>
            <w:hideMark/>
          </w:tcPr>
          <w:p w14:paraId="14B0B814" w14:textId="5CE03333"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5A929CB9"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67.829 ± 6.005</w:t>
            </w:r>
          </w:p>
        </w:tc>
        <w:tc>
          <w:tcPr>
            <w:tcW w:w="652" w:type="pct"/>
            <w:vAlign w:val="center"/>
            <w:hideMark/>
          </w:tcPr>
          <w:p w14:paraId="45934DA8"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64.974 ± 4.760</w:t>
            </w:r>
          </w:p>
        </w:tc>
        <w:tc>
          <w:tcPr>
            <w:tcW w:w="652" w:type="pct"/>
            <w:vAlign w:val="center"/>
            <w:hideMark/>
          </w:tcPr>
          <w:p w14:paraId="3F1707D0"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64.816 ± 4.747</w:t>
            </w:r>
          </w:p>
        </w:tc>
        <w:tc>
          <w:tcPr>
            <w:tcW w:w="698" w:type="pct"/>
            <w:vAlign w:val="center"/>
            <w:hideMark/>
          </w:tcPr>
          <w:p w14:paraId="719391F9"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60.837 ± 9.022</w:t>
            </w:r>
          </w:p>
        </w:tc>
        <w:tc>
          <w:tcPr>
            <w:tcW w:w="698" w:type="pct"/>
            <w:vAlign w:val="center"/>
            <w:hideMark/>
          </w:tcPr>
          <w:p w14:paraId="4553EE60"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68.794 ± 5.309</w:t>
            </w:r>
          </w:p>
        </w:tc>
      </w:tr>
      <w:tr w:rsidR="00376499" w:rsidRPr="00D6232D" w14:paraId="7A5CBFEA"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509F9BD" w14:textId="77777777" w:rsidR="00D6232D" w:rsidRPr="00D6232D" w:rsidRDefault="00D6232D" w:rsidP="001A2693">
            <w:pPr>
              <w:spacing w:after="160"/>
              <w:rPr>
                <w:rFonts w:ascii="Arial" w:hAnsi="Arial" w:cs="Arial"/>
                <w:sz w:val="16"/>
                <w:szCs w:val="16"/>
              </w:rPr>
            </w:pPr>
          </w:p>
        </w:tc>
        <w:tc>
          <w:tcPr>
            <w:tcW w:w="449" w:type="pct"/>
            <w:shd w:val="clear" w:color="auto" w:fill="C00000"/>
            <w:vAlign w:val="center"/>
            <w:hideMark/>
          </w:tcPr>
          <w:p w14:paraId="1ABEB86E" w14:textId="233DFD56"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TTN</w:t>
            </w:r>
          </w:p>
        </w:tc>
        <w:tc>
          <w:tcPr>
            <w:tcW w:w="698" w:type="pct"/>
            <w:vAlign w:val="center"/>
            <w:hideMark/>
          </w:tcPr>
          <w:p w14:paraId="21B615AD"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60.783 ± 7.022</w:t>
            </w:r>
          </w:p>
        </w:tc>
        <w:tc>
          <w:tcPr>
            <w:tcW w:w="652" w:type="pct"/>
            <w:vAlign w:val="center"/>
            <w:hideMark/>
          </w:tcPr>
          <w:p w14:paraId="616A4CC9"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59.669 ± 4.622</w:t>
            </w:r>
          </w:p>
        </w:tc>
        <w:tc>
          <w:tcPr>
            <w:tcW w:w="652" w:type="pct"/>
            <w:vAlign w:val="center"/>
            <w:hideMark/>
          </w:tcPr>
          <w:p w14:paraId="4610AB0A"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59.557 ± 4.572</w:t>
            </w:r>
          </w:p>
        </w:tc>
        <w:tc>
          <w:tcPr>
            <w:tcW w:w="698" w:type="pct"/>
            <w:vAlign w:val="center"/>
            <w:hideMark/>
          </w:tcPr>
          <w:p w14:paraId="087E6751"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62.539 ± 5.316</w:t>
            </w:r>
          </w:p>
        </w:tc>
        <w:tc>
          <w:tcPr>
            <w:tcW w:w="698" w:type="pct"/>
            <w:vAlign w:val="center"/>
            <w:hideMark/>
          </w:tcPr>
          <w:p w14:paraId="744E493E"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56.574 ± 6.373</w:t>
            </w:r>
          </w:p>
        </w:tc>
      </w:tr>
      <w:tr w:rsidR="00376499" w:rsidRPr="00D6232D" w14:paraId="5928016A" w14:textId="77777777" w:rsidTr="001A2693">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533B5F87" w14:textId="77777777" w:rsidR="00D6232D" w:rsidRPr="00D6232D" w:rsidRDefault="00D6232D" w:rsidP="001A2693">
            <w:pPr>
              <w:spacing w:after="160"/>
              <w:rPr>
                <w:rFonts w:ascii="Arial" w:hAnsi="Arial" w:cs="Arial"/>
                <w:sz w:val="16"/>
                <w:szCs w:val="16"/>
              </w:rPr>
            </w:pPr>
            <w:r w:rsidRPr="00D6232D">
              <w:rPr>
                <w:rFonts w:ascii="Arial" w:hAnsi="Arial" w:cs="Arial"/>
                <w:sz w:val="16"/>
                <w:szCs w:val="16"/>
              </w:rPr>
              <w:t>HNSC</w:t>
            </w:r>
          </w:p>
        </w:tc>
        <w:tc>
          <w:tcPr>
            <w:tcW w:w="449" w:type="pct"/>
            <w:shd w:val="clear" w:color="auto" w:fill="C00000"/>
            <w:vAlign w:val="center"/>
            <w:hideMark/>
          </w:tcPr>
          <w:p w14:paraId="27CCB10F" w14:textId="7D0F0060" w:rsidR="00D6232D" w:rsidRPr="00C3523E" w:rsidRDefault="00445CAB"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72B15F51"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72.394 ± 9.816</w:t>
            </w:r>
          </w:p>
        </w:tc>
        <w:tc>
          <w:tcPr>
            <w:tcW w:w="652" w:type="pct"/>
            <w:vAlign w:val="center"/>
            <w:hideMark/>
          </w:tcPr>
          <w:p w14:paraId="19A2A296"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69.956 ± 8.465</w:t>
            </w:r>
          </w:p>
        </w:tc>
        <w:tc>
          <w:tcPr>
            <w:tcW w:w="652" w:type="pct"/>
            <w:vAlign w:val="center"/>
            <w:hideMark/>
          </w:tcPr>
          <w:p w14:paraId="0F440739"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67.876 ± 8.888</w:t>
            </w:r>
          </w:p>
        </w:tc>
        <w:tc>
          <w:tcPr>
            <w:tcW w:w="698" w:type="pct"/>
            <w:vAlign w:val="center"/>
            <w:hideMark/>
          </w:tcPr>
          <w:p w14:paraId="3FD5C80F"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73.049 ± 8.539</w:t>
            </w:r>
          </w:p>
        </w:tc>
        <w:tc>
          <w:tcPr>
            <w:tcW w:w="698" w:type="pct"/>
            <w:vAlign w:val="center"/>
            <w:hideMark/>
          </w:tcPr>
          <w:p w14:paraId="0768C3B1" w14:textId="77777777" w:rsidR="00D6232D" w:rsidRPr="00D6232D" w:rsidRDefault="00D6232D" w:rsidP="001A2693">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62.703 ± 11.172</w:t>
            </w:r>
          </w:p>
        </w:tc>
      </w:tr>
    </w:tbl>
    <w:p w14:paraId="39BA4B30" w14:textId="77777777" w:rsidR="00D6232D" w:rsidRDefault="00D6232D" w:rsidP="00850AD7">
      <w:pPr>
        <w:spacing w:line="240" w:lineRule="auto"/>
        <w:jc w:val="both"/>
        <w:rPr>
          <w:rFonts w:ascii="Arial" w:hAnsi="Arial" w:cs="Arial"/>
          <w:sz w:val="22"/>
          <w:szCs w:val="22"/>
        </w:rPr>
      </w:pPr>
    </w:p>
    <w:p w14:paraId="12436DCB" w14:textId="729CA278" w:rsidR="0072250C" w:rsidRPr="00151CF5" w:rsidRDefault="00D04E47" w:rsidP="00850AD7">
      <w:pPr>
        <w:spacing w:line="240" w:lineRule="auto"/>
        <w:jc w:val="both"/>
        <w:rPr>
          <w:rFonts w:ascii="Arial" w:hAnsi="Arial" w:cs="Arial"/>
          <w:sz w:val="22"/>
          <w:szCs w:val="22"/>
        </w:rPr>
      </w:pPr>
      <w:r w:rsidRPr="00D04E47">
        <w:rPr>
          <w:rFonts w:ascii="Arial" w:hAnsi="Arial" w:cs="Arial"/>
          <w:b/>
          <w:bCs/>
          <w:sz w:val="20"/>
          <w:szCs w:val="20"/>
        </w:rPr>
        <w:t xml:space="preserve">Table </w:t>
      </w:r>
      <w:r w:rsidR="004D4450">
        <w:rPr>
          <w:rFonts w:ascii="Arial" w:hAnsi="Arial" w:cs="Arial"/>
          <w:b/>
          <w:bCs/>
          <w:sz w:val="20"/>
          <w:szCs w:val="20"/>
        </w:rPr>
        <w:t>S</w:t>
      </w:r>
      <w:r w:rsidRPr="00D04E47">
        <w:rPr>
          <w:rFonts w:ascii="Arial" w:hAnsi="Arial" w:cs="Arial"/>
          <w:b/>
          <w:bCs/>
          <w:sz w:val="20"/>
          <w:szCs w:val="20"/>
        </w:rPr>
        <w:t>6 | Pan-cancer mutation prediction performance.</w:t>
      </w:r>
      <w:r w:rsidRPr="00D04E47">
        <w:rPr>
          <w:rFonts w:ascii="Arial" w:hAnsi="Arial" w:cs="Arial"/>
          <w:sz w:val="20"/>
          <w:szCs w:val="20"/>
        </w:rPr>
        <w:t xml:space="preserve"> </w:t>
      </w:r>
      <w:r w:rsidRPr="00D04E47">
        <w:rPr>
          <w:rFonts w:ascii="Arial" w:hAnsi="Arial" w:cs="Arial"/>
          <w:sz w:val="16"/>
          <w:szCs w:val="16"/>
        </w:rPr>
        <w:t xml:space="preserve">Cross-validated classification performance of GenoGlyph pan-cancer organ-agnostic models trained jointly across all cancer types within the TCGA dataset. For each of six genes — </w:t>
      </w:r>
      <w:r w:rsidR="00445CAB" w:rsidRPr="00445CAB">
        <w:rPr>
          <w:rFonts w:ascii="Arial" w:hAnsi="Arial" w:cs="Arial"/>
          <w:i/>
          <w:iCs/>
          <w:sz w:val="16"/>
          <w:szCs w:val="16"/>
        </w:rPr>
        <w:t>KRAS</w:t>
      </w:r>
      <w:r w:rsidRPr="00D04E47">
        <w:rPr>
          <w:rFonts w:ascii="Arial" w:hAnsi="Arial" w:cs="Arial"/>
          <w:sz w:val="16"/>
          <w:szCs w:val="16"/>
        </w:rPr>
        <w:t xml:space="preserve">, </w:t>
      </w:r>
      <w:r w:rsidR="00445CAB" w:rsidRPr="00445CAB">
        <w:rPr>
          <w:rFonts w:ascii="Arial" w:hAnsi="Arial" w:cs="Arial"/>
          <w:i/>
          <w:iCs/>
          <w:sz w:val="16"/>
          <w:szCs w:val="16"/>
        </w:rPr>
        <w:t>APC</w:t>
      </w:r>
      <w:r w:rsidRPr="00D04E47">
        <w:rPr>
          <w:rFonts w:ascii="Arial" w:hAnsi="Arial" w:cs="Arial"/>
          <w:sz w:val="16"/>
          <w:szCs w:val="16"/>
        </w:rPr>
        <w:t xml:space="preserve">, </w:t>
      </w:r>
      <w:r w:rsidR="00445CAB" w:rsidRPr="00445CAB">
        <w:rPr>
          <w:rFonts w:ascii="Arial" w:hAnsi="Arial" w:cs="Arial"/>
          <w:i/>
          <w:iCs/>
          <w:sz w:val="16"/>
          <w:szCs w:val="16"/>
        </w:rPr>
        <w:t>TP53</w:t>
      </w:r>
      <w:r w:rsidRPr="00D04E47">
        <w:rPr>
          <w:rFonts w:ascii="Arial" w:hAnsi="Arial" w:cs="Arial"/>
          <w:sz w:val="16"/>
          <w:szCs w:val="16"/>
        </w:rPr>
        <w:t xml:space="preserve">, </w:t>
      </w:r>
      <w:r w:rsidR="00445CAB" w:rsidRPr="00445CAB">
        <w:rPr>
          <w:rFonts w:ascii="Arial" w:hAnsi="Arial" w:cs="Arial"/>
          <w:i/>
          <w:iCs/>
          <w:sz w:val="16"/>
          <w:szCs w:val="16"/>
        </w:rPr>
        <w:t>PIK3CA</w:t>
      </w:r>
      <w:r w:rsidRPr="00D04E47">
        <w:rPr>
          <w:rFonts w:ascii="Arial" w:hAnsi="Arial" w:cs="Arial"/>
          <w:sz w:val="16"/>
          <w:szCs w:val="16"/>
        </w:rPr>
        <w:t xml:space="preserve">, </w:t>
      </w:r>
      <w:r w:rsidR="00445CAB" w:rsidRPr="00445CAB">
        <w:rPr>
          <w:rFonts w:ascii="Arial" w:hAnsi="Arial" w:cs="Arial"/>
          <w:i/>
          <w:iCs/>
          <w:sz w:val="16"/>
          <w:szCs w:val="16"/>
        </w:rPr>
        <w:t>KMT2D</w:t>
      </w:r>
      <w:r w:rsidRPr="00D04E47">
        <w:rPr>
          <w:rFonts w:ascii="Arial" w:hAnsi="Arial" w:cs="Arial"/>
          <w:sz w:val="16"/>
          <w:szCs w:val="16"/>
        </w:rPr>
        <w:t xml:space="preserve">, and </w:t>
      </w:r>
      <w:r w:rsidR="00445CAB" w:rsidRPr="00445CAB">
        <w:rPr>
          <w:rFonts w:ascii="Arial" w:hAnsi="Arial" w:cs="Arial"/>
          <w:i/>
          <w:iCs/>
          <w:sz w:val="16"/>
          <w:szCs w:val="16"/>
        </w:rPr>
        <w:t>TTN</w:t>
      </w:r>
      <w:r w:rsidRPr="00D04E47">
        <w:rPr>
          <w:rFonts w:ascii="Arial" w:hAnsi="Arial" w:cs="Arial"/>
          <w:sz w:val="16"/>
          <w:szCs w:val="16"/>
        </w:rPr>
        <w:t xml:space="preserve"> — a single model was trained on the full multi-cancer training set and evaluated under five-fold patient-stratified cross-validation. Metrics reported are mean ± standard deviation of AUC, accuracy, balanced accuracy, sensitivity, and specificity across folds. All metrics are expressed as percentages.</w:t>
      </w:r>
    </w:p>
    <w:tbl>
      <w:tblPr>
        <w:tblW w:w="5000" w:type="pct"/>
        <w:tblCellMar>
          <w:left w:w="0" w:type="dxa"/>
          <w:right w:w="0" w:type="dxa"/>
        </w:tblCellMar>
        <w:tblLook w:val="06A0" w:firstRow="1" w:lastRow="0" w:firstColumn="1" w:lastColumn="0" w:noHBand="1" w:noVBand="1"/>
      </w:tblPr>
      <w:tblGrid>
        <w:gridCol w:w="1797"/>
        <w:gridCol w:w="1797"/>
        <w:gridCol w:w="1797"/>
        <w:gridCol w:w="1797"/>
        <w:gridCol w:w="1796"/>
        <w:gridCol w:w="1796"/>
      </w:tblGrid>
      <w:tr w:rsidR="00A13C59" w:rsidRPr="00FC16B8" w14:paraId="16C6E392" w14:textId="77777777" w:rsidTr="00A13C59">
        <w:trPr>
          <w:trHeight w:val="20"/>
        </w:trPr>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789A4534"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Mutation</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515DD43A"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AUC</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17A39B0D"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Accuracy</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7A7FFD5D"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Bal. Acc.</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1B27C91B"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Sensitivity</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605ACF13" w14:textId="77777777" w:rsidR="00FC16B8" w:rsidRPr="00FC16B8" w:rsidRDefault="00FC16B8" w:rsidP="00277F65">
            <w:pPr>
              <w:spacing w:line="240" w:lineRule="auto"/>
              <w:rPr>
                <w:rFonts w:ascii="Arial" w:hAnsi="Arial" w:cs="Arial"/>
                <w:sz w:val="16"/>
                <w:szCs w:val="16"/>
              </w:rPr>
            </w:pPr>
            <w:r w:rsidRPr="00FC16B8">
              <w:rPr>
                <w:rFonts w:ascii="Arial" w:hAnsi="Arial" w:cs="Arial"/>
                <w:b/>
                <w:bCs/>
                <w:sz w:val="16"/>
                <w:szCs w:val="16"/>
              </w:rPr>
              <w:t>Specificity</w:t>
            </w:r>
          </w:p>
        </w:tc>
      </w:tr>
      <w:tr w:rsidR="00A13C59" w:rsidRPr="00FC16B8" w14:paraId="65601138" w14:textId="77777777" w:rsidTr="00A13C59">
        <w:trPr>
          <w:trHeight w:val="20"/>
        </w:trPr>
        <w:tc>
          <w:tcPr>
            <w:tcW w:w="833" w:type="pct"/>
            <w:tcBorders>
              <w:top w:val="single" w:sz="24"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67151F72" w14:textId="5D8A43A7"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KRAS</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064363A"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79.497 ± 7.868</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F81126F"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74.350 ± 4.350</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5ACEB1D"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74.294 ± 4.593</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5C4999E"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71.927 ± 7.406</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2461352"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76.662 ± 2.782</w:t>
            </w:r>
          </w:p>
        </w:tc>
      </w:tr>
      <w:tr w:rsidR="00A13C59" w:rsidRPr="00FC16B8" w14:paraId="34FC2CD9"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18188C8" w14:textId="54EC3B38"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APC</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16928A9"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84.511 ± 2.222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A49CA96"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78.442 ± 1.709</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BEDCB9D"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78.440 ± 1.642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CA907D3"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78.589 ± 4.347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B9DEF90"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78.291 ± 3.590</w:t>
            </w:r>
          </w:p>
        </w:tc>
      </w:tr>
      <w:tr w:rsidR="00A13C59" w:rsidRPr="00FC16B8" w14:paraId="67A48071"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495149E3" w14:textId="48672E20"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TP53</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E8C6720"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79.894 ± 1.817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B5D1269"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73.257 ± 1.778</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C98338A"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73.240 ± 1.796</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5FE1677"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73.924 ± 2.928</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FB0AB32"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72.556 ± 3.377</w:t>
            </w:r>
          </w:p>
        </w:tc>
      </w:tr>
      <w:tr w:rsidR="00A13C59" w:rsidRPr="00FC16B8" w14:paraId="31731BF4"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2CE062D1" w14:textId="002DAA95"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PIK3CA</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73BB7C1"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65.282 ± 1.210</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9053A10"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62.269 ± 3.308</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8912E36"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61.218 ± 1.721</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4A6A282"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59.280 ± 3.167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7B54DB6"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63.156 ± 5.036</w:t>
            </w:r>
          </w:p>
        </w:tc>
      </w:tr>
      <w:tr w:rsidR="00A13C59" w:rsidRPr="00FC16B8" w14:paraId="5F07D96D"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28043B81" w14:textId="5776A8B6"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KMT2D</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56B91DD"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68.594 ± 2.507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AC7A87F"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64.025 ± 2.394</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897E87A"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63.122 ± 3.303</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6BE7015"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61.906 ± 7.402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2DE8E59"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64.339 ± 3.229</w:t>
            </w:r>
          </w:p>
        </w:tc>
      </w:tr>
      <w:tr w:rsidR="00A13C59" w:rsidRPr="00FC16B8" w14:paraId="087A7C21"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4B2D166B" w14:textId="0C1BB21B" w:rsidR="00FC16B8" w:rsidRPr="00C3523E" w:rsidRDefault="00445CAB" w:rsidP="00277F65">
            <w:pPr>
              <w:spacing w:line="240" w:lineRule="auto"/>
              <w:rPr>
                <w:rFonts w:ascii="Arial" w:hAnsi="Arial" w:cs="Arial"/>
                <w:i/>
                <w:iCs/>
                <w:sz w:val="16"/>
                <w:szCs w:val="16"/>
              </w:rPr>
            </w:pPr>
            <w:r w:rsidRPr="00445CAB">
              <w:rPr>
                <w:rFonts w:ascii="Arial" w:hAnsi="Arial" w:cs="Arial"/>
                <w:b/>
                <w:bCs/>
                <w:i/>
                <w:iCs/>
                <w:sz w:val="16"/>
                <w:szCs w:val="16"/>
              </w:rPr>
              <w:t>TTN</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BC1EF53"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72.740 ± 0.854</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A06FE91"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67.362 ± 0.972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9610273"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67.385 ± 1.433</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9A7E6B2"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67.382 ± 4.984</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94A0A50" w14:textId="77777777" w:rsidR="00FC16B8" w:rsidRPr="00FC16B8" w:rsidRDefault="00FC16B8" w:rsidP="00277F65">
            <w:pPr>
              <w:spacing w:line="240" w:lineRule="auto"/>
              <w:rPr>
                <w:rFonts w:ascii="Arial" w:hAnsi="Arial" w:cs="Arial"/>
                <w:sz w:val="16"/>
                <w:szCs w:val="16"/>
              </w:rPr>
            </w:pPr>
            <w:r w:rsidRPr="00FC16B8">
              <w:rPr>
                <w:rFonts w:ascii="Arial" w:hAnsi="Arial" w:cs="Arial"/>
                <w:sz w:val="16"/>
                <w:szCs w:val="16"/>
              </w:rPr>
              <w:t>67.388 ± 2.940</w:t>
            </w:r>
          </w:p>
        </w:tc>
      </w:tr>
    </w:tbl>
    <w:p w14:paraId="177E19DF" w14:textId="77777777" w:rsidR="00322A04" w:rsidRDefault="00322A04" w:rsidP="00850AD7">
      <w:pPr>
        <w:spacing w:line="240" w:lineRule="auto"/>
        <w:jc w:val="both"/>
        <w:rPr>
          <w:rFonts w:ascii="Arial" w:hAnsi="Arial" w:cs="Arial"/>
          <w:sz w:val="22"/>
          <w:szCs w:val="22"/>
        </w:rPr>
      </w:pPr>
    </w:p>
    <w:p w14:paraId="070DCFF2" w14:textId="428875A3" w:rsidR="00D04E47" w:rsidRDefault="00106020" w:rsidP="00850AD7">
      <w:pPr>
        <w:spacing w:line="240" w:lineRule="auto"/>
        <w:jc w:val="both"/>
        <w:rPr>
          <w:rFonts w:ascii="Arial" w:hAnsi="Arial" w:cs="Arial"/>
          <w:sz w:val="22"/>
          <w:szCs w:val="22"/>
        </w:rPr>
      </w:pPr>
      <w:r w:rsidRPr="00106020">
        <w:rPr>
          <w:rFonts w:ascii="Arial" w:hAnsi="Arial" w:cs="Arial"/>
          <w:b/>
          <w:bCs/>
          <w:sz w:val="20"/>
          <w:szCs w:val="20"/>
        </w:rPr>
        <w:t xml:space="preserve">Table </w:t>
      </w:r>
      <w:r w:rsidR="004D4450">
        <w:rPr>
          <w:rFonts w:ascii="Arial" w:hAnsi="Arial" w:cs="Arial"/>
          <w:b/>
          <w:bCs/>
          <w:sz w:val="20"/>
          <w:szCs w:val="20"/>
        </w:rPr>
        <w:t>S</w:t>
      </w:r>
      <w:r w:rsidRPr="00106020">
        <w:rPr>
          <w:rFonts w:ascii="Arial" w:hAnsi="Arial" w:cs="Arial"/>
          <w:b/>
          <w:bCs/>
          <w:sz w:val="20"/>
          <w:szCs w:val="20"/>
        </w:rPr>
        <w:t>7 | Pan-cancer training improves cancer type-specific mutation prediction performance.</w:t>
      </w:r>
      <w:r w:rsidRPr="00106020">
        <w:rPr>
          <w:rFonts w:ascii="Arial" w:hAnsi="Arial" w:cs="Arial"/>
          <w:sz w:val="22"/>
          <w:szCs w:val="22"/>
        </w:rPr>
        <w:t xml:space="preserve"> </w:t>
      </w:r>
      <w:r w:rsidRPr="00106020">
        <w:rPr>
          <w:rFonts w:ascii="Arial" w:hAnsi="Arial" w:cs="Arial"/>
          <w:sz w:val="16"/>
          <w:szCs w:val="16"/>
        </w:rPr>
        <w:t>Direct comparison of cancer type-specific model performance (</w:t>
      </w:r>
      <w:r w:rsidR="00A8230F">
        <w:rPr>
          <w:rFonts w:ascii="Arial" w:hAnsi="Arial" w:cs="Arial"/>
          <w:sz w:val="16"/>
          <w:szCs w:val="16"/>
        </w:rPr>
        <w:t>above</w:t>
      </w:r>
      <w:r w:rsidRPr="00106020">
        <w:rPr>
          <w:rFonts w:ascii="Arial" w:hAnsi="Arial" w:cs="Arial"/>
          <w:sz w:val="16"/>
          <w:szCs w:val="16"/>
        </w:rPr>
        <w:t xml:space="preserve"> value) versus pan-cancer model performance (</w:t>
      </w:r>
      <w:r w:rsidR="00A8230F">
        <w:rPr>
          <w:rFonts w:ascii="Arial" w:hAnsi="Arial" w:cs="Arial"/>
          <w:sz w:val="16"/>
          <w:szCs w:val="16"/>
        </w:rPr>
        <w:t>below</w:t>
      </w:r>
      <w:r w:rsidRPr="00106020">
        <w:rPr>
          <w:rFonts w:ascii="Arial" w:hAnsi="Arial" w:cs="Arial"/>
          <w:sz w:val="16"/>
          <w:szCs w:val="16"/>
        </w:rPr>
        <w:t xml:space="preserve"> value) for each gene–cancer type combination. Upward arrows (↑) indicate improvement with pan-cancer training; downward arrows (↓) indicate performance decrease. Metrics reported are AUC, accuracy, balanced accuracy, sensitivity, and specificity (mean ± standard deviation across five cross-validation folds). All metrics are expressed as percentages.</w:t>
      </w:r>
    </w:p>
    <w:tbl>
      <w:tblPr>
        <w:tblW w:w="5000" w:type="pct"/>
        <w:tblCellMar>
          <w:left w:w="0" w:type="dxa"/>
          <w:right w:w="0" w:type="dxa"/>
        </w:tblCellMar>
        <w:tblLook w:val="06A0" w:firstRow="1" w:lastRow="0" w:firstColumn="1" w:lastColumn="0" w:noHBand="1" w:noVBand="1"/>
      </w:tblPr>
      <w:tblGrid>
        <w:gridCol w:w="1796"/>
        <w:gridCol w:w="1796"/>
        <w:gridCol w:w="1796"/>
        <w:gridCol w:w="1796"/>
        <w:gridCol w:w="1796"/>
        <w:gridCol w:w="1800"/>
      </w:tblGrid>
      <w:tr w:rsidR="0059519C" w:rsidRPr="0059519C" w14:paraId="0463F061" w14:textId="77777777" w:rsidTr="00A13C59">
        <w:trPr>
          <w:trHeight w:val="20"/>
        </w:trPr>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013EAFA2"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Organ</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5CE49412"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AUC</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4811558D"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Accuracy</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5C0BCD73"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Bal. Acc.</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4BD59CB4"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Sensitivity</w:t>
            </w:r>
          </w:p>
        </w:tc>
        <w:tc>
          <w:tcPr>
            <w:tcW w:w="833" w:type="pct"/>
            <w:tcBorders>
              <w:top w:val="single" w:sz="8" w:space="0" w:color="FFFFFF"/>
              <w:left w:val="single" w:sz="8" w:space="0" w:color="FFFFFF"/>
              <w:bottom w:val="single" w:sz="24" w:space="0" w:color="FFFFFF"/>
              <w:right w:val="single" w:sz="8" w:space="0" w:color="FFFFFF"/>
            </w:tcBorders>
            <w:shd w:val="clear" w:color="auto" w:fill="C00000"/>
            <w:tcMar>
              <w:top w:w="72" w:type="dxa"/>
              <w:left w:w="144" w:type="dxa"/>
              <w:bottom w:w="72" w:type="dxa"/>
              <w:right w:w="144" w:type="dxa"/>
            </w:tcMar>
            <w:vAlign w:val="center"/>
            <w:hideMark/>
          </w:tcPr>
          <w:p w14:paraId="5CE97CC1"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Specificity</w:t>
            </w:r>
          </w:p>
        </w:tc>
      </w:tr>
      <w:tr w:rsidR="00277F65" w:rsidRPr="0059519C" w14:paraId="4838BDD5" w14:textId="77777777" w:rsidTr="00A13C59">
        <w:trPr>
          <w:trHeight w:val="20"/>
        </w:trPr>
        <w:tc>
          <w:tcPr>
            <w:tcW w:w="5000" w:type="pct"/>
            <w:gridSpan w:val="6"/>
            <w:tcBorders>
              <w:top w:val="single" w:sz="24" w:space="0" w:color="FFFFFF"/>
              <w:left w:val="single" w:sz="8" w:space="0" w:color="FFFFFF"/>
              <w:bottom w:val="single" w:sz="8" w:space="0" w:color="FFFFFF"/>
              <w:right w:val="single" w:sz="8" w:space="0" w:color="FFFFFF"/>
            </w:tcBorders>
            <w:shd w:val="clear" w:color="auto" w:fill="E8E8E8" w:themeFill="background2"/>
            <w:tcMar>
              <w:top w:w="72" w:type="dxa"/>
              <w:left w:w="144" w:type="dxa"/>
              <w:bottom w:w="72" w:type="dxa"/>
              <w:right w:w="144" w:type="dxa"/>
            </w:tcMar>
            <w:vAlign w:val="center"/>
          </w:tcPr>
          <w:p w14:paraId="4BB3B522" w14:textId="19C94F0C" w:rsidR="00277F65" w:rsidRPr="00277F65" w:rsidRDefault="00445CAB" w:rsidP="00277F65">
            <w:pPr>
              <w:spacing w:line="240" w:lineRule="auto"/>
              <w:rPr>
                <w:rFonts w:ascii="Arial" w:hAnsi="Arial" w:cs="Arial"/>
                <w:b/>
                <w:bCs/>
                <w:sz w:val="16"/>
                <w:szCs w:val="16"/>
              </w:rPr>
            </w:pPr>
            <w:r w:rsidRPr="00445CAB">
              <w:rPr>
                <w:rFonts w:ascii="Arial" w:hAnsi="Arial" w:cs="Arial"/>
                <w:b/>
                <w:bCs/>
                <w:i/>
                <w:iCs/>
                <w:sz w:val="16"/>
                <w:szCs w:val="16"/>
              </w:rPr>
              <w:t>KRAS</w:t>
            </w:r>
            <w:r w:rsidR="00277F65">
              <w:rPr>
                <w:rFonts w:ascii="Arial" w:hAnsi="Arial" w:cs="Arial"/>
                <w:b/>
                <w:bCs/>
                <w:sz w:val="16"/>
                <w:szCs w:val="16"/>
              </w:rPr>
              <w:t xml:space="preserve"> Mutation</w:t>
            </w:r>
          </w:p>
        </w:tc>
      </w:tr>
      <w:tr w:rsidR="0059519C" w:rsidRPr="0059519C" w14:paraId="45C2B2B6" w14:textId="77777777" w:rsidTr="00A13C59">
        <w:trPr>
          <w:trHeight w:val="20"/>
        </w:trPr>
        <w:tc>
          <w:tcPr>
            <w:tcW w:w="833" w:type="pct"/>
            <w:tcBorders>
              <w:top w:val="single" w:sz="24"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09095ACF"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PAAD (202)</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6ED7910"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70.675 ± 7.008</w:t>
            </w:r>
          </w:p>
          <w:p w14:paraId="1F4A27B1"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89.613 ± 9.357 ↑</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AE172B6"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65.169 ± 7.481</w:t>
            </w:r>
          </w:p>
          <w:p w14:paraId="35FA9FE9"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88.316 ± 3.682 ↑</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AD587C8"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63.674 ± 5.749</w:t>
            </w:r>
          </w:p>
          <w:p w14:paraId="1CC6F134"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78.742 ± 1.431 ↑</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72020F3"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67.383 ± 12.558</w:t>
            </w:r>
          </w:p>
          <w:p w14:paraId="469CC193"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96.723 ± 1.847 ↑</w:t>
            </w:r>
          </w:p>
        </w:tc>
        <w:tc>
          <w:tcPr>
            <w:tcW w:w="833" w:type="pct"/>
            <w:tcBorders>
              <w:top w:val="single" w:sz="24"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6BB0031"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59.965 ± 7.997</w:t>
            </w:r>
          </w:p>
          <w:p w14:paraId="4F031ED5"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60.761 ± 3.525 ↑</w:t>
            </w:r>
          </w:p>
        </w:tc>
      </w:tr>
      <w:tr w:rsidR="0059519C" w:rsidRPr="0059519C" w14:paraId="4CF2B1D4"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594EC815" w14:textId="77777777" w:rsidR="0059519C" w:rsidRPr="0059519C" w:rsidRDefault="0059519C" w:rsidP="00277F65">
            <w:pPr>
              <w:spacing w:line="240" w:lineRule="auto"/>
              <w:rPr>
                <w:rFonts w:ascii="Arial" w:hAnsi="Arial" w:cs="Arial"/>
                <w:sz w:val="16"/>
                <w:szCs w:val="16"/>
              </w:rPr>
            </w:pPr>
            <w:r w:rsidRPr="0059519C">
              <w:rPr>
                <w:rFonts w:ascii="Arial" w:hAnsi="Arial" w:cs="Arial"/>
                <w:b/>
                <w:bCs/>
                <w:sz w:val="16"/>
                <w:szCs w:val="16"/>
              </w:rPr>
              <w:t>CRC (540)</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E5EB0E9"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63.132 ± 7.557</w:t>
            </w:r>
          </w:p>
          <w:p w14:paraId="51B5A7F8"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73.863 ± 6.869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0F9C051"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59.998 ± 6.120</w:t>
            </w:r>
          </w:p>
          <w:p w14:paraId="4853BA7E"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72.127 ± 3.139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F265029"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60.241 ± 6.115</w:t>
            </w:r>
          </w:p>
          <w:p w14:paraId="0BDE0D50"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67.884 ± 2.729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0B1766D"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61.039 ± 7.806</w:t>
            </w:r>
          </w:p>
          <w:p w14:paraId="13190E90"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57.065 ± 2.754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350716B"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59.444 ± 7.089</w:t>
            </w:r>
          </w:p>
          <w:p w14:paraId="001BFE2D" w14:textId="77777777" w:rsidR="0059519C" w:rsidRPr="0059519C" w:rsidRDefault="0059519C" w:rsidP="00277F65">
            <w:pPr>
              <w:spacing w:line="240" w:lineRule="auto"/>
              <w:rPr>
                <w:rFonts w:ascii="Arial" w:hAnsi="Arial" w:cs="Arial"/>
                <w:sz w:val="16"/>
                <w:szCs w:val="16"/>
              </w:rPr>
            </w:pPr>
            <w:r w:rsidRPr="0059519C">
              <w:rPr>
                <w:rFonts w:ascii="Arial" w:hAnsi="Arial" w:cs="Arial"/>
                <w:sz w:val="16"/>
                <w:szCs w:val="16"/>
              </w:rPr>
              <w:t>78.704 ± 3.346 ↑</w:t>
            </w:r>
          </w:p>
        </w:tc>
      </w:tr>
      <w:tr w:rsidR="00694D20" w:rsidRPr="00694D20" w14:paraId="32BB8BFD" w14:textId="77777777" w:rsidTr="00A13C59">
        <w:trPr>
          <w:trHeight w:val="20"/>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8E8E8" w:themeFill="background2"/>
            <w:tcMar>
              <w:top w:w="72" w:type="dxa"/>
              <w:left w:w="144" w:type="dxa"/>
              <w:bottom w:w="72" w:type="dxa"/>
              <w:right w:w="144" w:type="dxa"/>
            </w:tcMar>
            <w:vAlign w:val="center"/>
            <w:hideMark/>
          </w:tcPr>
          <w:p w14:paraId="0118E2A5" w14:textId="337BB093" w:rsidR="00694D20" w:rsidRPr="00A8230F" w:rsidRDefault="00445CAB" w:rsidP="00694D20">
            <w:pPr>
              <w:spacing w:line="240" w:lineRule="auto"/>
              <w:jc w:val="both"/>
              <w:rPr>
                <w:rFonts w:ascii="Arial" w:hAnsi="Arial" w:cs="Arial"/>
                <w:b/>
                <w:bCs/>
                <w:sz w:val="16"/>
                <w:szCs w:val="16"/>
              </w:rPr>
            </w:pPr>
            <w:r w:rsidRPr="00445CAB">
              <w:rPr>
                <w:rFonts w:ascii="Arial" w:hAnsi="Arial" w:cs="Arial"/>
                <w:b/>
                <w:bCs/>
                <w:i/>
                <w:iCs/>
                <w:sz w:val="16"/>
                <w:szCs w:val="16"/>
              </w:rPr>
              <w:t>APC</w:t>
            </w:r>
            <w:r w:rsidR="00B67493">
              <w:rPr>
                <w:rFonts w:ascii="Arial" w:hAnsi="Arial" w:cs="Arial"/>
                <w:b/>
                <w:bCs/>
                <w:sz w:val="16"/>
                <w:szCs w:val="16"/>
              </w:rPr>
              <w:t xml:space="preserve"> Mutation</w:t>
            </w:r>
          </w:p>
        </w:tc>
      </w:tr>
      <w:tr w:rsidR="00694D20" w:rsidRPr="00694D20" w14:paraId="2EDC17BC"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5FF63DA7" w14:textId="77777777" w:rsidR="00694D20" w:rsidRPr="00694D20" w:rsidRDefault="00694D20" w:rsidP="00694D20">
            <w:pPr>
              <w:spacing w:line="240" w:lineRule="auto"/>
              <w:jc w:val="both"/>
              <w:rPr>
                <w:rFonts w:ascii="Arial" w:hAnsi="Arial" w:cs="Arial"/>
                <w:b/>
                <w:bCs/>
                <w:sz w:val="16"/>
                <w:szCs w:val="16"/>
              </w:rPr>
            </w:pPr>
            <w:r w:rsidRPr="00694D20">
              <w:rPr>
                <w:rFonts w:ascii="Arial" w:hAnsi="Arial" w:cs="Arial"/>
                <w:b/>
                <w:bCs/>
                <w:sz w:val="16"/>
                <w:szCs w:val="16"/>
              </w:rPr>
              <w:t>CRC (557)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4A825B9"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70.890 ± 1.798</w:t>
            </w:r>
          </w:p>
          <w:p w14:paraId="41BBD12C"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90.539 ± 8.466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D5449D8"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65.721 ± 4.496</w:t>
            </w:r>
          </w:p>
          <w:p w14:paraId="05A1BA8A"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84.669 ± 5.599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87DF628"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65.140 ± 4.166</w:t>
            </w:r>
          </w:p>
          <w:p w14:paraId="035934F3"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74.256 ± 3.039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0510EA5"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66.783 ± 6.941</w:t>
            </w:r>
          </w:p>
          <w:p w14:paraId="10AB848B"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91.473 ± 4.734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F088F9B"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63.497 ± 7.507</w:t>
            </w:r>
          </w:p>
          <w:p w14:paraId="2679EF3F" w14:textId="77777777" w:rsidR="00694D20" w:rsidRPr="00694D20" w:rsidRDefault="00694D20" w:rsidP="00694D20">
            <w:pPr>
              <w:spacing w:line="240" w:lineRule="auto"/>
              <w:jc w:val="both"/>
              <w:rPr>
                <w:rFonts w:ascii="Arial" w:hAnsi="Arial" w:cs="Arial"/>
                <w:sz w:val="16"/>
                <w:szCs w:val="16"/>
              </w:rPr>
            </w:pPr>
            <w:r w:rsidRPr="00694D20">
              <w:rPr>
                <w:rFonts w:ascii="Arial" w:hAnsi="Arial" w:cs="Arial"/>
                <w:sz w:val="16"/>
                <w:szCs w:val="16"/>
              </w:rPr>
              <w:t>57.039 ± 1.748 ↓</w:t>
            </w:r>
          </w:p>
        </w:tc>
      </w:tr>
      <w:tr w:rsidR="00C5352A" w:rsidRPr="00C5352A" w14:paraId="258046FD" w14:textId="77777777" w:rsidTr="00A13C59">
        <w:trPr>
          <w:trHeight w:val="20"/>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8E8E8" w:themeFill="background2"/>
            <w:tcMar>
              <w:top w:w="72" w:type="dxa"/>
              <w:left w:w="144" w:type="dxa"/>
              <w:bottom w:w="72" w:type="dxa"/>
              <w:right w:w="144" w:type="dxa"/>
            </w:tcMar>
            <w:vAlign w:val="center"/>
            <w:hideMark/>
          </w:tcPr>
          <w:p w14:paraId="2F67359B" w14:textId="697CD931" w:rsidR="00C5352A" w:rsidRPr="00C5352A" w:rsidRDefault="00445CAB" w:rsidP="00C5352A">
            <w:pPr>
              <w:spacing w:line="240" w:lineRule="auto"/>
              <w:jc w:val="both"/>
              <w:rPr>
                <w:rFonts w:ascii="Arial" w:hAnsi="Arial" w:cs="Arial"/>
                <w:b/>
                <w:bCs/>
                <w:sz w:val="16"/>
                <w:szCs w:val="16"/>
              </w:rPr>
            </w:pPr>
            <w:r w:rsidRPr="00445CAB">
              <w:rPr>
                <w:rFonts w:ascii="Arial" w:hAnsi="Arial" w:cs="Arial"/>
                <w:b/>
                <w:bCs/>
                <w:i/>
                <w:iCs/>
                <w:sz w:val="16"/>
                <w:szCs w:val="16"/>
              </w:rPr>
              <w:t>TP53</w:t>
            </w:r>
            <w:r w:rsidR="00C5352A">
              <w:rPr>
                <w:rFonts w:ascii="Arial" w:hAnsi="Arial" w:cs="Arial"/>
                <w:b/>
                <w:bCs/>
                <w:sz w:val="16"/>
                <w:szCs w:val="16"/>
              </w:rPr>
              <w:t xml:space="preserve"> Mutation</w:t>
            </w:r>
          </w:p>
        </w:tc>
      </w:tr>
      <w:tr w:rsidR="00C5352A" w:rsidRPr="00C5352A" w14:paraId="525DEE32"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45301CEB"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PAAD (202)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1D2485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65.544 ± 10.591</w:t>
            </w:r>
          </w:p>
          <w:p w14:paraId="5B2F5F05"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70.258 ± 6.538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35D1BFB"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64.062 ± 3.819</w:t>
            </w:r>
          </w:p>
          <w:p w14:paraId="66074BDD"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66.101 ± 10.446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0F65BC4"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64.936 ± 4.135</w:t>
            </w:r>
          </w:p>
          <w:p w14:paraId="462B390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64.387 ± 8.009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338B98A"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63.981 ± 9.630</w:t>
            </w:r>
          </w:p>
          <w:p w14:paraId="32328261"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71.139 ± 1.651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6C09343"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65.890 ± 13.590</w:t>
            </w:r>
          </w:p>
          <w:p w14:paraId="34DE61E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57.634 ± 1.649 ↓</w:t>
            </w:r>
          </w:p>
        </w:tc>
      </w:tr>
      <w:tr w:rsidR="00C5352A" w:rsidRPr="00C5352A" w14:paraId="67D0215B"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7887DEDC"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CRC (540)</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F7D90F1"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75.112 ± 5.824</w:t>
            </w:r>
          </w:p>
          <w:p w14:paraId="5F2E1A2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74.673 ± 3.121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6AD671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69.965 ± 3.755</w:t>
            </w:r>
          </w:p>
          <w:p w14:paraId="4559986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67.007 ± 3.054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9398616"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70.026 ± 3.860</w:t>
            </w:r>
          </w:p>
          <w:p w14:paraId="4ED9B07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66.507 ± 2.860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053A11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71.243 ± 8.049</w:t>
            </w:r>
          </w:p>
          <w:p w14:paraId="7357E3B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73.784 ± 8.738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DC7E70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68.808 ± 10.316</w:t>
            </w:r>
          </w:p>
          <w:p w14:paraId="48F7DC6D"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lastRenderedPageBreak/>
              <w:t>59.231 ± 5.304 ↓</w:t>
            </w:r>
          </w:p>
        </w:tc>
      </w:tr>
      <w:tr w:rsidR="00C5352A" w:rsidRPr="00C5352A" w14:paraId="724E49B1"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69C7F25"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lastRenderedPageBreak/>
              <w:t>BRCA (1102)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CC6752D"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83.620 ± 3.729</w:t>
            </w:r>
          </w:p>
          <w:p w14:paraId="548A04C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85.631 ± 4.283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DE73B4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79.049 ± 3.658</w:t>
            </w:r>
          </w:p>
          <w:p w14:paraId="3ADA414D"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80.048 ± 4.158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208026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77.003 ± 3.999</w:t>
            </w:r>
          </w:p>
          <w:p w14:paraId="68505A84"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75.077 ± 4.553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DAD6FE3"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70.987 ± 5.678</w:t>
            </w:r>
          </w:p>
          <w:p w14:paraId="31AA53E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61.720 ± 6.687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E625355"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83.020 ± 3.464</w:t>
            </w:r>
          </w:p>
          <w:p w14:paraId="4D23D27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88.435 ± 3.886 ↑</w:t>
            </w:r>
          </w:p>
        </w:tc>
      </w:tr>
      <w:tr w:rsidR="00C5352A" w:rsidRPr="00C5352A" w14:paraId="0889493F"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406DEE0E"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LUAD (513)</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452788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70.372 ± 3.656</w:t>
            </w:r>
          </w:p>
          <w:p w14:paraId="7AE602D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75.984 ± 5.394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508F136"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67.044 ± 1.777</w:t>
            </w:r>
          </w:p>
          <w:p w14:paraId="231A9A7B"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68.824 ± 4.113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EA52FC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66.858 ± 1.138</w:t>
            </w:r>
          </w:p>
          <w:p w14:paraId="3227EAD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68.926 ± 4.817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06947B8"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68.910 ± 11.010</w:t>
            </w:r>
          </w:p>
          <w:p w14:paraId="21F1433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74.428 ± 9.289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FACB255"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64.806 ± 9.555</w:t>
            </w:r>
          </w:p>
          <w:p w14:paraId="5F422B70"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63.425 ± 11.413 ↓</w:t>
            </w:r>
          </w:p>
        </w:tc>
      </w:tr>
      <w:tr w:rsidR="00C5352A" w:rsidRPr="00C5352A" w14:paraId="739529DC"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15CBBC66"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LIHC (359)</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407459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69.283 ± 5.962</w:t>
            </w:r>
          </w:p>
          <w:p w14:paraId="6606401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89.931 ± 4.027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8D6C5E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64.396 ± 6.874</w:t>
            </w:r>
          </w:p>
          <w:p w14:paraId="0273AE5A"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83.667 ± 3.707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AF46E5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64.083 ± 7.363</w:t>
            </w:r>
          </w:p>
          <w:p w14:paraId="7E39C98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73.331 ± 1.906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9F66E8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63.212 ± 9.282</w:t>
            </w:r>
          </w:p>
          <w:p w14:paraId="4DFA38EF"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57.773 ± 1.448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366FC26"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64.954 ± 6.462</w:t>
            </w:r>
          </w:p>
          <w:p w14:paraId="70E3F0A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88.864 ± 2.943 ↑</w:t>
            </w:r>
          </w:p>
        </w:tc>
      </w:tr>
      <w:tr w:rsidR="00C5352A" w:rsidRPr="00C5352A" w14:paraId="2D7D5DDF"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C73D76E"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LUSC (482)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31C7033"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61.250 ± 1.807</w:t>
            </w:r>
          </w:p>
          <w:p w14:paraId="35093B2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98.104 ± 3.148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E3027B5"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63.946 ± 5.878</w:t>
            </w:r>
          </w:p>
          <w:p w14:paraId="587015FB"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98.625 ± 0.910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F08261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61.554 ± 3.253</w:t>
            </w:r>
          </w:p>
          <w:p w14:paraId="56AAD78A"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86.191 ± 21.787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31B9B0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65.154 ± 7.828</w:t>
            </w:r>
          </w:p>
          <w:p w14:paraId="051749D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99.049 ± 0.537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9787EF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57.953 ± 6.976</w:t>
            </w:r>
          </w:p>
          <w:p w14:paraId="4EABBCF8"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73.333 ± 23.461 ↑</w:t>
            </w:r>
          </w:p>
        </w:tc>
      </w:tr>
      <w:tr w:rsidR="00C5352A" w:rsidRPr="00C5352A" w14:paraId="35EBDCF9"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D86FD71"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STAD (392)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EB5B230"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67.829 ± 6.005</w:t>
            </w:r>
          </w:p>
          <w:p w14:paraId="1B81C8F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68.483 ± 3.732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D08349A"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64.974 ± 4.760</w:t>
            </w:r>
          </w:p>
          <w:p w14:paraId="1ED6D59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64.778 ± 2.816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2CD7719"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64.816 ± 4.747</w:t>
            </w:r>
          </w:p>
          <w:p w14:paraId="0F5EC11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64.515 ± 2.828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12356D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60.837 ± 9.022</w:t>
            </w:r>
          </w:p>
          <w:p w14:paraId="03C85A9E"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58.287 ± 3.250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8491C51"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68.794 ± 5.309</w:t>
            </w:r>
          </w:p>
          <w:p w14:paraId="67D01CC0"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70.744 ± 4.894 ↑</w:t>
            </w:r>
          </w:p>
        </w:tc>
      </w:tr>
      <w:tr w:rsidR="00C5352A" w:rsidRPr="00C5352A" w14:paraId="58D0ACF3"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4891386" w14:textId="77777777" w:rsidR="00C5352A" w:rsidRPr="00C5352A" w:rsidRDefault="00C5352A" w:rsidP="00C5352A">
            <w:pPr>
              <w:spacing w:line="240" w:lineRule="auto"/>
              <w:jc w:val="both"/>
              <w:rPr>
                <w:rFonts w:ascii="Arial" w:hAnsi="Arial" w:cs="Arial"/>
                <w:b/>
                <w:bCs/>
                <w:sz w:val="16"/>
                <w:szCs w:val="16"/>
              </w:rPr>
            </w:pPr>
            <w:r w:rsidRPr="00C5352A">
              <w:rPr>
                <w:rFonts w:ascii="Arial" w:hAnsi="Arial" w:cs="Arial"/>
                <w:b/>
                <w:bCs/>
                <w:sz w:val="16"/>
                <w:szCs w:val="16"/>
              </w:rPr>
              <w:t>HNSC (307)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9BED812"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72.394 ± 9.816</w:t>
            </w:r>
          </w:p>
          <w:p w14:paraId="7973DC9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96.620 ± 2.977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CE27394"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69.956 ± 8.465</w:t>
            </w:r>
          </w:p>
          <w:p w14:paraId="4678F62B"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94.318 ± 4.171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9889DC6"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67.876 ± 8.888</w:t>
            </w:r>
          </w:p>
          <w:p w14:paraId="791979B6"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86.653 ± 11.436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15F3194"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73.049 ± 8.539</w:t>
            </w:r>
          </w:p>
          <w:p w14:paraId="1BFDDB5A"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96.862 ± 2.440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4D4C457"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62.703 ± 11.172</w:t>
            </w:r>
          </w:p>
          <w:p w14:paraId="217D23BC" w14:textId="77777777" w:rsidR="00C5352A" w:rsidRPr="00C5352A" w:rsidRDefault="00C5352A" w:rsidP="00C5352A">
            <w:pPr>
              <w:spacing w:line="240" w:lineRule="auto"/>
              <w:jc w:val="both"/>
              <w:rPr>
                <w:rFonts w:ascii="Arial" w:hAnsi="Arial" w:cs="Arial"/>
                <w:sz w:val="16"/>
                <w:szCs w:val="16"/>
              </w:rPr>
            </w:pPr>
            <w:r w:rsidRPr="00C5352A">
              <w:rPr>
                <w:rFonts w:ascii="Arial" w:hAnsi="Arial" w:cs="Arial"/>
                <w:sz w:val="16"/>
                <w:szCs w:val="16"/>
              </w:rPr>
              <w:t>76.444 ± 21.863 ↑</w:t>
            </w:r>
          </w:p>
        </w:tc>
      </w:tr>
      <w:tr w:rsidR="009321A0" w:rsidRPr="009321A0" w14:paraId="0ADD54E5" w14:textId="77777777" w:rsidTr="00A13C59">
        <w:trPr>
          <w:trHeight w:val="20"/>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8E8E8" w:themeFill="background2"/>
            <w:tcMar>
              <w:top w:w="72" w:type="dxa"/>
              <w:left w:w="144" w:type="dxa"/>
              <w:bottom w:w="72" w:type="dxa"/>
              <w:right w:w="144" w:type="dxa"/>
            </w:tcMar>
            <w:vAlign w:val="center"/>
            <w:hideMark/>
          </w:tcPr>
          <w:p w14:paraId="3265EA61" w14:textId="5855A73A" w:rsidR="009321A0" w:rsidRPr="009321A0" w:rsidRDefault="00445CAB" w:rsidP="009321A0">
            <w:pPr>
              <w:spacing w:line="240" w:lineRule="auto"/>
              <w:jc w:val="both"/>
              <w:rPr>
                <w:rFonts w:ascii="Arial" w:hAnsi="Arial" w:cs="Arial"/>
                <w:sz w:val="16"/>
                <w:szCs w:val="16"/>
              </w:rPr>
            </w:pPr>
            <w:r w:rsidRPr="00445CAB">
              <w:rPr>
                <w:rFonts w:ascii="Arial" w:hAnsi="Arial" w:cs="Arial"/>
                <w:b/>
                <w:bCs/>
                <w:i/>
                <w:iCs/>
                <w:sz w:val="16"/>
                <w:szCs w:val="16"/>
              </w:rPr>
              <w:t>PIK3CA</w:t>
            </w:r>
            <w:r w:rsidR="009321A0">
              <w:rPr>
                <w:rFonts w:ascii="Arial" w:hAnsi="Arial" w:cs="Arial"/>
                <w:b/>
                <w:bCs/>
                <w:sz w:val="16"/>
                <w:szCs w:val="16"/>
              </w:rPr>
              <w:t xml:space="preserve"> Mutation</w:t>
            </w:r>
          </w:p>
        </w:tc>
      </w:tr>
      <w:tr w:rsidR="009321A0" w:rsidRPr="009321A0" w14:paraId="5213E6DA"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680E9DDF" w14:textId="77777777" w:rsidR="009321A0" w:rsidRPr="009321A0" w:rsidRDefault="009321A0" w:rsidP="009321A0">
            <w:pPr>
              <w:spacing w:line="240" w:lineRule="auto"/>
              <w:jc w:val="both"/>
              <w:rPr>
                <w:rFonts w:ascii="Arial" w:hAnsi="Arial" w:cs="Arial"/>
                <w:b/>
                <w:bCs/>
                <w:sz w:val="16"/>
                <w:szCs w:val="16"/>
              </w:rPr>
            </w:pPr>
            <w:r w:rsidRPr="009321A0">
              <w:rPr>
                <w:rFonts w:ascii="Arial" w:hAnsi="Arial" w:cs="Arial"/>
                <w:b/>
                <w:bCs/>
                <w:sz w:val="16"/>
                <w:szCs w:val="16"/>
              </w:rPr>
              <w:t>CRC (540)</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3CB5532"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63.485 ± 5.582</w:t>
            </w:r>
          </w:p>
          <w:p w14:paraId="7A902931"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61.459 ± 4.616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7892854"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61.857 ± 3.430</w:t>
            </w:r>
          </w:p>
          <w:p w14:paraId="33DCC4CE"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56.360 ± 0.898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776E5B5"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60.888 ± 3.690</w:t>
            </w:r>
          </w:p>
          <w:p w14:paraId="6757268B"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56.645 ± 0.903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56EA1E1"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58.923 ± 6.893</w:t>
            </w:r>
          </w:p>
          <w:p w14:paraId="5044E01F"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57.372 ± 1.596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D56E59E"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62.853 ± 4.234</w:t>
            </w:r>
          </w:p>
          <w:p w14:paraId="09B3CEDF"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56.052 ± 1.113 ↓</w:t>
            </w:r>
          </w:p>
        </w:tc>
      </w:tr>
      <w:tr w:rsidR="009321A0" w:rsidRPr="009321A0" w14:paraId="6D30565C"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608C089E" w14:textId="77777777" w:rsidR="009321A0" w:rsidRPr="009321A0" w:rsidRDefault="009321A0" w:rsidP="009321A0">
            <w:pPr>
              <w:spacing w:line="240" w:lineRule="auto"/>
              <w:jc w:val="both"/>
              <w:rPr>
                <w:rFonts w:ascii="Arial" w:hAnsi="Arial" w:cs="Arial"/>
                <w:b/>
                <w:bCs/>
                <w:sz w:val="16"/>
                <w:szCs w:val="16"/>
              </w:rPr>
            </w:pPr>
            <w:r w:rsidRPr="009321A0">
              <w:rPr>
                <w:rFonts w:ascii="Arial" w:hAnsi="Arial" w:cs="Arial"/>
                <w:b/>
                <w:bCs/>
                <w:sz w:val="16"/>
                <w:szCs w:val="16"/>
              </w:rPr>
              <w:t>BRCA (1102)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73383EA"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65.406 ± 3.469</w:t>
            </w:r>
          </w:p>
          <w:p w14:paraId="0E58A524"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83.031 ± 6.903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9C416BD"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61.232 ± 4.222</w:t>
            </w:r>
          </w:p>
          <w:p w14:paraId="72A9477E"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69.440 ± 5.872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328B045"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61.049 ± 2.792</w:t>
            </w:r>
          </w:p>
          <w:p w14:paraId="2AFF3EE1"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69.597 ± 2.728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D1C023A"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60.439 ± 4.927</w:t>
            </w:r>
          </w:p>
          <w:p w14:paraId="568E1F4B"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83.389 ± 5.341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2553713D"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61.660 ± 7.649</w:t>
            </w:r>
          </w:p>
          <w:p w14:paraId="0D2C07B5" w14:textId="77777777" w:rsidR="009321A0" w:rsidRPr="009321A0" w:rsidRDefault="009321A0" w:rsidP="009321A0">
            <w:pPr>
              <w:spacing w:line="240" w:lineRule="auto"/>
              <w:jc w:val="both"/>
              <w:rPr>
                <w:rFonts w:ascii="Arial" w:hAnsi="Arial" w:cs="Arial"/>
                <w:sz w:val="16"/>
                <w:szCs w:val="16"/>
              </w:rPr>
            </w:pPr>
            <w:r w:rsidRPr="009321A0">
              <w:rPr>
                <w:rFonts w:ascii="Arial" w:hAnsi="Arial" w:cs="Arial"/>
                <w:sz w:val="16"/>
                <w:szCs w:val="16"/>
              </w:rPr>
              <w:t>55.304 ± 0.190 ↓</w:t>
            </w:r>
          </w:p>
        </w:tc>
      </w:tr>
      <w:tr w:rsidR="00AD025D" w:rsidRPr="00AD025D" w14:paraId="7E9865A5" w14:textId="77777777" w:rsidTr="00A13C59">
        <w:trPr>
          <w:trHeight w:val="20"/>
        </w:trPr>
        <w:tc>
          <w:tcPr>
            <w:tcW w:w="5000" w:type="pct"/>
            <w:gridSpan w:val="6"/>
            <w:tcBorders>
              <w:top w:val="single" w:sz="8" w:space="0" w:color="FFFFFF"/>
              <w:left w:val="single" w:sz="8" w:space="0" w:color="FFFFFF"/>
              <w:bottom w:val="single" w:sz="8" w:space="0" w:color="FFFFFF"/>
              <w:right w:val="single" w:sz="8" w:space="0" w:color="FFFFFF"/>
            </w:tcBorders>
            <w:shd w:val="clear" w:color="auto" w:fill="E8E8E8" w:themeFill="background2"/>
            <w:tcMar>
              <w:top w:w="72" w:type="dxa"/>
              <w:left w:w="144" w:type="dxa"/>
              <w:bottom w:w="72" w:type="dxa"/>
              <w:right w:w="144" w:type="dxa"/>
            </w:tcMar>
            <w:vAlign w:val="center"/>
            <w:hideMark/>
          </w:tcPr>
          <w:p w14:paraId="1DE1E845" w14:textId="2F006392" w:rsidR="00AD025D" w:rsidRPr="00AD025D" w:rsidRDefault="00445CAB" w:rsidP="00AD025D">
            <w:pPr>
              <w:spacing w:line="240" w:lineRule="auto"/>
              <w:jc w:val="both"/>
              <w:rPr>
                <w:rFonts w:ascii="Arial" w:hAnsi="Arial" w:cs="Arial"/>
                <w:sz w:val="16"/>
                <w:szCs w:val="16"/>
              </w:rPr>
            </w:pPr>
            <w:r w:rsidRPr="00445CAB">
              <w:rPr>
                <w:rFonts w:ascii="Arial" w:hAnsi="Arial" w:cs="Arial"/>
                <w:b/>
                <w:bCs/>
                <w:i/>
                <w:iCs/>
                <w:sz w:val="16"/>
                <w:szCs w:val="16"/>
              </w:rPr>
              <w:t>TTN</w:t>
            </w:r>
            <w:r w:rsidR="00AD025D">
              <w:rPr>
                <w:rFonts w:ascii="Arial" w:hAnsi="Arial" w:cs="Arial"/>
                <w:b/>
                <w:bCs/>
                <w:sz w:val="16"/>
                <w:szCs w:val="16"/>
              </w:rPr>
              <w:t xml:space="preserve"> Mutation</w:t>
            </w:r>
          </w:p>
        </w:tc>
      </w:tr>
      <w:tr w:rsidR="00AD025D" w:rsidRPr="00AD025D" w14:paraId="40858221"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37806F31" w14:textId="77777777" w:rsidR="00AD025D" w:rsidRPr="00AD025D" w:rsidRDefault="00AD025D" w:rsidP="00AD025D">
            <w:pPr>
              <w:spacing w:line="240" w:lineRule="auto"/>
              <w:jc w:val="both"/>
              <w:rPr>
                <w:rFonts w:ascii="Arial" w:hAnsi="Arial" w:cs="Arial"/>
                <w:b/>
                <w:bCs/>
                <w:sz w:val="16"/>
                <w:szCs w:val="16"/>
              </w:rPr>
            </w:pPr>
            <w:r w:rsidRPr="00AD025D">
              <w:rPr>
                <w:rFonts w:ascii="Arial" w:hAnsi="Arial" w:cs="Arial"/>
                <w:b/>
                <w:bCs/>
                <w:sz w:val="16"/>
                <w:szCs w:val="16"/>
              </w:rPr>
              <w:t>CRC (557)</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55367534"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63.270 ± 5.060</w:t>
            </w:r>
          </w:p>
          <w:p w14:paraId="253B33E5"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64.045 ± 4.442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6B429029"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57.103 ± 4.107</w:t>
            </w:r>
          </w:p>
          <w:p w14:paraId="73A16908"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59.467 ± 3.864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124746BA"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57.507 ± 4.340</w:t>
            </w:r>
          </w:p>
          <w:p w14:paraId="537119EC"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59.517 ± 4.002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4FC5019"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60.548 ± 7.253</w:t>
            </w:r>
          </w:p>
          <w:p w14:paraId="4E998EFF"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62.978 ± 8.250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740FA426"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54.467 ± 1.878</w:t>
            </w:r>
          </w:p>
          <w:p w14:paraId="17194C01"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56.057 ± 0.480 ↑</w:t>
            </w:r>
          </w:p>
        </w:tc>
      </w:tr>
      <w:tr w:rsidR="00AD025D" w:rsidRPr="00AD025D" w14:paraId="533AF925" w14:textId="77777777" w:rsidTr="00A13C59">
        <w:trPr>
          <w:trHeight w:val="20"/>
        </w:trPr>
        <w:tc>
          <w:tcPr>
            <w:tcW w:w="833" w:type="pct"/>
            <w:tcBorders>
              <w:top w:val="single" w:sz="8" w:space="0" w:color="FFFFFF"/>
              <w:left w:val="single" w:sz="8" w:space="0" w:color="FFFFFF"/>
              <w:bottom w:val="single" w:sz="8" w:space="0" w:color="FFFFFF"/>
              <w:right w:val="single" w:sz="8" w:space="0" w:color="FFFFFF"/>
            </w:tcBorders>
            <w:shd w:val="clear" w:color="auto" w:fill="C00000"/>
            <w:tcMar>
              <w:top w:w="72" w:type="dxa"/>
              <w:left w:w="144" w:type="dxa"/>
              <w:bottom w:w="72" w:type="dxa"/>
              <w:right w:w="144" w:type="dxa"/>
            </w:tcMar>
            <w:vAlign w:val="center"/>
            <w:hideMark/>
          </w:tcPr>
          <w:p w14:paraId="5CDDF591" w14:textId="77777777" w:rsidR="00AD025D" w:rsidRPr="00AD025D" w:rsidRDefault="00AD025D" w:rsidP="00AD025D">
            <w:pPr>
              <w:spacing w:line="240" w:lineRule="auto"/>
              <w:jc w:val="both"/>
              <w:rPr>
                <w:rFonts w:ascii="Arial" w:hAnsi="Arial" w:cs="Arial"/>
                <w:b/>
                <w:bCs/>
                <w:sz w:val="16"/>
                <w:szCs w:val="16"/>
              </w:rPr>
            </w:pPr>
            <w:r w:rsidRPr="00AD025D">
              <w:rPr>
                <w:rFonts w:ascii="Arial" w:hAnsi="Arial" w:cs="Arial"/>
                <w:b/>
                <w:bCs/>
                <w:sz w:val="16"/>
                <w:szCs w:val="16"/>
              </w:rPr>
              <w:t>STAD (392)</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A22A3C0"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60.783 ± 7.022</w:t>
            </w:r>
          </w:p>
          <w:p w14:paraId="2DF0E20E"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63.270 ± 9.393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0D1CFCBE"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59.669 ± 4.622</w:t>
            </w:r>
          </w:p>
          <w:p w14:paraId="2C18CDB5"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71.549 ± 7.220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E985392"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59.557 ± 4.572</w:t>
            </w:r>
          </w:p>
          <w:p w14:paraId="44CAF86E"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67.725 ± 4.938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39A97F7C"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62.539 ± 5.316</w:t>
            </w:r>
          </w:p>
          <w:p w14:paraId="368C84A0"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78.348 ± 10.124 ↑</w:t>
            </w:r>
          </w:p>
        </w:tc>
        <w:tc>
          <w:tcPr>
            <w:tcW w:w="833" w:type="pct"/>
            <w:tcBorders>
              <w:top w:val="single" w:sz="8" w:space="0" w:color="FFFFFF"/>
              <w:left w:val="single" w:sz="8" w:space="0" w:color="FFFFFF"/>
              <w:bottom w:val="single" w:sz="8" w:space="0" w:color="FFFFFF"/>
              <w:right w:val="single" w:sz="8" w:space="0" w:color="FFFFFF"/>
            </w:tcBorders>
            <w:shd w:val="clear" w:color="auto" w:fill="E3E3E3"/>
            <w:tcMar>
              <w:top w:w="72" w:type="dxa"/>
              <w:left w:w="144" w:type="dxa"/>
              <w:bottom w:w="72" w:type="dxa"/>
              <w:right w:w="144" w:type="dxa"/>
            </w:tcMar>
            <w:vAlign w:val="center"/>
            <w:hideMark/>
          </w:tcPr>
          <w:p w14:paraId="47C8BA07"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56.574 ± 6.373</w:t>
            </w:r>
          </w:p>
          <w:p w14:paraId="7A957874" w14:textId="77777777" w:rsidR="00AD025D" w:rsidRPr="00AD025D" w:rsidRDefault="00AD025D" w:rsidP="00AD025D">
            <w:pPr>
              <w:spacing w:line="240" w:lineRule="auto"/>
              <w:jc w:val="both"/>
              <w:rPr>
                <w:rFonts w:ascii="Arial" w:hAnsi="Arial" w:cs="Arial"/>
                <w:sz w:val="16"/>
                <w:szCs w:val="16"/>
              </w:rPr>
            </w:pPr>
            <w:r w:rsidRPr="00AD025D">
              <w:rPr>
                <w:rFonts w:ascii="Arial" w:hAnsi="Arial" w:cs="Arial"/>
                <w:sz w:val="16"/>
                <w:szCs w:val="16"/>
              </w:rPr>
              <w:t>57.102 ± 1.281 ↑</w:t>
            </w:r>
          </w:p>
        </w:tc>
      </w:tr>
    </w:tbl>
    <w:p w14:paraId="707B639A" w14:textId="77777777" w:rsidR="00033F30" w:rsidRDefault="00033F30" w:rsidP="00850AD7">
      <w:pPr>
        <w:spacing w:line="240" w:lineRule="auto"/>
        <w:jc w:val="both"/>
        <w:rPr>
          <w:rFonts w:ascii="Arial" w:hAnsi="Arial" w:cs="Arial"/>
          <w:sz w:val="22"/>
          <w:szCs w:val="22"/>
        </w:rPr>
      </w:pPr>
    </w:p>
    <w:p w14:paraId="79E3DEB7" w14:textId="438696D7" w:rsidR="003A401F" w:rsidRDefault="003A401F" w:rsidP="00850AD7">
      <w:pPr>
        <w:spacing w:line="240" w:lineRule="auto"/>
        <w:jc w:val="both"/>
        <w:rPr>
          <w:rFonts w:ascii="Arial" w:hAnsi="Arial" w:cs="Arial"/>
          <w:sz w:val="22"/>
          <w:szCs w:val="22"/>
        </w:rPr>
      </w:pPr>
      <w:r w:rsidRPr="003A401F">
        <w:rPr>
          <w:rFonts w:ascii="Arial" w:hAnsi="Arial" w:cs="Arial"/>
          <w:b/>
          <w:bCs/>
          <w:sz w:val="20"/>
          <w:szCs w:val="20"/>
        </w:rPr>
        <w:t xml:space="preserve">Table </w:t>
      </w:r>
      <w:r w:rsidR="004D4450">
        <w:rPr>
          <w:rFonts w:ascii="Arial" w:hAnsi="Arial" w:cs="Arial"/>
          <w:b/>
          <w:bCs/>
          <w:sz w:val="20"/>
          <w:szCs w:val="20"/>
        </w:rPr>
        <w:t>S</w:t>
      </w:r>
      <w:r w:rsidRPr="003A401F">
        <w:rPr>
          <w:rFonts w:ascii="Arial" w:hAnsi="Arial" w:cs="Arial"/>
          <w:b/>
          <w:bCs/>
          <w:sz w:val="20"/>
          <w:szCs w:val="20"/>
        </w:rPr>
        <w:t>8 | Leave-one-cancer-out (LOCO) mutation prediction performance.</w:t>
      </w:r>
      <w:r w:rsidRPr="003A401F">
        <w:rPr>
          <w:rFonts w:ascii="Arial" w:hAnsi="Arial" w:cs="Arial"/>
          <w:sz w:val="22"/>
          <w:szCs w:val="22"/>
        </w:rPr>
        <w:t xml:space="preserve"> </w:t>
      </w:r>
      <w:r w:rsidRPr="003A401F">
        <w:rPr>
          <w:rFonts w:ascii="Arial" w:hAnsi="Arial" w:cs="Arial"/>
          <w:sz w:val="16"/>
          <w:szCs w:val="16"/>
        </w:rPr>
        <w:t>Performance of GenoGlyph LOCO models, in which each model was trained on all available cancer types except the one being evaluated and then tested on the held-out cancer type without any exposure to that cancer's histology during training. Results demonstrate the degree to which GenoGlyph's learned morphological features are tissue-invariant and transferable across cancer types. For each gene–cancer type combination, the table reports AUC, accuracy, sensitivity, and specificity. Mean ± standard deviation values across held-out cancer types are reported for each gene. Higher LOCO performance indicates stronger cross-tissue generalizability of the mutation-associated morphological signature.</w:t>
      </w:r>
    </w:p>
    <w:tbl>
      <w:tblPr>
        <w:tblStyle w:val="GridTable5Dark"/>
        <w:tblW w:w="5000" w:type="pct"/>
        <w:tblLook w:val="04A0" w:firstRow="1" w:lastRow="0" w:firstColumn="1" w:lastColumn="0" w:noHBand="0" w:noVBand="1"/>
      </w:tblPr>
      <w:tblGrid>
        <w:gridCol w:w="1159"/>
        <w:gridCol w:w="1710"/>
        <w:gridCol w:w="1982"/>
        <w:gridCol w:w="1982"/>
        <w:gridCol w:w="1982"/>
        <w:gridCol w:w="1980"/>
      </w:tblGrid>
      <w:tr w:rsidR="004A5977" w:rsidRPr="004A5977" w14:paraId="4AA7DD71" w14:textId="77777777" w:rsidTr="00BE5F6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tcBorders>
              <w:left w:val="nil"/>
              <w:right w:val="single" w:sz="4" w:space="0" w:color="FFFFFF" w:themeColor="background1"/>
            </w:tcBorders>
            <w:shd w:val="clear" w:color="auto" w:fill="C00000"/>
            <w:noWrap/>
            <w:vAlign w:val="center"/>
            <w:hideMark/>
          </w:tcPr>
          <w:p w14:paraId="1C7F347C" w14:textId="77777777" w:rsidR="004A5977" w:rsidRPr="004A5977" w:rsidRDefault="004A5977" w:rsidP="004A5977">
            <w:pPr>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Gene</w:t>
            </w:r>
          </w:p>
        </w:tc>
        <w:tc>
          <w:tcPr>
            <w:tcW w:w="792" w:type="pct"/>
            <w:tcBorders>
              <w:left w:val="single" w:sz="4" w:space="0" w:color="FFFFFF" w:themeColor="background1"/>
              <w:right w:val="single" w:sz="4" w:space="0" w:color="FFFFFF" w:themeColor="background1"/>
            </w:tcBorders>
            <w:shd w:val="clear" w:color="auto" w:fill="C00000"/>
            <w:noWrap/>
            <w:vAlign w:val="center"/>
            <w:hideMark/>
          </w:tcPr>
          <w:p w14:paraId="570D3A29" w14:textId="77777777" w:rsidR="004A5977" w:rsidRPr="004A5977" w:rsidRDefault="004A5977" w:rsidP="004A597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Dataset</w:t>
            </w:r>
          </w:p>
        </w:tc>
        <w:tc>
          <w:tcPr>
            <w:tcW w:w="918" w:type="pct"/>
            <w:tcBorders>
              <w:left w:val="single" w:sz="4" w:space="0" w:color="FFFFFF" w:themeColor="background1"/>
              <w:right w:val="single" w:sz="4" w:space="0" w:color="FFFFFF" w:themeColor="background1"/>
            </w:tcBorders>
            <w:shd w:val="clear" w:color="auto" w:fill="C00000"/>
            <w:noWrap/>
            <w:vAlign w:val="center"/>
            <w:hideMark/>
          </w:tcPr>
          <w:p w14:paraId="2514B830" w14:textId="77777777" w:rsidR="004A5977" w:rsidRPr="004A5977" w:rsidRDefault="004A5977" w:rsidP="004A597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AUC</w:t>
            </w:r>
          </w:p>
        </w:tc>
        <w:tc>
          <w:tcPr>
            <w:tcW w:w="918" w:type="pct"/>
            <w:tcBorders>
              <w:left w:val="single" w:sz="4" w:space="0" w:color="FFFFFF" w:themeColor="background1"/>
              <w:right w:val="single" w:sz="4" w:space="0" w:color="FFFFFF" w:themeColor="background1"/>
            </w:tcBorders>
            <w:shd w:val="clear" w:color="auto" w:fill="C00000"/>
            <w:noWrap/>
            <w:vAlign w:val="center"/>
            <w:hideMark/>
          </w:tcPr>
          <w:p w14:paraId="26EACF1F" w14:textId="77777777" w:rsidR="004A5977" w:rsidRPr="004A5977" w:rsidRDefault="004A5977" w:rsidP="004A597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ACC</w:t>
            </w:r>
          </w:p>
        </w:tc>
        <w:tc>
          <w:tcPr>
            <w:tcW w:w="918" w:type="pct"/>
            <w:tcBorders>
              <w:left w:val="single" w:sz="4" w:space="0" w:color="FFFFFF" w:themeColor="background1"/>
              <w:right w:val="single" w:sz="4" w:space="0" w:color="FFFFFF" w:themeColor="background1"/>
            </w:tcBorders>
            <w:shd w:val="clear" w:color="auto" w:fill="C00000"/>
            <w:noWrap/>
            <w:vAlign w:val="center"/>
            <w:hideMark/>
          </w:tcPr>
          <w:p w14:paraId="1918AF42" w14:textId="77777777" w:rsidR="004A5977" w:rsidRPr="004A5977" w:rsidRDefault="004A5977" w:rsidP="004A597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SEN</w:t>
            </w:r>
          </w:p>
        </w:tc>
        <w:tc>
          <w:tcPr>
            <w:tcW w:w="917" w:type="pct"/>
            <w:tcBorders>
              <w:left w:val="single" w:sz="4" w:space="0" w:color="FFFFFF" w:themeColor="background1"/>
            </w:tcBorders>
            <w:shd w:val="clear" w:color="auto" w:fill="C00000"/>
            <w:noWrap/>
            <w:vAlign w:val="center"/>
            <w:hideMark/>
          </w:tcPr>
          <w:p w14:paraId="63082608" w14:textId="77777777" w:rsidR="004A5977" w:rsidRPr="004A5977" w:rsidRDefault="004A5977" w:rsidP="004A597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SPE</w:t>
            </w:r>
          </w:p>
        </w:tc>
      </w:tr>
      <w:tr w:rsidR="004A5977" w:rsidRPr="004A5977" w14:paraId="1CA3CF45"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222AA9AD" w14:textId="2F6EDDA1" w:rsidR="00B3243E" w:rsidRPr="00C3523E" w:rsidRDefault="00445CAB" w:rsidP="000F3835">
            <w:pPr>
              <w:rPr>
                <w:rFonts w:ascii="Arial" w:eastAsia="Times New Roman" w:hAnsi="Arial" w:cs="Arial"/>
                <w:b w:val="0"/>
                <w:bCs w:val="0"/>
                <w:i/>
                <w:iCs/>
                <w:kern w:val="0"/>
                <w:sz w:val="16"/>
                <w:szCs w:val="16"/>
                <w14:ligatures w14:val="none"/>
              </w:rPr>
            </w:pPr>
            <w:r w:rsidRPr="00445CAB">
              <w:rPr>
                <w:rFonts w:ascii="Arial" w:eastAsia="Times New Roman" w:hAnsi="Arial" w:cs="Arial"/>
                <w:i/>
                <w:iCs/>
                <w:kern w:val="0"/>
                <w:sz w:val="16"/>
                <w:szCs w:val="16"/>
                <w14:ligatures w14:val="none"/>
              </w:rPr>
              <w:t>APC</w:t>
            </w:r>
          </w:p>
          <w:p w14:paraId="24E71E68" w14:textId="50EB7FAE"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518633E7"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2A5F06EB"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0.887031</w:t>
            </w:r>
          </w:p>
        </w:tc>
        <w:tc>
          <w:tcPr>
            <w:tcW w:w="918" w:type="pct"/>
            <w:shd w:val="clear" w:color="auto" w:fill="D9D9D9" w:themeFill="background1" w:themeFillShade="D9"/>
            <w:noWrap/>
            <w:vAlign w:val="center"/>
            <w:hideMark/>
          </w:tcPr>
          <w:p w14:paraId="1A99247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0.820796</w:t>
            </w:r>
          </w:p>
        </w:tc>
        <w:tc>
          <w:tcPr>
            <w:tcW w:w="918" w:type="pct"/>
            <w:shd w:val="clear" w:color="auto" w:fill="D9D9D9" w:themeFill="background1" w:themeFillShade="D9"/>
            <w:noWrap/>
            <w:vAlign w:val="center"/>
            <w:hideMark/>
          </w:tcPr>
          <w:p w14:paraId="00189A76"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0.914286</w:t>
            </w:r>
          </w:p>
        </w:tc>
        <w:tc>
          <w:tcPr>
            <w:tcW w:w="917" w:type="pct"/>
            <w:shd w:val="clear" w:color="auto" w:fill="D9D9D9" w:themeFill="background1" w:themeFillShade="D9"/>
            <w:noWrap/>
            <w:vAlign w:val="center"/>
            <w:hideMark/>
          </w:tcPr>
          <w:p w14:paraId="4AEA614E"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7713E1E4"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53535AB0" w14:textId="2C865D1C"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FCAFCDC"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SKCM</w:t>
            </w:r>
          </w:p>
        </w:tc>
        <w:tc>
          <w:tcPr>
            <w:tcW w:w="918" w:type="pct"/>
            <w:shd w:val="clear" w:color="auto" w:fill="D9D9D9" w:themeFill="background1" w:themeFillShade="D9"/>
            <w:noWrap/>
            <w:vAlign w:val="center"/>
            <w:hideMark/>
          </w:tcPr>
          <w:p w14:paraId="3F68E631"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0.535135</w:t>
            </w:r>
          </w:p>
        </w:tc>
        <w:tc>
          <w:tcPr>
            <w:tcW w:w="918" w:type="pct"/>
            <w:shd w:val="clear" w:color="auto" w:fill="D9D9D9" w:themeFill="background1" w:themeFillShade="D9"/>
            <w:noWrap/>
            <w:vAlign w:val="center"/>
            <w:hideMark/>
          </w:tcPr>
          <w:p w14:paraId="3653BCB8"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0.962567</w:t>
            </w:r>
          </w:p>
        </w:tc>
        <w:tc>
          <w:tcPr>
            <w:tcW w:w="918" w:type="pct"/>
            <w:shd w:val="clear" w:color="auto" w:fill="D9D9D9" w:themeFill="background1" w:themeFillShade="D9"/>
            <w:noWrap/>
            <w:vAlign w:val="center"/>
            <w:hideMark/>
          </w:tcPr>
          <w:p w14:paraId="457BAD4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34B3F6E8"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0.967568</w:t>
            </w:r>
          </w:p>
        </w:tc>
      </w:tr>
      <w:tr w:rsidR="004A5977" w:rsidRPr="004A5977" w14:paraId="471B4ED5"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50CDF032" w14:textId="22074456"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7849E7C"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STAD</w:t>
            </w:r>
          </w:p>
        </w:tc>
        <w:tc>
          <w:tcPr>
            <w:tcW w:w="918" w:type="pct"/>
            <w:shd w:val="clear" w:color="auto" w:fill="D9D9D9" w:themeFill="background1" w:themeFillShade="D9"/>
            <w:noWrap/>
            <w:vAlign w:val="center"/>
            <w:hideMark/>
          </w:tcPr>
          <w:p w14:paraId="4D8F29D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0.530899</w:t>
            </w:r>
          </w:p>
        </w:tc>
        <w:tc>
          <w:tcPr>
            <w:tcW w:w="918" w:type="pct"/>
            <w:shd w:val="clear" w:color="auto" w:fill="D9D9D9" w:themeFill="background1" w:themeFillShade="D9"/>
            <w:noWrap/>
            <w:vAlign w:val="center"/>
            <w:hideMark/>
          </w:tcPr>
          <w:p w14:paraId="0845A874"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0.958333</w:t>
            </w:r>
          </w:p>
        </w:tc>
        <w:tc>
          <w:tcPr>
            <w:tcW w:w="918" w:type="pct"/>
            <w:shd w:val="clear" w:color="auto" w:fill="D9D9D9" w:themeFill="background1" w:themeFillShade="D9"/>
            <w:noWrap/>
            <w:vAlign w:val="center"/>
            <w:hideMark/>
          </w:tcPr>
          <w:p w14:paraId="735C2136"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307301DD"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0.963483</w:t>
            </w:r>
          </w:p>
        </w:tc>
      </w:tr>
      <w:tr w:rsidR="004A5977" w:rsidRPr="004A5977" w14:paraId="781EE92D"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DAC0928" w14:textId="20B2B877"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4BE8442F" w14:textId="40AE4CE2"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3420E2B3" w14:textId="79C84ED8"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0.6510 ± 0.2044</w:t>
            </w:r>
          </w:p>
        </w:tc>
        <w:tc>
          <w:tcPr>
            <w:tcW w:w="918" w:type="pct"/>
            <w:shd w:val="clear" w:color="auto" w:fill="D9D9D9" w:themeFill="background1" w:themeFillShade="D9"/>
            <w:noWrap/>
            <w:vAlign w:val="center"/>
            <w:hideMark/>
          </w:tcPr>
          <w:p w14:paraId="6CA5B960" w14:textId="14859F05"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0.9139 ± 0.0807</w:t>
            </w:r>
          </w:p>
        </w:tc>
        <w:tc>
          <w:tcPr>
            <w:tcW w:w="918" w:type="pct"/>
            <w:shd w:val="clear" w:color="auto" w:fill="D9D9D9" w:themeFill="background1" w:themeFillShade="D9"/>
            <w:noWrap/>
            <w:vAlign w:val="center"/>
            <w:hideMark/>
          </w:tcPr>
          <w:p w14:paraId="2CC59B9A" w14:textId="653241AE"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0.6381 ± 0.2392</w:t>
            </w:r>
          </w:p>
        </w:tc>
        <w:tc>
          <w:tcPr>
            <w:tcW w:w="917" w:type="pct"/>
            <w:shd w:val="clear" w:color="auto" w:fill="D9D9D9" w:themeFill="background1" w:themeFillShade="D9"/>
            <w:noWrap/>
            <w:vAlign w:val="center"/>
            <w:hideMark/>
          </w:tcPr>
          <w:p w14:paraId="33EF2303" w14:textId="540E9942"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0.8104 ± 0.2688</w:t>
            </w:r>
          </w:p>
        </w:tc>
      </w:tr>
      <w:tr w:rsidR="004A5977" w:rsidRPr="004A5977" w14:paraId="5626374E"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3CC59B4A" w14:textId="64CCD780" w:rsidR="00B3243E" w:rsidRPr="00C3523E" w:rsidRDefault="00445CAB" w:rsidP="000F3835">
            <w:pPr>
              <w:rPr>
                <w:rFonts w:ascii="Arial" w:eastAsia="Times New Roman" w:hAnsi="Arial" w:cs="Arial"/>
                <w:b w:val="0"/>
                <w:bCs w:val="0"/>
                <w:i/>
                <w:iCs/>
                <w:kern w:val="0"/>
                <w:sz w:val="16"/>
                <w:szCs w:val="16"/>
                <w14:ligatures w14:val="none"/>
              </w:rPr>
            </w:pPr>
            <w:r w:rsidRPr="00445CAB">
              <w:rPr>
                <w:rFonts w:ascii="Arial" w:eastAsia="Times New Roman" w:hAnsi="Arial" w:cs="Arial"/>
                <w:i/>
                <w:iCs/>
                <w:kern w:val="0"/>
                <w:sz w:val="16"/>
                <w:szCs w:val="16"/>
                <w14:ligatures w14:val="none"/>
              </w:rPr>
              <w:lastRenderedPageBreak/>
              <w:t>KRAS</w:t>
            </w:r>
          </w:p>
          <w:p w14:paraId="54E4614D" w14:textId="6902A74E"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5875ADD9"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20F5592A"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0.684805</w:t>
            </w:r>
          </w:p>
        </w:tc>
        <w:tc>
          <w:tcPr>
            <w:tcW w:w="918" w:type="pct"/>
            <w:shd w:val="clear" w:color="auto" w:fill="D9D9D9" w:themeFill="background1" w:themeFillShade="D9"/>
            <w:noWrap/>
            <w:vAlign w:val="center"/>
            <w:hideMark/>
          </w:tcPr>
          <w:p w14:paraId="7F6A62F1"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0.715152</w:t>
            </w:r>
          </w:p>
        </w:tc>
        <w:tc>
          <w:tcPr>
            <w:tcW w:w="918" w:type="pct"/>
            <w:shd w:val="clear" w:color="auto" w:fill="D9D9D9" w:themeFill="background1" w:themeFillShade="D9"/>
            <w:noWrap/>
            <w:vAlign w:val="center"/>
            <w:hideMark/>
          </w:tcPr>
          <w:p w14:paraId="2F62AAB8"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0.552632</w:t>
            </w:r>
          </w:p>
        </w:tc>
        <w:tc>
          <w:tcPr>
            <w:tcW w:w="917" w:type="pct"/>
            <w:shd w:val="clear" w:color="auto" w:fill="D9D9D9" w:themeFill="background1" w:themeFillShade="D9"/>
            <w:noWrap/>
            <w:vAlign w:val="center"/>
            <w:hideMark/>
          </w:tcPr>
          <w:p w14:paraId="773C0F5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0.787172</w:t>
            </w:r>
          </w:p>
        </w:tc>
      </w:tr>
      <w:tr w:rsidR="004A5977" w:rsidRPr="004A5977" w14:paraId="1B07510D"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132480FB" w14:textId="2E7217E3"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A74E842"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PAAD</w:t>
            </w:r>
          </w:p>
        </w:tc>
        <w:tc>
          <w:tcPr>
            <w:tcW w:w="918" w:type="pct"/>
            <w:shd w:val="clear" w:color="auto" w:fill="D9D9D9" w:themeFill="background1" w:themeFillShade="D9"/>
            <w:noWrap/>
            <w:vAlign w:val="center"/>
            <w:hideMark/>
          </w:tcPr>
          <w:p w14:paraId="6554723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0.864724</w:t>
            </w:r>
          </w:p>
        </w:tc>
        <w:tc>
          <w:tcPr>
            <w:tcW w:w="918" w:type="pct"/>
            <w:shd w:val="clear" w:color="auto" w:fill="D9D9D9" w:themeFill="background1" w:themeFillShade="D9"/>
            <w:noWrap/>
            <w:vAlign w:val="center"/>
            <w:hideMark/>
          </w:tcPr>
          <w:p w14:paraId="73ADE6B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0.874214</w:t>
            </w:r>
          </w:p>
        </w:tc>
        <w:tc>
          <w:tcPr>
            <w:tcW w:w="918" w:type="pct"/>
            <w:shd w:val="clear" w:color="auto" w:fill="D9D9D9" w:themeFill="background1" w:themeFillShade="D9"/>
            <w:noWrap/>
            <w:vAlign w:val="center"/>
            <w:hideMark/>
          </w:tcPr>
          <w:p w14:paraId="7178F2AA"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0.966942</w:t>
            </w:r>
          </w:p>
        </w:tc>
        <w:tc>
          <w:tcPr>
            <w:tcW w:w="917" w:type="pct"/>
            <w:shd w:val="clear" w:color="auto" w:fill="D9D9D9" w:themeFill="background1" w:themeFillShade="D9"/>
            <w:noWrap/>
            <w:vAlign w:val="center"/>
            <w:hideMark/>
          </w:tcPr>
          <w:p w14:paraId="48024B15"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0.578947</w:t>
            </w:r>
          </w:p>
        </w:tc>
      </w:tr>
      <w:tr w:rsidR="004A5977" w:rsidRPr="004A5977" w14:paraId="56E73209"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2BD3332" w14:textId="53BAA137"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2F61C5FA" w14:textId="4F1A6C24"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5231512E" w14:textId="43B381E3"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0.7748 ± 0.1272</w:t>
            </w:r>
          </w:p>
        </w:tc>
        <w:tc>
          <w:tcPr>
            <w:tcW w:w="918" w:type="pct"/>
            <w:shd w:val="clear" w:color="auto" w:fill="D9D9D9" w:themeFill="background1" w:themeFillShade="D9"/>
            <w:noWrap/>
            <w:vAlign w:val="center"/>
            <w:hideMark/>
          </w:tcPr>
          <w:p w14:paraId="49043331" w14:textId="588AAF04"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0.7947 ± 0.1125</w:t>
            </w:r>
          </w:p>
        </w:tc>
        <w:tc>
          <w:tcPr>
            <w:tcW w:w="918" w:type="pct"/>
            <w:shd w:val="clear" w:color="auto" w:fill="D9D9D9" w:themeFill="background1" w:themeFillShade="D9"/>
            <w:noWrap/>
            <w:vAlign w:val="center"/>
            <w:hideMark/>
          </w:tcPr>
          <w:p w14:paraId="412CC4B4" w14:textId="5B69063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0.7598 ± 0.2930</w:t>
            </w:r>
          </w:p>
        </w:tc>
        <w:tc>
          <w:tcPr>
            <w:tcW w:w="917" w:type="pct"/>
            <w:shd w:val="clear" w:color="auto" w:fill="D9D9D9" w:themeFill="background1" w:themeFillShade="D9"/>
            <w:noWrap/>
            <w:vAlign w:val="center"/>
            <w:hideMark/>
          </w:tcPr>
          <w:p w14:paraId="6D83086D" w14:textId="67205D0C"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0.6831 ± 0.1472</w:t>
            </w:r>
          </w:p>
        </w:tc>
      </w:tr>
      <w:tr w:rsidR="004A5977" w:rsidRPr="004A5977" w14:paraId="251BF5A5"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7E776798" w14:textId="0E09173A" w:rsidR="004A5977" w:rsidRPr="00C3523E" w:rsidRDefault="00445CAB" w:rsidP="004A5977">
            <w:pPr>
              <w:rPr>
                <w:rFonts w:ascii="Arial" w:eastAsia="Times New Roman" w:hAnsi="Arial" w:cs="Arial"/>
                <w:b w:val="0"/>
                <w:i/>
                <w:iCs/>
                <w:kern w:val="0"/>
                <w:sz w:val="16"/>
                <w:szCs w:val="16"/>
                <w14:ligatures w14:val="none"/>
              </w:rPr>
            </w:pPr>
            <w:r w:rsidRPr="00445CAB">
              <w:rPr>
                <w:rFonts w:ascii="Arial" w:eastAsia="Times New Roman" w:hAnsi="Arial" w:cs="Arial"/>
                <w:i/>
                <w:iCs/>
                <w:kern w:val="0"/>
                <w:sz w:val="16"/>
                <w:szCs w:val="16"/>
                <w14:ligatures w14:val="none"/>
              </w:rPr>
              <w:t>KMT2D</w:t>
            </w:r>
          </w:p>
        </w:tc>
        <w:tc>
          <w:tcPr>
            <w:tcW w:w="792" w:type="pct"/>
            <w:shd w:val="clear" w:color="auto" w:fill="C00000"/>
            <w:noWrap/>
            <w:vAlign w:val="center"/>
            <w:hideMark/>
          </w:tcPr>
          <w:p w14:paraId="45CE3ABD"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CESC</w:t>
            </w:r>
          </w:p>
        </w:tc>
        <w:tc>
          <w:tcPr>
            <w:tcW w:w="918" w:type="pct"/>
            <w:shd w:val="clear" w:color="auto" w:fill="D9D9D9" w:themeFill="background1" w:themeFillShade="D9"/>
            <w:noWrap/>
            <w:vAlign w:val="center"/>
            <w:hideMark/>
          </w:tcPr>
          <w:p w14:paraId="6B158946"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0.645736</w:t>
            </w:r>
          </w:p>
        </w:tc>
        <w:tc>
          <w:tcPr>
            <w:tcW w:w="918" w:type="pct"/>
            <w:shd w:val="clear" w:color="auto" w:fill="D9D9D9" w:themeFill="background1" w:themeFillShade="D9"/>
            <w:noWrap/>
            <w:vAlign w:val="center"/>
            <w:hideMark/>
          </w:tcPr>
          <w:p w14:paraId="3440320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0.617886</w:t>
            </w:r>
          </w:p>
        </w:tc>
        <w:tc>
          <w:tcPr>
            <w:tcW w:w="918" w:type="pct"/>
            <w:shd w:val="clear" w:color="auto" w:fill="D9D9D9" w:themeFill="background1" w:themeFillShade="D9"/>
            <w:noWrap/>
            <w:vAlign w:val="center"/>
            <w:hideMark/>
          </w:tcPr>
          <w:p w14:paraId="1DCAEF5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0.59375</w:t>
            </w:r>
          </w:p>
        </w:tc>
        <w:tc>
          <w:tcPr>
            <w:tcW w:w="917" w:type="pct"/>
            <w:shd w:val="clear" w:color="auto" w:fill="D9D9D9" w:themeFill="background1" w:themeFillShade="D9"/>
            <w:noWrap/>
            <w:vAlign w:val="center"/>
            <w:hideMark/>
          </w:tcPr>
          <w:p w14:paraId="0D4B843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0.621495</w:t>
            </w:r>
          </w:p>
        </w:tc>
      </w:tr>
      <w:tr w:rsidR="004A5977" w:rsidRPr="004A5977" w14:paraId="4D428F35"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3CAB6F3E" w14:textId="4A5A132A"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17D76F20"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1E426DE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0.845204</w:t>
            </w:r>
          </w:p>
        </w:tc>
        <w:tc>
          <w:tcPr>
            <w:tcW w:w="918" w:type="pct"/>
            <w:shd w:val="clear" w:color="auto" w:fill="D9D9D9" w:themeFill="background1" w:themeFillShade="D9"/>
            <w:noWrap/>
            <w:vAlign w:val="center"/>
            <w:hideMark/>
          </w:tcPr>
          <w:p w14:paraId="757FC21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0.851301</w:t>
            </w:r>
          </w:p>
        </w:tc>
        <w:tc>
          <w:tcPr>
            <w:tcW w:w="918" w:type="pct"/>
            <w:shd w:val="clear" w:color="auto" w:fill="D9D9D9" w:themeFill="background1" w:themeFillShade="D9"/>
            <w:noWrap/>
            <w:vAlign w:val="center"/>
            <w:hideMark/>
          </w:tcPr>
          <w:p w14:paraId="4146A20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0.692308</w:t>
            </w:r>
          </w:p>
        </w:tc>
        <w:tc>
          <w:tcPr>
            <w:tcW w:w="917" w:type="pct"/>
            <w:shd w:val="clear" w:color="auto" w:fill="D9D9D9" w:themeFill="background1" w:themeFillShade="D9"/>
            <w:noWrap/>
            <w:vAlign w:val="center"/>
            <w:hideMark/>
          </w:tcPr>
          <w:p w14:paraId="4DC30278"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0.868313</w:t>
            </w:r>
          </w:p>
        </w:tc>
      </w:tr>
      <w:tr w:rsidR="004A5977" w:rsidRPr="004A5977" w14:paraId="21B359BB"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D7CC763" w14:textId="3B4C7547"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6F9E05C"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HNSC</w:t>
            </w:r>
          </w:p>
        </w:tc>
        <w:tc>
          <w:tcPr>
            <w:tcW w:w="918" w:type="pct"/>
            <w:shd w:val="clear" w:color="auto" w:fill="D9D9D9" w:themeFill="background1" w:themeFillShade="D9"/>
            <w:noWrap/>
            <w:vAlign w:val="center"/>
            <w:hideMark/>
          </w:tcPr>
          <w:p w14:paraId="74DE8B36"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0.568174</w:t>
            </w:r>
          </w:p>
        </w:tc>
        <w:tc>
          <w:tcPr>
            <w:tcW w:w="918" w:type="pct"/>
            <w:shd w:val="clear" w:color="auto" w:fill="D9D9D9" w:themeFill="background1" w:themeFillShade="D9"/>
            <w:noWrap/>
            <w:vAlign w:val="center"/>
            <w:hideMark/>
          </w:tcPr>
          <w:p w14:paraId="188F7A0D"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0.593443</w:t>
            </w:r>
          </w:p>
        </w:tc>
        <w:tc>
          <w:tcPr>
            <w:tcW w:w="918" w:type="pct"/>
            <w:shd w:val="clear" w:color="auto" w:fill="D9D9D9" w:themeFill="background1" w:themeFillShade="D9"/>
            <w:noWrap/>
            <w:vAlign w:val="center"/>
            <w:hideMark/>
          </w:tcPr>
          <w:p w14:paraId="5349F9B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0.5625</w:t>
            </w:r>
          </w:p>
        </w:tc>
        <w:tc>
          <w:tcPr>
            <w:tcW w:w="917" w:type="pct"/>
            <w:shd w:val="clear" w:color="auto" w:fill="D9D9D9" w:themeFill="background1" w:themeFillShade="D9"/>
            <w:noWrap/>
            <w:vAlign w:val="center"/>
            <w:hideMark/>
          </w:tcPr>
          <w:p w14:paraId="57FD0B9D"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0.599222</w:t>
            </w:r>
          </w:p>
        </w:tc>
      </w:tr>
      <w:tr w:rsidR="004A5977" w:rsidRPr="004A5977" w14:paraId="6843B7C8"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88630A6" w14:textId="421499DC"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4F0548B7"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LUSC</w:t>
            </w:r>
          </w:p>
        </w:tc>
        <w:tc>
          <w:tcPr>
            <w:tcW w:w="918" w:type="pct"/>
            <w:shd w:val="clear" w:color="auto" w:fill="D9D9D9" w:themeFill="background1" w:themeFillShade="D9"/>
            <w:noWrap/>
            <w:vAlign w:val="center"/>
            <w:hideMark/>
          </w:tcPr>
          <w:p w14:paraId="1BD69830"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0.633322</w:t>
            </w:r>
          </w:p>
        </w:tc>
        <w:tc>
          <w:tcPr>
            <w:tcW w:w="918" w:type="pct"/>
            <w:shd w:val="clear" w:color="auto" w:fill="D9D9D9" w:themeFill="background1" w:themeFillShade="D9"/>
            <w:noWrap/>
            <w:vAlign w:val="center"/>
            <w:hideMark/>
          </w:tcPr>
          <w:p w14:paraId="129932F2"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0.565445</w:t>
            </w:r>
          </w:p>
        </w:tc>
        <w:tc>
          <w:tcPr>
            <w:tcW w:w="918" w:type="pct"/>
            <w:shd w:val="clear" w:color="auto" w:fill="D9D9D9" w:themeFill="background1" w:themeFillShade="D9"/>
            <w:noWrap/>
            <w:vAlign w:val="center"/>
            <w:hideMark/>
          </w:tcPr>
          <w:p w14:paraId="1A4428A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w:t>
            </w:r>
          </w:p>
        </w:tc>
        <w:tc>
          <w:tcPr>
            <w:tcW w:w="917" w:type="pct"/>
            <w:shd w:val="clear" w:color="auto" w:fill="D9D9D9" w:themeFill="background1" w:themeFillShade="D9"/>
            <w:noWrap/>
            <w:vAlign w:val="center"/>
            <w:hideMark/>
          </w:tcPr>
          <w:p w14:paraId="43D89E75"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0.511029</w:t>
            </w:r>
          </w:p>
        </w:tc>
      </w:tr>
      <w:tr w:rsidR="004A5977" w:rsidRPr="004A5977" w14:paraId="781BA272"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8EE663A" w14:textId="6659453E"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CD46822"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SKCM</w:t>
            </w:r>
          </w:p>
        </w:tc>
        <w:tc>
          <w:tcPr>
            <w:tcW w:w="918" w:type="pct"/>
            <w:shd w:val="clear" w:color="auto" w:fill="D9D9D9" w:themeFill="background1" w:themeFillShade="D9"/>
            <w:noWrap/>
            <w:vAlign w:val="center"/>
            <w:hideMark/>
          </w:tcPr>
          <w:p w14:paraId="436C59F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0.60453</w:t>
            </w:r>
          </w:p>
        </w:tc>
        <w:tc>
          <w:tcPr>
            <w:tcW w:w="918" w:type="pct"/>
            <w:shd w:val="clear" w:color="auto" w:fill="D9D9D9" w:themeFill="background1" w:themeFillShade="D9"/>
            <w:noWrap/>
            <w:vAlign w:val="center"/>
            <w:hideMark/>
          </w:tcPr>
          <w:p w14:paraId="2EC54C2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0.538922</w:t>
            </w:r>
          </w:p>
        </w:tc>
        <w:tc>
          <w:tcPr>
            <w:tcW w:w="918" w:type="pct"/>
            <w:shd w:val="clear" w:color="auto" w:fill="D9D9D9" w:themeFill="background1" w:themeFillShade="D9"/>
            <w:noWrap/>
            <w:vAlign w:val="center"/>
            <w:hideMark/>
          </w:tcPr>
          <w:p w14:paraId="620736B4"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0.658537</w:t>
            </w:r>
          </w:p>
        </w:tc>
        <w:tc>
          <w:tcPr>
            <w:tcW w:w="917" w:type="pct"/>
            <w:shd w:val="clear" w:color="auto" w:fill="D9D9D9" w:themeFill="background1" w:themeFillShade="D9"/>
            <w:noWrap/>
            <w:vAlign w:val="center"/>
            <w:hideMark/>
          </w:tcPr>
          <w:p w14:paraId="49CA7C9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1B91CEE7"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5733E294" w14:textId="28F79A17"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C8828A5"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STAD</w:t>
            </w:r>
          </w:p>
        </w:tc>
        <w:tc>
          <w:tcPr>
            <w:tcW w:w="918" w:type="pct"/>
            <w:shd w:val="clear" w:color="auto" w:fill="D9D9D9" w:themeFill="background1" w:themeFillShade="D9"/>
            <w:noWrap/>
            <w:vAlign w:val="center"/>
            <w:hideMark/>
          </w:tcPr>
          <w:p w14:paraId="3506404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0.713593</w:t>
            </w:r>
          </w:p>
        </w:tc>
        <w:tc>
          <w:tcPr>
            <w:tcW w:w="918" w:type="pct"/>
            <w:shd w:val="clear" w:color="auto" w:fill="D9D9D9" w:themeFill="background1" w:themeFillShade="D9"/>
            <w:noWrap/>
            <w:vAlign w:val="center"/>
            <w:hideMark/>
          </w:tcPr>
          <w:p w14:paraId="4BDD6EB0"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0.785166</w:t>
            </w:r>
          </w:p>
        </w:tc>
        <w:tc>
          <w:tcPr>
            <w:tcW w:w="918" w:type="pct"/>
            <w:shd w:val="clear" w:color="auto" w:fill="D9D9D9" w:themeFill="background1" w:themeFillShade="D9"/>
            <w:noWrap/>
            <w:vAlign w:val="center"/>
            <w:hideMark/>
          </w:tcPr>
          <w:p w14:paraId="08EC2FEE"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0.589286</w:t>
            </w:r>
          </w:p>
        </w:tc>
        <w:tc>
          <w:tcPr>
            <w:tcW w:w="917" w:type="pct"/>
            <w:shd w:val="clear" w:color="auto" w:fill="D9D9D9" w:themeFill="background1" w:themeFillShade="D9"/>
            <w:noWrap/>
            <w:vAlign w:val="center"/>
            <w:hideMark/>
          </w:tcPr>
          <w:p w14:paraId="67F776B4"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0.81791</w:t>
            </w:r>
          </w:p>
        </w:tc>
      </w:tr>
      <w:tr w:rsidR="004A5977" w:rsidRPr="004A5977" w14:paraId="18EFA8B9"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43BB42E4" w14:textId="211520A9"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2020FE8" w14:textId="5F9E72DE"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4E41E2FD" w14:textId="5CA9A2DC"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0.6684 ± 0.0992</w:t>
            </w:r>
          </w:p>
        </w:tc>
        <w:tc>
          <w:tcPr>
            <w:tcW w:w="918" w:type="pct"/>
            <w:shd w:val="clear" w:color="auto" w:fill="D9D9D9" w:themeFill="background1" w:themeFillShade="D9"/>
            <w:noWrap/>
            <w:vAlign w:val="center"/>
            <w:hideMark/>
          </w:tcPr>
          <w:p w14:paraId="50ADF294" w14:textId="72D9C78E"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0.6587 ± 0.1281</w:t>
            </w:r>
          </w:p>
        </w:tc>
        <w:tc>
          <w:tcPr>
            <w:tcW w:w="918" w:type="pct"/>
            <w:shd w:val="clear" w:color="auto" w:fill="D9D9D9" w:themeFill="background1" w:themeFillShade="D9"/>
            <w:noWrap/>
            <w:vAlign w:val="center"/>
            <w:hideMark/>
          </w:tcPr>
          <w:p w14:paraId="3C3FFC78" w14:textId="27C99989"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0.6327 ± 0.0584</w:t>
            </w:r>
          </w:p>
        </w:tc>
        <w:tc>
          <w:tcPr>
            <w:tcW w:w="917" w:type="pct"/>
            <w:shd w:val="clear" w:color="auto" w:fill="D9D9D9" w:themeFill="background1" w:themeFillShade="D9"/>
            <w:noWrap/>
            <w:vAlign w:val="center"/>
            <w:hideMark/>
          </w:tcPr>
          <w:p w14:paraId="7DC5663A" w14:textId="7C13D57D"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0.6530 ± 0.1556</w:t>
            </w:r>
          </w:p>
        </w:tc>
      </w:tr>
      <w:tr w:rsidR="004A5977" w:rsidRPr="004A5977" w14:paraId="50704826"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3D28792E" w14:textId="541E47EC" w:rsidR="004A5977" w:rsidRPr="00C3523E" w:rsidRDefault="00445CAB" w:rsidP="004A5977">
            <w:pPr>
              <w:rPr>
                <w:rFonts w:ascii="Arial" w:eastAsia="Times New Roman" w:hAnsi="Arial" w:cs="Arial"/>
                <w:b w:val="0"/>
                <w:i/>
                <w:iCs/>
                <w:kern w:val="0"/>
                <w:sz w:val="16"/>
                <w:szCs w:val="16"/>
                <w14:ligatures w14:val="none"/>
              </w:rPr>
            </w:pPr>
            <w:r w:rsidRPr="00445CAB">
              <w:rPr>
                <w:rFonts w:ascii="Arial" w:eastAsia="Times New Roman" w:hAnsi="Arial" w:cs="Arial"/>
                <w:i/>
                <w:iCs/>
                <w:kern w:val="0"/>
                <w:sz w:val="16"/>
                <w:szCs w:val="16"/>
                <w14:ligatures w14:val="none"/>
              </w:rPr>
              <w:t>PIK3CA</w:t>
            </w:r>
          </w:p>
        </w:tc>
        <w:tc>
          <w:tcPr>
            <w:tcW w:w="792" w:type="pct"/>
            <w:shd w:val="clear" w:color="auto" w:fill="C00000"/>
            <w:noWrap/>
            <w:vAlign w:val="center"/>
            <w:hideMark/>
          </w:tcPr>
          <w:p w14:paraId="54BDA77C"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BRCA</w:t>
            </w:r>
          </w:p>
        </w:tc>
        <w:tc>
          <w:tcPr>
            <w:tcW w:w="918" w:type="pct"/>
            <w:shd w:val="clear" w:color="auto" w:fill="D9D9D9" w:themeFill="background1" w:themeFillShade="D9"/>
            <w:noWrap/>
            <w:vAlign w:val="center"/>
            <w:hideMark/>
          </w:tcPr>
          <w:p w14:paraId="4940072F"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0.780973</w:t>
            </w:r>
          </w:p>
        </w:tc>
        <w:tc>
          <w:tcPr>
            <w:tcW w:w="918" w:type="pct"/>
            <w:shd w:val="clear" w:color="auto" w:fill="D9D9D9" w:themeFill="background1" w:themeFillShade="D9"/>
            <w:noWrap/>
            <w:vAlign w:val="center"/>
            <w:hideMark/>
          </w:tcPr>
          <w:p w14:paraId="386074B6"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0.653753</w:t>
            </w:r>
          </w:p>
        </w:tc>
        <w:tc>
          <w:tcPr>
            <w:tcW w:w="918" w:type="pct"/>
            <w:shd w:val="clear" w:color="auto" w:fill="D9D9D9" w:themeFill="background1" w:themeFillShade="D9"/>
            <w:noWrap/>
            <w:vAlign w:val="center"/>
            <w:hideMark/>
          </w:tcPr>
          <w:p w14:paraId="676A2D6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0.839335</w:t>
            </w:r>
          </w:p>
        </w:tc>
        <w:tc>
          <w:tcPr>
            <w:tcW w:w="917" w:type="pct"/>
            <w:shd w:val="clear" w:color="auto" w:fill="D9D9D9" w:themeFill="background1" w:themeFillShade="D9"/>
            <w:noWrap/>
            <w:vAlign w:val="center"/>
            <w:hideMark/>
          </w:tcPr>
          <w:p w14:paraId="6F5CA69A"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0.509677</w:t>
            </w:r>
          </w:p>
        </w:tc>
      </w:tr>
      <w:tr w:rsidR="004A5977" w:rsidRPr="004A5977" w14:paraId="7ED0234E"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E8CAA59" w14:textId="3FFAD76C"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57022A6"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CESC</w:t>
            </w:r>
          </w:p>
        </w:tc>
        <w:tc>
          <w:tcPr>
            <w:tcW w:w="918" w:type="pct"/>
            <w:shd w:val="clear" w:color="auto" w:fill="D9D9D9" w:themeFill="background1" w:themeFillShade="D9"/>
            <w:noWrap/>
            <w:vAlign w:val="center"/>
            <w:hideMark/>
          </w:tcPr>
          <w:p w14:paraId="6F538C7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0.617145</w:t>
            </w:r>
          </w:p>
        </w:tc>
        <w:tc>
          <w:tcPr>
            <w:tcW w:w="918" w:type="pct"/>
            <w:shd w:val="clear" w:color="auto" w:fill="D9D9D9" w:themeFill="background1" w:themeFillShade="D9"/>
            <w:noWrap/>
            <w:vAlign w:val="center"/>
            <w:hideMark/>
          </w:tcPr>
          <w:p w14:paraId="7341BD4C"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0.705628</w:t>
            </w:r>
          </w:p>
        </w:tc>
        <w:tc>
          <w:tcPr>
            <w:tcW w:w="918" w:type="pct"/>
            <w:shd w:val="clear" w:color="auto" w:fill="D9D9D9" w:themeFill="background1" w:themeFillShade="D9"/>
            <w:noWrap/>
            <w:vAlign w:val="center"/>
            <w:hideMark/>
          </w:tcPr>
          <w:p w14:paraId="3C0812C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0.5625</w:t>
            </w:r>
          </w:p>
        </w:tc>
        <w:tc>
          <w:tcPr>
            <w:tcW w:w="917" w:type="pct"/>
            <w:shd w:val="clear" w:color="auto" w:fill="D9D9D9" w:themeFill="background1" w:themeFillShade="D9"/>
            <w:noWrap/>
            <w:vAlign w:val="center"/>
            <w:hideMark/>
          </w:tcPr>
          <w:p w14:paraId="1CC64EF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0.743169</w:t>
            </w:r>
          </w:p>
        </w:tc>
      </w:tr>
      <w:tr w:rsidR="004A5977" w:rsidRPr="004A5977" w14:paraId="4A993924"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11E775C7" w14:textId="43FD8644"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79E124E"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283E01B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0.519186</w:t>
            </w:r>
          </w:p>
        </w:tc>
        <w:tc>
          <w:tcPr>
            <w:tcW w:w="918" w:type="pct"/>
            <w:shd w:val="clear" w:color="auto" w:fill="D9D9D9" w:themeFill="background1" w:themeFillShade="D9"/>
            <w:noWrap/>
            <w:vAlign w:val="center"/>
            <w:hideMark/>
          </w:tcPr>
          <w:p w14:paraId="6DD484A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0.518939</w:t>
            </w:r>
          </w:p>
        </w:tc>
        <w:tc>
          <w:tcPr>
            <w:tcW w:w="918" w:type="pct"/>
            <w:shd w:val="clear" w:color="auto" w:fill="D9D9D9" w:themeFill="background1" w:themeFillShade="D9"/>
            <w:noWrap/>
            <w:vAlign w:val="center"/>
            <w:hideMark/>
          </w:tcPr>
          <w:p w14:paraId="0CF2A75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0.51938</w:t>
            </w:r>
          </w:p>
        </w:tc>
        <w:tc>
          <w:tcPr>
            <w:tcW w:w="917" w:type="pct"/>
            <w:shd w:val="clear" w:color="auto" w:fill="D9D9D9" w:themeFill="background1" w:themeFillShade="D9"/>
            <w:noWrap/>
            <w:vAlign w:val="center"/>
            <w:hideMark/>
          </w:tcPr>
          <w:p w14:paraId="540B250D"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0.518797</w:t>
            </w:r>
          </w:p>
        </w:tc>
      </w:tr>
      <w:tr w:rsidR="004A5977" w:rsidRPr="004A5977" w14:paraId="6ECF8BBA"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331F69D" w14:textId="3B022F32"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5ECECB63"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HNSC</w:t>
            </w:r>
          </w:p>
        </w:tc>
        <w:tc>
          <w:tcPr>
            <w:tcW w:w="918" w:type="pct"/>
            <w:shd w:val="clear" w:color="auto" w:fill="D9D9D9" w:themeFill="background1" w:themeFillShade="D9"/>
            <w:noWrap/>
            <w:vAlign w:val="center"/>
            <w:hideMark/>
          </w:tcPr>
          <w:p w14:paraId="22289E3C"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0.530233</w:t>
            </w:r>
          </w:p>
        </w:tc>
        <w:tc>
          <w:tcPr>
            <w:tcW w:w="918" w:type="pct"/>
            <w:shd w:val="clear" w:color="auto" w:fill="D9D9D9" w:themeFill="background1" w:themeFillShade="D9"/>
            <w:noWrap/>
            <w:vAlign w:val="center"/>
            <w:hideMark/>
          </w:tcPr>
          <w:p w14:paraId="0B4B1B9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0.86194</w:t>
            </w:r>
          </w:p>
        </w:tc>
        <w:tc>
          <w:tcPr>
            <w:tcW w:w="918" w:type="pct"/>
            <w:shd w:val="clear" w:color="auto" w:fill="D9D9D9" w:themeFill="background1" w:themeFillShade="D9"/>
            <w:noWrap/>
            <w:vAlign w:val="center"/>
            <w:hideMark/>
          </w:tcPr>
          <w:p w14:paraId="5B6F6299"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5B267E7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0.875969</w:t>
            </w:r>
          </w:p>
        </w:tc>
      </w:tr>
      <w:tr w:rsidR="004A5977" w:rsidRPr="004A5977" w14:paraId="1A918EF9"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B304440" w14:textId="3EE7094B"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5B71174"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LUSC</w:t>
            </w:r>
          </w:p>
        </w:tc>
        <w:tc>
          <w:tcPr>
            <w:tcW w:w="918" w:type="pct"/>
            <w:shd w:val="clear" w:color="auto" w:fill="D9D9D9" w:themeFill="background1" w:themeFillShade="D9"/>
            <w:noWrap/>
            <w:vAlign w:val="center"/>
            <w:hideMark/>
          </w:tcPr>
          <w:p w14:paraId="3C1B4794"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0.60325</w:t>
            </w:r>
          </w:p>
        </w:tc>
        <w:tc>
          <w:tcPr>
            <w:tcW w:w="918" w:type="pct"/>
            <w:shd w:val="clear" w:color="auto" w:fill="D9D9D9" w:themeFill="background1" w:themeFillShade="D9"/>
            <w:noWrap/>
            <w:vAlign w:val="center"/>
            <w:hideMark/>
          </w:tcPr>
          <w:p w14:paraId="7D95D7E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0.889908</w:t>
            </w:r>
          </w:p>
        </w:tc>
        <w:tc>
          <w:tcPr>
            <w:tcW w:w="918" w:type="pct"/>
            <w:shd w:val="clear" w:color="auto" w:fill="D9D9D9" w:themeFill="background1" w:themeFillShade="D9"/>
            <w:noWrap/>
            <w:vAlign w:val="center"/>
            <w:hideMark/>
          </w:tcPr>
          <w:p w14:paraId="78896CC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4B1FB5E2"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0.902844</w:t>
            </w:r>
          </w:p>
        </w:tc>
      </w:tr>
      <w:tr w:rsidR="004A5977" w:rsidRPr="004A5977" w14:paraId="170C148E"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5D26A133" w14:textId="560FFEC8"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2E030AF4"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STAD</w:t>
            </w:r>
          </w:p>
        </w:tc>
        <w:tc>
          <w:tcPr>
            <w:tcW w:w="918" w:type="pct"/>
            <w:shd w:val="clear" w:color="auto" w:fill="D9D9D9" w:themeFill="background1" w:themeFillShade="D9"/>
            <w:noWrap/>
            <w:vAlign w:val="center"/>
            <w:hideMark/>
          </w:tcPr>
          <w:p w14:paraId="241858F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0.723893</w:t>
            </w:r>
          </w:p>
        </w:tc>
        <w:tc>
          <w:tcPr>
            <w:tcW w:w="918" w:type="pct"/>
            <w:shd w:val="clear" w:color="auto" w:fill="D9D9D9" w:themeFill="background1" w:themeFillShade="D9"/>
            <w:noWrap/>
            <w:vAlign w:val="center"/>
            <w:hideMark/>
          </w:tcPr>
          <w:p w14:paraId="5518BE9C"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0.864721</w:t>
            </w:r>
          </w:p>
        </w:tc>
        <w:tc>
          <w:tcPr>
            <w:tcW w:w="918" w:type="pct"/>
            <w:shd w:val="clear" w:color="auto" w:fill="D9D9D9" w:themeFill="background1" w:themeFillShade="D9"/>
            <w:noWrap/>
            <w:vAlign w:val="center"/>
            <w:hideMark/>
          </w:tcPr>
          <w:p w14:paraId="31555531"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0.543478</w:t>
            </w:r>
          </w:p>
        </w:tc>
        <w:tc>
          <w:tcPr>
            <w:tcW w:w="917" w:type="pct"/>
            <w:shd w:val="clear" w:color="auto" w:fill="D9D9D9" w:themeFill="background1" w:themeFillShade="D9"/>
            <w:noWrap/>
            <w:vAlign w:val="center"/>
            <w:hideMark/>
          </w:tcPr>
          <w:p w14:paraId="31B20F9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0.909366</w:t>
            </w:r>
          </w:p>
        </w:tc>
      </w:tr>
      <w:tr w:rsidR="004A5977" w:rsidRPr="004A5977" w14:paraId="483CBE00"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457D4E1F" w14:textId="7AD9C50B"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32AE07D" w14:textId="1FF20982"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5BFEEFD1" w14:textId="236385B0"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0.6291 ± 0.1046</w:t>
            </w:r>
          </w:p>
        </w:tc>
        <w:tc>
          <w:tcPr>
            <w:tcW w:w="918" w:type="pct"/>
            <w:shd w:val="clear" w:color="auto" w:fill="D9D9D9" w:themeFill="background1" w:themeFillShade="D9"/>
            <w:noWrap/>
            <w:vAlign w:val="center"/>
            <w:hideMark/>
          </w:tcPr>
          <w:p w14:paraId="5E4313AB" w14:textId="3C0C7306"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0.7491 ± 0.1482</w:t>
            </w:r>
          </w:p>
        </w:tc>
        <w:tc>
          <w:tcPr>
            <w:tcW w:w="918" w:type="pct"/>
            <w:shd w:val="clear" w:color="auto" w:fill="D9D9D9" w:themeFill="background1" w:themeFillShade="D9"/>
            <w:noWrap/>
            <w:vAlign w:val="center"/>
            <w:hideMark/>
          </w:tcPr>
          <w:p w14:paraId="4E5672CB" w14:textId="44A58EF6"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0.5774 ± 0.1306</w:t>
            </w:r>
          </w:p>
        </w:tc>
        <w:tc>
          <w:tcPr>
            <w:tcW w:w="917" w:type="pct"/>
            <w:shd w:val="clear" w:color="auto" w:fill="D9D9D9" w:themeFill="background1" w:themeFillShade="D9"/>
            <w:noWrap/>
            <w:vAlign w:val="center"/>
            <w:hideMark/>
          </w:tcPr>
          <w:p w14:paraId="657EB042" w14:textId="1E6A4EC8"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0.7433 ± 0.1874</w:t>
            </w:r>
          </w:p>
        </w:tc>
      </w:tr>
      <w:tr w:rsidR="004A5977" w:rsidRPr="004A5977" w14:paraId="5D33A166"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2642C03C" w14:textId="2BB017B4" w:rsidR="00B3243E" w:rsidRPr="00C3523E" w:rsidRDefault="00445CAB" w:rsidP="00B3243E">
            <w:pPr>
              <w:rPr>
                <w:rFonts w:ascii="Arial" w:eastAsia="Times New Roman" w:hAnsi="Arial" w:cs="Arial"/>
                <w:b w:val="0"/>
                <w:bCs w:val="0"/>
                <w:i/>
                <w:iCs/>
                <w:kern w:val="0"/>
                <w:sz w:val="16"/>
                <w:szCs w:val="16"/>
                <w14:ligatures w14:val="none"/>
              </w:rPr>
            </w:pPr>
            <w:r w:rsidRPr="00445CAB">
              <w:rPr>
                <w:rFonts w:ascii="Arial" w:eastAsia="Times New Roman" w:hAnsi="Arial" w:cs="Arial"/>
                <w:i/>
                <w:iCs/>
                <w:kern w:val="0"/>
                <w:sz w:val="16"/>
                <w:szCs w:val="16"/>
                <w14:ligatures w14:val="none"/>
              </w:rPr>
              <w:t>TTN</w:t>
            </w:r>
          </w:p>
          <w:p w14:paraId="5D51E0A9" w14:textId="27753042"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2924AB5B"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BRCA</w:t>
            </w:r>
          </w:p>
        </w:tc>
        <w:tc>
          <w:tcPr>
            <w:tcW w:w="918" w:type="pct"/>
            <w:shd w:val="clear" w:color="auto" w:fill="D9D9D9" w:themeFill="background1" w:themeFillShade="D9"/>
            <w:noWrap/>
            <w:vAlign w:val="center"/>
            <w:hideMark/>
          </w:tcPr>
          <w:p w14:paraId="5623050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0.51631</w:t>
            </w:r>
          </w:p>
        </w:tc>
        <w:tc>
          <w:tcPr>
            <w:tcW w:w="918" w:type="pct"/>
            <w:shd w:val="clear" w:color="auto" w:fill="D9D9D9" w:themeFill="background1" w:themeFillShade="D9"/>
            <w:noWrap/>
            <w:vAlign w:val="center"/>
            <w:hideMark/>
          </w:tcPr>
          <w:p w14:paraId="1884CF5D"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0.97306</w:t>
            </w:r>
          </w:p>
        </w:tc>
        <w:tc>
          <w:tcPr>
            <w:tcW w:w="918" w:type="pct"/>
            <w:shd w:val="clear" w:color="auto" w:fill="D9D9D9" w:themeFill="background1" w:themeFillShade="D9"/>
            <w:noWrap/>
            <w:vAlign w:val="center"/>
            <w:hideMark/>
          </w:tcPr>
          <w:p w14:paraId="3A13D2E4"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258E3FD5"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0.98136</w:t>
            </w:r>
          </w:p>
        </w:tc>
      </w:tr>
      <w:tr w:rsidR="004A5977" w:rsidRPr="004A5977" w14:paraId="3BE9200B"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0C3A9C9" w14:textId="7CE12322"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D5554CC"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CESC</w:t>
            </w:r>
          </w:p>
        </w:tc>
        <w:tc>
          <w:tcPr>
            <w:tcW w:w="918" w:type="pct"/>
            <w:shd w:val="clear" w:color="auto" w:fill="D9D9D9" w:themeFill="background1" w:themeFillShade="D9"/>
            <w:noWrap/>
            <w:vAlign w:val="center"/>
            <w:hideMark/>
          </w:tcPr>
          <w:p w14:paraId="08029DD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0.628743</w:t>
            </w:r>
          </w:p>
        </w:tc>
        <w:tc>
          <w:tcPr>
            <w:tcW w:w="918" w:type="pct"/>
            <w:shd w:val="clear" w:color="auto" w:fill="D9D9D9" w:themeFill="background1" w:themeFillShade="D9"/>
            <w:noWrap/>
            <w:vAlign w:val="center"/>
            <w:hideMark/>
          </w:tcPr>
          <w:p w14:paraId="676E085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0.558376</w:t>
            </w:r>
          </w:p>
        </w:tc>
        <w:tc>
          <w:tcPr>
            <w:tcW w:w="918" w:type="pct"/>
            <w:shd w:val="clear" w:color="auto" w:fill="D9D9D9" w:themeFill="background1" w:themeFillShade="D9"/>
            <w:noWrap/>
            <w:vAlign w:val="center"/>
            <w:hideMark/>
          </w:tcPr>
          <w:p w14:paraId="0343A7AA"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0.653333</w:t>
            </w:r>
          </w:p>
        </w:tc>
        <w:tc>
          <w:tcPr>
            <w:tcW w:w="917" w:type="pct"/>
            <w:shd w:val="clear" w:color="auto" w:fill="D9D9D9" w:themeFill="background1" w:themeFillShade="D9"/>
            <w:noWrap/>
            <w:vAlign w:val="center"/>
            <w:hideMark/>
          </w:tcPr>
          <w:p w14:paraId="5583C9FF"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3A8769F2"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97F1FC2" w14:textId="515A837B"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1CF2468C"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48A09A73"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0.572537</w:t>
            </w:r>
          </w:p>
        </w:tc>
        <w:tc>
          <w:tcPr>
            <w:tcW w:w="918" w:type="pct"/>
            <w:shd w:val="clear" w:color="auto" w:fill="D9D9D9" w:themeFill="background1" w:themeFillShade="D9"/>
            <w:noWrap/>
            <w:vAlign w:val="center"/>
            <w:hideMark/>
          </w:tcPr>
          <w:p w14:paraId="5451F8E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0.562249</w:t>
            </w:r>
          </w:p>
        </w:tc>
        <w:tc>
          <w:tcPr>
            <w:tcW w:w="918" w:type="pct"/>
            <w:shd w:val="clear" w:color="auto" w:fill="D9D9D9" w:themeFill="background1" w:themeFillShade="D9"/>
            <w:noWrap/>
            <w:vAlign w:val="center"/>
            <w:hideMark/>
          </w:tcPr>
          <w:p w14:paraId="67C7A36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0.61991</w:t>
            </w:r>
          </w:p>
        </w:tc>
        <w:tc>
          <w:tcPr>
            <w:tcW w:w="917" w:type="pct"/>
            <w:shd w:val="clear" w:color="auto" w:fill="D9D9D9" w:themeFill="background1" w:themeFillShade="D9"/>
            <w:noWrap/>
            <w:vAlign w:val="center"/>
            <w:hideMark/>
          </w:tcPr>
          <w:p w14:paraId="70D51B5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0.516245</w:t>
            </w:r>
          </w:p>
        </w:tc>
      </w:tr>
      <w:tr w:rsidR="004A5977" w:rsidRPr="004A5977" w14:paraId="5C720AD0"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7F8345D" w14:textId="3ED1B51F"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7FDD09F"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HNSC</w:t>
            </w:r>
          </w:p>
        </w:tc>
        <w:tc>
          <w:tcPr>
            <w:tcW w:w="918" w:type="pct"/>
            <w:shd w:val="clear" w:color="auto" w:fill="D9D9D9" w:themeFill="background1" w:themeFillShade="D9"/>
            <w:noWrap/>
            <w:vAlign w:val="center"/>
            <w:hideMark/>
          </w:tcPr>
          <w:p w14:paraId="3A09EA2E"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0.68264</w:t>
            </w:r>
          </w:p>
        </w:tc>
        <w:tc>
          <w:tcPr>
            <w:tcW w:w="918" w:type="pct"/>
            <w:shd w:val="clear" w:color="auto" w:fill="D9D9D9" w:themeFill="background1" w:themeFillShade="D9"/>
            <w:noWrap/>
            <w:vAlign w:val="center"/>
            <w:hideMark/>
          </w:tcPr>
          <w:p w14:paraId="2969C233"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0.590551</w:t>
            </w:r>
          </w:p>
        </w:tc>
        <w:tc>
          <w:tcPr>
            <w:tcW w:w="918" w:type="pct"/>
            <w:shd w:val="clear" w:color="auto" w:fill="D9D9D9" w:themeFill="background1" w:themeFillShade="D9"/>
            <w:noWrap/>
            <w:vAlign w:val="center"/>
            <w:hideMark/>
          </w:tcPr>
          <w:p w14:paraId="594BF00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0.694915</w:t>
            </w:r>
          </w:p>
        </w:tc>
        <w:tc>
          <w:tcPr>
            <w:tcW w:w="917" w:type="pct"/>
            <w:shd w:val="clear" w:color="auto" w:fill="D9D9D9" w:themeFill="background1" w:themeFillShade="D9"/>
            <w:noWrap/>
            <w:vAlign w:val="center"/>
            <w:hideMark/>
          </w:tcPr>
          <w:p w14:paraId="5144EE2D"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4419CBB6"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1E15BEEE" w14:textId="1B4338C9"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434A837B"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KIXX</w:t>
            </w:r>
          </w:p>
        </w:tc>
        <w:tc>
          <w:tcPr>
            <w:tcW w:w="918" w:type="pct"/>
            <w:shd w:val="clear" w:color="auto" w:fill="D9D9D9" w:themeFill="background1" w:themeFillShade="D9"/>
            <w:noWrap/>
            <w:vAlign w:val="center"/>
            <w:hideMark/>
          </w:tcPr>
          <w:p w14:paraId="30E15848"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0.654596</w:t>
            </w:r>
          </w:p>
        </w:tc>
        <w:tc>
          <w:tcPr>
            <w:tcW w:w="918" w:type="pct"/>
            <w:shd w:val="clear" w:color="auto" w:fill="D9D9D9" w:themeFill="background1" w:themeFillShade="D9"/>
            <w:noWrap/>
            <w:vAlign w:val="center"/>
            <w:hideMark/>
          </w:tcPr>
          <w:p w14:paraId="500494A7"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0.980822</w:t>
            </w:r>
          </w:p>
        </w:tc>
        <w:tc>
          <w:tcPr>
            <w:tcW w:w="918" w:type="pct"/>
            <w:shd w:val="clear" w:color="auto" w:fill="D9D9D9" w:themeFill="background1" w:themeFillShade="D9"/>
            <w:noWrap/>
            <w:vAlign w:val="center"/>
            <w:hideMark/>
          </w:tcPr>
          <w:p w14:paraId="5AC7A3F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37EAC1C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0.988858</w:t>
            </w:r>
          </w:p>
        </w:tc>
      </w:tr>
      <w:tr w:rsidR="004A5977" w:rsidRPr="004A5977" w14:paraId="10BF04E1"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CA8D0B9" w14:textId="3D8E8B0A"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635C073F"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LIHC</w:t>
            </w:r>
          </w:p>
        </w:tc>
        <w:tc>
          <w:tcPr>
            <w:tcW w:w="918" w:type="pct"/>
            <w:shd w:val="clear" w:color="auto" w:fill="D9D9D9" w:themeFill="background1" w:themeFillShade="D9"/>
            <w:noWrap/>
            <w:vAlign w:val="center"/>
            <w:hideMark/>
          </w:tcPr>
          <w:p w14:paraId="70F477DB"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0.546191</w:t>
            </w:r>
          </w:p>
        </w:tc>
        <w:tc>
          <w:tcPr>
            <w:tcW w:w="918" w:type="pct"/>
            <w:shd w:val="clear" w:color="auto" w:fill="D9D9D9" w:themeFill="background1" w:themeFillShade="D9"/>
            <w:noWrap/>
            <w:vAlign w:val="center"/>
            <w:hideMark/>
          </w:tcPr>
          <w:p w14:paraId="6DA70F9B"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0.816667</w:t>
            </w:r>
          </w:p>
        </w:tc>
        <w:tc>
          <w:tcPr>
            <w:tcW w:w="918" w:type="pct"/>
            <w:shd w:val="clear" w:color="auto" w:fill="D9D9D9" w:themeFill="background1" w:themeFillShade="D9"/>
            <w:noWrap/>
            <w:vAlign w:val="center"/>
            <w:hideMark/>
          </w:tcPr>
          <w:p w14:paraId="3D0EA1AC"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755D20C4"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0.859848</w:t>
            </w:r>
          </w:p>
        </w:tc>
      </w:tr>
      <w:tr w:rsidR="004A5977" w:rsidRPr="004A5977" w14:paraId="734EAC12"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B2AE104" w14:textId="5914AD95"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07070F8D"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LUAD</w:t>
            </w:r>
          </w:p>
        </w:tc>
        <w:tc>
          <w:tcPr>
            <w:tcW w:w="918" w:type="pct"/>
            <w:shd w:val="clear" w:color="auto" w:fill="D9D9D9" w:themeFill="background1" w:themeFillShade="D9"/>
            <w:noWrap/>
            <w:vAlign w:val="center"/>
            <w:hideMark/>
          </w:tcPr>
          <w:p w14:paraId="69E3148A"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0.934483</w:t>
            </w:r>
          </w:p>
        </w:tc>
        <w:tc>
          <w:tcPr>
            <w:tcW w:w="918" w:type="pct"/>
            <w:shd w:val="clear" w:color="auto" w:fill="D9D9D9" w:themeFill="background1" w:themeFillShade="D9"/>
            <w:noWrap/>
            <w:vAlign w:val="center"/>
            <w:hideMark/>
          </w:tcPr>
          <w:p w14:paraId="4797DC75"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0.863777</w:t>
            </w:r>
          </w:p>
        </w:tc>
        <w:tc>
          <w:tcPr>
            <w:tcW w:w="918" w:type="pct"/>
            <w:shd w:val="clear" w:color="auto" w:fill="D9D9D9" w:themeFill="background1" w:themeFillShade="D9"/>
            <w:noWrap/>
            <w:vAlign w:val="center"/>
            <w:hideMark/>
          </w:tcPr>
          <w:p w14:paraId="27F144A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0.943396</w:t>
            </w:r>
          </w:p>
        </w:tc>
        <w:tc>
          <w:tcPr>
            <w:tcW w:w="917" w:type="pct"/>
            <w:shd w:val="clear" w:color="auto" w:fill="D9D9D9" w:themeFill="background1" w:themeFillShade="D9"/>
            <w:noWrap/>
            <w:vAlign w:val="center"/>
            <w:hideMark/>
          </w:tcPr>
          <w:p w14:paraId="6DE4885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726EDB4A"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C2C192A" w14:textId="2197A1D2"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2CE2604"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LUSC</w:t>
            </w:r>
          </w:p>
        </w:tc>
        <w:tc>
          <w:tcPr>
            <w:tcW w:w="918" w:type="pct"/>
            <w:shd w:val="clear" w:color="auto" w:fill="D9D9D9" w:themeFill="background1" w:themeFillShade="D9"/>
            <w:noWrap/>
            <w:vAlign w:val="center"/>
            <w:hideMark/>
          </w:tcPr>
          <w:p w14:paraId="5E94C4CE"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0.986919</w:t>
            </w:r>
          </w:p>
        </w:tc>
        <w:tc>
          <w:tcPr>
            <w:tcW w:w="918" w:type="pct"/>
            <w:shd w:val="clear" w:color="auto" w:fill="D9D9D9" w:themeFill="background1" w:themeFillShade="D9"/>
            <w:noWrap/>
            <w:vAlign w:val="center"/>
            <w:hideMark/>
          </w:tcPr>
          <w:p w14:paraId="0C4EEFC0"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0.985549</w:t>
            </w:r>
          </w:p>
        </w:tc>
        <w:tc>
          <w:tcPr>
            <w:tcW w:w="918" w:type="pct"/>
            <w:shd w:val="clear" w:color="auto" w:fill="D9D9D9" w:themeFill="background1" w:themeFillShade="D9"/>
            <w:noWrap/>
            <w:vAlign w:val="center"/>
            <w:hideMark/>
          </w:tcPr>
          <w:p w14:paraId="4B50553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0.988372</w:t>
            </w:r>
          </w:p>
        </w:tc>
        <w:tc>
          <w:tcPr>
            <w:tcW w:w="917" w:type="pct"/>
            <w:shd w:val="clear" w:color="auto" w:fill="D9D9D9" w:themeFill="background1" w:themeFillShade="D9"/>
            <w:noWrap/>
            <w:vAlign w:val="center"/>
            <w:hideMark/>
          </w:tcPr>
          <w:p w14:paraId="63E20F3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116F5584"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1DFA111" w14:textId="7E40A2FE"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1B32D455"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PAAD</w:t>
            </w:r>
          </w:p>
        </w:tc>
        <w:tc>
          <w:tcPr>
            <w:tcW w:w="918" w:type="pct"/>
            <w:shd w:val="clear" w:color="auto" w:fill="D9D9D9" w:themeFill="background1" w:themeFillShade="D9"/>
            <w:noWrap/>
            <w:vAlign w:val="center"/>
            <w:hideMark/>
          </w:tcPr>
          <w:p w14:paraId="4875AC7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0.593023</w:t>
            </w:r>
          </w:p>
        </w:tc>
        <w:tc>
          <w:tcPr>
            <w:tcW w:w="918" w:type="pct"/>
            <w:shd w:val="clear" w:color="auto" w:fill="D9D9D9" w:themeFill="background1" w:themeFillShade="D9"/>
            <w:noWrap/>
            <w:vAlign w:val="center"/>
            <w:hideMark/>
          </w:tcPr>
          <w:p w14:paraId="656562E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0.965517</w:t>
            </w:r>
          </w:p>
        </w:tc>
        <w:tc>
          <w:tcPr>
            <w:tcW w:w="918" w:type="pct"/>
            <w:shd w:val="clear" w:color="auto" w:fill="D9D9D9" w:themeFill="background1" w:themeFillShade="D9"/>
            <w:noWrap/>
            <w:vAlign w:val="center"/>
            <w:hideMark/>
          </w:tcPr>
          <w:p w14:paraId="7D915CA3"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4C9BD60C"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0.97093</w:t>
            </w:r>
          </w:p>
        </w:tc>
      </w:tr>
      <w:tr w:rsidR="004A5977" w:rsidRPr="004A5977" w14:paraId="09179B55"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730638B" w14:textId="3E6F7656"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1667CD5A"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SKCM</w:t>
            </w:r>
          </w:p>
        </w:tc>
        <w:tc>
          <w:tcPr>
            <w:tcW w:w="918" w:type="pct"/>
            <w:shd w:val="clear" w:color="auto" w:fill="D9D9D9" w:themeFill="background1" w:themeFillShade="D9"/>
            <w:noWrap/>
            <w:vAlign w:val="center"/>
            <w:hideMark/>
          </w:tcPr>
          <w:p w14:paraId="02539CE3"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0.915909</w:t>
            </w:r>
          </w:p>
        </w:tc>
        <w:tc>
          <w:tcPr>
            <w:tcW w:w="918" w:type="pct"/>
            <w:shd w:val="clear" w:color="auto" w:fill="D9D9D9" w:themeFill="background1" w:themeFillShade="D9"/>
            <w:noWrap/>
            <w:vAlign w:val="center"/>
            <w:hideMark/>
          </w:tcPr>
          <w:p w14:paraId="5CB65C72"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0.903226</w:t>
            </w:r>
          </w:p>
        </w:tc>
        <w:tc>
          <w:tcPr>
            <w:tcW w:w="918" w:type="pct"/>
            <w:shd w:val="clear" w:color="auto" w:fill="D9D9D9" w:themeFill="background1" w:themeFillShade="D9"/>
            <w:noWrap/>
            <w:vAlign w:val="center"/>
            <w:hideMark/>
          </w:tcPr>
          <w:p w14:paraId="5B057328"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0.926136</w:t>
            </w:r>
          </w:p>
        </w:tc>
        <w:tc>
          <w:tcPr>
            <w:tcW w:w="917" w:type="pct"/>
            <w:shd w:val="clear" w:color="auto" w:fill="D9D9D9" w:themeFill="background1" w:themeFillShade="D9"/>
            <w:noWrap/>
            <w:vAlign w:val="center"/>
            <w:hideMark/>
          </w:tcPr>
          <w:p w14:paraId="7B1FAC08"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184F0EB4"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69AEB90F" w14:textId="0B0F1902"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6EFE6297"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STAD</w:t>
            </w:r>
          </w:p>
        </w:tc>
        <w:tc>
          <w:tcPr>
            <w:tcW w:w="918" w:type="pct"/>
            <w:shd w:val="clear" w:color="auto" w:fill="D9D9D9" w:themeFill="background1" w:themeFillShade="D9"/>
            <w:noWrap/>
            <w:vAlign w:val="center"/>
            <w:hideMark/>
          </w:tcPr>
          <w:p w14:paraId="530CBF6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0.73613</w:t>
            </w:r>
          </w:p>
        </w:tc>
        <w:tc>
          <w:tcPr>
            <w:tcW w:w="918" w:type="pct"/>
            <w:shd w:val="clear" w:color="auto" w:fill="D9D9D9" w:themeFill="background1" w:themeFillShade="D9"/>
            <w:noWrap/>
            <w:vAlign w:val="center"/>
            <w:hideMark/>
          </w:tcPr>
          <w:p w14:paraId="2B1859D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0.686154</w:t>
            </w:r>
          </w:p>
        </w:tc>
        <w:tc>
          <w:tcPr>
            <w:tcW w:w="918" w:type="pct"/>
            <w:shd w:val="clear" w:color="auto" w:fill="D9D9D9" w:themeFill="background1" w:themeFillShade="D9"/>
            <w:noWrap/>
            <w:vAlign w:val="center"/>
            <w:hideMark/>
          </w:tcPr>
          <w:p w14:paraId="603C660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0.783251</w:t>
            </w:r>
          </w:p>
        </w:tc>
        <w:tc>
          <w:tcPr>
            <w:tcW w:w="917" w:type="pct"/>
            <w:shd w:val="clear" w:color="auto" w:fill="D9D9D9" w:themeFill="background1" w:themeFillShade="D9"/>
            <w:noWrap/>
            <w:vAlign w:val="center"/>
            <w:hideMark/>
          </w:tcPr>
          <w:p w14:paraId="0821EB5D"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0.52459</w:t>
            </w:r>
          </w:p>
        </w:tc>
      </w:tr>
      <w:tr w:rsidR="004A5977" w:rsidRPr="004A5977" w14:paraId="142BBB01"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BF3C08C" w14:textId="7A7955C4"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412E7454" w14:textId="6F5D1935"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40E9C3A7" w14:textId="619CFC30"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0.7061 ± 0.1665</w:t>
            </w:r>
          </w:p>
        </w:tc>
        <w:tc>
          <w:tcPr>
            <w:tcW w:w="918" w:type="pct"/>
            <w:shd w:val="clear" w:color="auto" w:fill="D9D9D9" w:themeFill="background1" w:themeFillShade="D9"/>
            <w:noWrap/>
            <w:vAlign w:val="center"/>
            <w:hideMark/>
          </w:tcPr>
          <w:p w14:paraId="6303A380" w14:textId="5E83BA0B"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0.8078 ± 0.1762</w:t>
            </w:r>
          </w:p>
        </w:tc>
        <w:tc>
          <w:tcPr>
            <w:tcW w:w="918" w:type="pct"/>
            <w:shd w:val="clear" w:color="auto" w:fill="D9D9D9" w:themeFill="background1" w:themeFillShade="D9"/>
            <w:noWrap/>
            <w:vAlign w:val="center"/>
            <w:hideMark/>
          </w:tcPr>
          <w:p w14:paraId="1DA44A6E" w14:textId="7E851474"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0.6918 ± 0.1919</w:t>
            </w:r>
          </w:p>
        </w:tc>
        <w:tc>
          <w:tcPr>
            <w:tcW w:w="917" w:type="pct"/>
            <w:shd w:val="clear" w:color="auto" w:fill="D9D9D9" w:themeFill="background1" w:themeFillShade="D9"/>
            <w:noWrap/>
            <w:vAlign w:val="center"/>
            <w:hideMark/>
          </w:tcPr>
          <w:p w14:paraId="42C82B23" w14:textId="526EABE3"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0.6674 ± 0.2268</w:t>
            </w:r>
          </w:p>
        </w:tc>
      </w:tr>
      <w:tr w:rsidR="004A5977" w:rsidRPr="004A5977" w14:paraId="35CBB9E9"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val="restart"/>
            <w:tcBorders>
              <w:left w:val="nil"/>
            </w:tcBorders>
            <w:shd w:val="clear" w:color="auto" w:fill="C00000"/>
            <w:noWrap/>
            <w:vAlign w:val="center"/>
            <w:hideMark/>
          </w:tcPr>
          <w:p w14:paraId="136F0B8C" w14:textId="57CB89F0" w:rsidR="00B3243E" w:rsidRPr="00C3523E" w:rsidRDefault="00445CAB" w:rsidP="00B3243E">
            <w:pPr>
              <w:rPr>
                <w:rFonts w:ascii="Arial" w:eastAsia="Times New Roman" w:hAnsi="Arial" w:cs="Arial"/>
                <w:b w:val="0"/>
                <w:bCs w:val="0"/>
                <w:i/>
                <w:iCs/>
                <w:kern w:val="0"/>
                <w:sz w:val="16"/>
                <w:szCs w:val="16"/>
                <w14:ligatures w14:val="none"/>
              </w:rPr>
            </w:pPr>
            <w:r w:rsidRPr="00445CAB">
              <w:rPr>
                <w:rFonts w:ascii="Arial" w:eastAsia="Times New Roman" w:hAnsi="Arial" w:cs="Arial"/>
                <w:i/>
                <w:iCs/>
                <w:kern w:val="0"/>
                <w:sz w:val="16"/>
                <w:szCs w:val="16"/>
                <w14:ligatures w14:val="none"/>
              </w:rPr>
              <w:t>TP53</w:t>
            </w:r>
          </w:p>
          <w:p w14:paraId="6CB1CE4E" w14:textId="1830F536"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C448855"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BRCA</w:t>
            </w:r>
          </w:p>
        </w:tc>
        <w:tc>
          <w:tcPr>
            <w:tcW w:w="918" w:type="pct"/>
            <w:shd w:val="clear" w:color="auto" w:fill="D9D9D9" w:themeFill="background1" w:themeFillShade="D9"/>
            <w:noWrap/>
            <w:vAlign w:val="center"/>
            <w:hideMark/>
          </w:tcPr>
          <w:p w14:paraId="6888DE8B"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0.831074</w:t>
            </w:r>
          </w:p>
        </w:tc>
        <w:tc>
          <w:tcPr>
            <w:tcW w:w="918" w:type="pct"/>
            <w:shd w:val="clear" w:color="auto" w:fill="D9D9D9" w:themeFill="background1" w:themeFillShade="D9"/>
            <w:noWrap/>
            <w:vAlign w:val="center"/>
            <w:hideMark/>
          </w:tcPr>
          <w:p w14:paraId="65CE7AF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0.792007</w:t>
            </w:r>
          </w:p>
        </w:tc>
        <w:tc>
          <w:tcPr>
            <w:tcW w:w="918" w:type="pct"/>
            <w:shd w:val="clear" w:color="auto" w:fill="D9D9D9" w:themeFill="background1" w:themeFillShade="D9"/>
            <w:noWrap/>
            <w:vAlign w:val="center"/>
            <w:hideMark/>
          </w:tcPr>
          <w:p w14:paraId="3D51762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0.596639</w:t>
            </w:r>
          </w:p>
        </w:tc>
        <w:tc>
          <w:tcPr>
            <w:tcW w:w="917" w:type="pct"/>
            <w:shd w:val="clear" w:color="auto" w:fill="D9D9D9" w:themeFill="background1" w:themeFillShade="D9"/>
            <w:noWrap/>
            <w:vAlign w:val="center"/>
            <w:hideMark/>
          </w:tcPr>
          <w:p w14:paraId="792FB1FA"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0.885753</w:t>
            </w:r>
          </w:p>
        </w:tc>
      </w:tr>
      <w:tr w:rsidR="004A5977" w:rsidRPr="004A5977" w14:paraId="37AEED7E"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63A7DD4F" w14:textId="016A9845"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9E20C59"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CRC</w:t>
            </w:r>
          </w:p>
        </w:tc>
        <w:tc>
          <w:tcPr>
            <w:tcW w:w="918" w:type="pct"/>
            <w:shd w:val="clear" w:color="auto" w:fill="D9D9D9" w:themeFill="background1" w:themeFillShade="D9"/>
            <w:noWrap/>
            <w:vAlign w:val="center"/>
            <w:hideMark/>
          </w:tcPr>
          <w:p w14:paraId="1C7C2EC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0.730611</w:t>
            </w:r>
          </w:p>
        </w:tc>
        <w:tc>
          <w:tcPr>
            <w:tcW w:w="918" w:type="pct"/>
            <w:shd w:val="clear" w:color="auto" w:fill="D9D9D9" w:themeFill="background1" w:themeFillShade="D9"/>
            <w:noWrap/>
            <w:vAlign w:val="center"/>
            <w:hideMark/>
          </w:tcPr>
          <w:p w14:paraId="631B8E30"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0.663569</w:t>
            </w:r>
          </w:p>
        </w:tc>
        <w:tc>
          <w:tcPr>
            <w:tcW w:w="918" w:type="pct"/>
            <w:shd w:val="clear" w:color="auto" w:fill="D9D9D9" w:themeFill="background1" w:themeFillShade="D9"/>
            <w:noWrap/>
            <w:vAlign w:val="center"/>
            <w:hideMark/>
          </w:tcPr>
          <w:p w14:paraId="332AB7FB"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0.735192</w:t>
            </w:r>
          </w:p>
        </w:tc>
        <w:tc>
          <w:tcPr>
            <w:tcW w:w="917" w:type="pct"/>
            <w:shd w:val="clear" w:color="auto" w:fill="D9D9D9" w:themeFill="background1" w:themeFillShade="D9"/>
            <w:noWrap/>
            <w:vAlign w:val="center"/>
            <w:hideMark/>
          </w:tcPr>
          <w:p w14:paraId="08E0EB48"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0.581673</w:t>
            </w:r>
          </w:p>
        </w:tc>
      </w:tr>
      <w:tr w:rsidR="004A5977" w:rsidRPr="004A5977" w14:paraId="39242ED2"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4CD9C76D" w14:textId="4B8903F6"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59C47378"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HNSC</w:t>
            </w:r>
          </w:p>
        </w:tc>
        <w:tc>
          <w:tcPr>
            <w:tcW w:w="918" w:type="pct"/>
            <w:shd w:val="clear" w:color="auto" w:fill="D9D9D9" w:themeFill="background1" w:themeFillShade="D9"/>
            <w:noWrap/>
            <w:vAlign w:val="center"/>
            <w:hideMark/>
          </w:tcPr>
          <w:p w14:paraId="5978E6FA"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0.959869</w:t>
            </w:r>
          </w:p>
        </w:tc>
        <w:tc>
          <w:tcPr>
            <w:tcW w:w="918" w:type="pct"/>
            <w:shd w:val="clear" w:color="auto" w:fill="D9D9D9" w:themeFill="background1" w:themeFillShade="D9"/>
            <w:noWrap/>
            <w:vAlign w:val="center"/>
            <w:hideMark/>
          </w:tcPr>
          <w:p w14:paraId="0E41FCE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0.921162</w:t>
            </w:r>
          </w:p>
        </w:tc>
        <w:tc>
          <w:tcPr>
            <w:tcW w:w="918" w:type="pct"/>
            <w:shd w:val="clear" w:color="auto" w:fill="D9D9D9" w:themeFill="background1" w:themeFillShade="D9"/>
            <w:noWrap/>
            <w:vAlign w:val="center"/>
            <w:hideMark/>
          </w:tcPr>
          <w:p w14:paraId="149116D2"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0.967742</w:t>
            </w:r>
          </w:p>
        </w:tc>
        <w:tc>
          <w:tcPr>
            <w:tcW w:w="917" w:type="pct"/>
            <w:shd w:val="clear" w:color="auto" w:fill="D9D9D9" w:themeFill="background1" w:themeFillShade="D9"/>
            <w:noWrap/>
            <w:vAlign w:val="center"/>
            <w:hideMark/>
          </w:tcPr>
          <w:p w14:paraId="1D254065"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1068287A"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3C24F6BF" w14:textId="746DF400"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711AC9A9"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LIHC</w:t>
            </w:r>
          </w:p>
        </w:tc>
        <w:tc>
          <w:tcPr>
            <w:tcW w:w="918" w:type="pct"/>
            <w:shd w:val="clear" w:color="auto" w:fill="D9D9D9" w:themeFill="background1" w:themeFillShade="D9"/>
            <w:noWrap/>
            <w:vAlign w:val="center"/>
            <w:hideMark/>
          </w:tcPr>
          <w:p w14:paraId="334A7D4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0.652964</w:t>
            </w:r>
          </w:p>
        </w:tc>
        <w:tc>
          <w:tcPr>
            <w:tcW w:w="918" w:type="pct"/>
            <w:shd w:val="clear" w:color="auto" w:fill="D9D9D9" w:themeFill="background1" w:themeFillShade="D9"/>
            <w:noWrap/>
            <w:vAlign w:val="center"/>
            <w:hideMark/>
          </w:tcPr>
          <w:p w14:paraId="4BB4EAE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0.814696</w:t>
            </w:r>
          </w:p>
        </w:tc>
        <w:tc>
          <w:tcPr>
            <w:tcW w:w="918" w:type="pct"/>
            <w:shd w:val="clear" w:color="auto" w:fill="D9D9D9" w:themeFill="background1" w:themeFillShade="D9"/>
            <w:noWrap/>
            <w:vAlign w:val="center"/>
            <w:hideMark/>
          </w:tcPr>
          <w:p w14:paraId="76A47F26"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1FAECFD7"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0.889328</w:t>
            </w:r>
          </w:p>
        </w:tc>
      </w:tr>
      <w:tr w:rsidR="004A5977" w:rsidRPr="004A5977" w14:paraId="560A1564"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6E57ABC" w14:textId="375AADA8"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2CA22A6E"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LUAD</w:t>
            </w:r>
          </w:p>
        </w:tc>
        <w:tc>
          <w:tcPr>
            <w:tcW w:w="918" w:type="pct"/>
            <w:shd w:val="clear" w:color="auto" w:fill="D9D9D9" w:themeFill="background1" w:themeFillShade="D9"/>
            <w:noWrap/>
            <w:vAlign w:val="center"/>
            <w:hideMark/>
          </w:tcPr>
          <w:p w14:paraId="69B2460C"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0.729091</w:t>
            </w:r>
          </w:p>
        </w:tc>
        <w:tc>
          <w:tcPr>
            <w:tcW w:w="918" w:type="pct"/>
            <w:shd w:val="clear" w:color="auto" w:fill="D9D9D9" w:themeFill="background1" w:themeFillShade="D9"/>
            <w:noWrap/>
            <w:vAlign w:val="center"/>
            <w:hideMark/>
          </w:tcPr>
          <w:p w14:paraId="77363098"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0.678501</w:t>
            </w:r>
          </w:p>
        </w:tc>
        <w:tc>
          <w:tcPr>
            <w:tcW w:w="918" w:type="pct"/>
            <w:shd w:val="clear" w:color="auto" w:fill="D9D9D9" w:themeFill="background1" w:themeFillShade="D9"/>
            <w:noWrap/>
            <w:vAlign w:val="center"/>
            <w:hideMark/>
          </w:tcPr>
          <w:p w14:paraId="74F3292F"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0.741313</w:t>
            </w:r>
          </w:p>
        </w:tc>
        <w:tc>
          <w:tcPr>
            <w:tcW w:w="917" w:type="pct"/>
            <w:shd w:val="clear" w:color="auto" w:fill="D9D9D9" w:themeFill="background1" w:themeFillShade="D9"/>
            <w:noWrap/>
            <w:vAlign w:val="center"/>
            <w:hideMark/>
          </w:tcPr>
          <w:p w14:paraId="2F7FD48E"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0.612903</w:t>
            </w:r>
          </w:p>
        </w:tc>
      </w:tr>
      <w:tr w:rsidR="004A5977" w:rsidRPr="004A5977" w14:paraId="723D2D3D"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5BE373F2" w14:textId="29D46FE4"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FE3E3DB"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LUSC</w:t>
            </w:r>
          </w:p>
        </w:tc>
        <w:tc>
          <w:tcPr>
            <w:tcW w:w="918" w:type="pct"/>
            <w:shd w:val="clear" w:color="auto" w:fill="D9D9D9" w:themeFill="background1" w:themeFillShade="D9"/>
            <w:noWrap/>
            <w:vAlign w:val="center"/>
            <w:hideMark/>
          </w:tcPr>
          <w:p w14:paraId="0557AEBA"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0.974083</w:t>
            </w:r>
          </w:p>
        </w:tc>
        <w:tc>
          <w:tcPr>
            <w:tcW w:w="918" w:type="pct"/>
            <w:shd w:val="clear" w:color="auto" w:fill="D9D9D9" w:themeFill="background1" w:themeFillShade="D9"/>
            <w:noWrap/>
            <w:vAlign w:val="center"/>
            <w:hideMark/>
          </w:tcPr>
          <w:p w14:paraId="0FD6B8F1"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0.97852</w:t>
            </w:r>
          </w:p>
        </w:tc>
        <w:tc>
          <w:tcPr>
            <w:tcW w:w="918" w:type="pct"/>
            <w:shd w:val="clear" w:color="auto" w:fill="D9D9D9" w:themeFill="background1" w:themeFillShade="D9"/>
            <w:noWrap/>
            <w:vAlign w:val="center"/>
            <w:hideMark/>
          </w:tcPr>
          <w:p w14:paraId="3B819ED6"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0.99022</w:t>
            </w:r>
          </w:p>
        </w:tc>
        <w:tc>
          <w:tcPr>
            <w:tcW w:w="917" w:type="pct"/>
            <w:shd w:val="clear" w:color="auto" w:fill="D9D9D9" w:themeFill="background1" w:themeFillShade="D9"/>
            <w:noWrap/>
            <w:vAlign w:val="center"/>
            <w:hideMark/>
          </w:tcPr>
          <w:p w14:paraId="76B754CD"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r>
      <w:tr w:rsidR="004A5977" w:rsidRPr="004A5977" w14:paraId="284867F4"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2FFD653D" w14:textId="348E1433"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2721942D"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PAAD</w:t>
            </w:r>
          </w:p>
        </w:tc>
        <w:tc>
          <w:tcPr>
            <w:tcW w:w="918" w:type="pct"/>
            <w:shd w:val="clear" w:color="auto" w:fill="D9D9D9" w:themeFill="background1" w:themeFillShade="D9"/>
            <w:noWrap/>
            <w:vAlign w:val="center"/>
            <w:hideMark/>
          </w:tcPr>
          <w:p w14:paraId="4801DF04"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0.667454</w:t>
            </w:r>
          </w:p>
        </w:tc>
        <w:tc>
          <w:tcPr>
            <w:tcW w:w="918" w:type="pct"/>
            <w:shd w:val="clear" w:color="auto" w:fill="D9D9D9" w:themeFill="background1" w:themeFillShade="D9"/>
            <w:noWrap/>
            <w:vAlign w:val="center"/>
            <w:hideMark/>
          </w:tcPr>
          <w:p w14:paraId="0AD57E03"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0.647668</w:t>
            </w:r>
          </w:p>
        </w:tc>
        <w:tc>
          <w:tcPr>
            <w:tcW w:w="918" w:type="pct"/>
            <w:shd w:val="clear" w:color="auto" w:fill="D9D9D9" w:themeFill="background1" w:themeFillShade="D9"/>
            <w:noWrap/>
            <w:vAlign w:val="center"/>
            <w:hideMark/>
          </w:tcPr>
          <w:p w14:paraId="3B4FFF99"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0.709402</w:t>
            </w:r>
          </w:p>
        </w:tc>
        <w:tc>
          <w:tcPr>
            <w:tcW w:w="917" w:type="pct"/>
            <w:shd w:val="clear" w:color="auto" w:fill="D9D9D9" w:themeFill="background1" w:themeFillShade="D9"/>
            <w:noWrap/>
            <w:vAlign w:val="center"/>
            <w:hideMark/>
          </w:tcPr>
          <w:p w14:paraId="070D6781"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0.552632</w:t>
            </w:r>
          </w:p>
        </w:tc>
      </w:tr>
      <w:tr w:rsidR="004A5977" w:rsidRPr="004A5977" w14:paraId="46AFF1AB"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7CC8B5EE" w14:textId="40511BDF"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3AF877CD" w14:textId="77777777"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SKCM</w:t>
            </w:r>
          </w:p>
        </w:tc>
        <w:tc>
          <w:tcPr>
            <w:tcW w:w="918" w:type="pct"/>
            <w:shd w:val="clear" w:color="auto" w:fill="D9D9D9" w:themeFill="background1" w:themeFillShade="D9"/>
            <w:noWrap/>
            <w:vAlign w:val="center"/>
            <w:hideMark/>
          </w:tcPr>
          <w:p w14:paraId="78C57981"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0.619075</w:t>
            </w:r>
          </w:p>
        </w:tc>
        <w:tc>
          <w:tcPr>
            <w:tcW w:w="918" w:type="pct"/>
            <w:shd w:val="clear" w:color="auto" w:fill="D9D9D9" w:themeFill="background1" w:themeFillShade="D9"/>
            <w:noWrap/>
            <w:vAlign w:val="center"/>
            <w:hideMark/>
          </w:tcPr>
          <w:p w14:paraId="4AD350A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0.88601</w:t>
            </w:r>
          </w:p>
        </w:tc>
        <w:tc>
          <w:tcPr>
            <w:tcW w:w="918" w:type="pct"/>
            <w:shd w:val="clear" w:color="auto" w:fill="D9D9D9" w:themeFill="background1" w:themeFillShade="D9"/>
            <w:noWrap/>
            <w:vAlign w:val="center"/>
            <w:hideMark/>
          </w:tcPr>
          <w:p w14:paraId="27CA348B"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w:t>
            </w:r>
          </w:p>
        </w:tc>
        <w:tc>
          <w:tcPr>
            <w:tcW w:w="917" w:type="pct"/>
            <w:shd w:val="clear" w:color="auto" w:fill="D9D9D9" w:themeFill="background1" w:themeFillShade="D9"/>
            <w:noWrap/>
            <w:vAlign w:val="center"/>
            <w:hideMark/>
          </w:tcPr>
          <w:p w14:paraId="134E8779" w14:textId="77777777" w:rsidR="004A5977" w:rsidRPr="004A5977" w:rsidRDefault="004A5977" w:rsidP="000F383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0.930636</w:t>
            </w:r>
          </w:p>
        </w:tc>
      </w:tr>
      <w:tr w:rsidR="004A5977" w:rsidRPr="004A5977" w14:paraId="231207BC" w14:textId="77777777" w:rsidTr="00BE5F67">
        <w:trPr>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66D6F640" w14:textId="014866CA"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5FB1D9E1" w14:textId="77777777" w:rsidR="004A5977" w:rsidRPr="004A5977" w:rsidRDefault="004A5977" w:rsidP="004A597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STAD</w:t>
            </w:r>
          </w:p>
        </w:tc>
        <w:tc>
          <w:tcPr>
            <w:tcW w:w="918" w:type="pct"/>
            <w:shd w:val="clear" w:color="auto" w:fill="D9D9D9" w:themeFill="background1" w:themeFillShade="D9"/>
            <w:noWrap/>
            <w:vAlign w:val="center"/>
            <w:hideMark/>
          </w:tcPr>
          <w:p w14:paraId="3B18B13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0.682973</w:t>
            </w:r>
          </w:p>
        </w:tc>
        <w:tc>
          <w:tcPr>
            <w:tcW w:w="918" w:type="pct"/>
            <w:shd w:val="clear" w:color="auto" w:fill="D9D9D9" w:themeFill="background1" w:themeFillShade="D9"/>
            <w:noWrap/>
            <w:vAlign w:val="center"/>
            <w:hideMark/>
          </w:tcPr>
          <w:p w14:paraId="3D525C40"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0.645408</w:t>
            </w:r>
          </w:p>
        </w:tc>
        <w:tc>
          <w:tcPr>
            <w:tcW w:w="918" w:type="pct"/>
            <w:shd w:val="clear" w:color="auto" w:fill="D9D9D9" w:themeFill="background1" w:themeFillShade="D9"/>
            <w:noWrap/>
            <w:vAlign w:val="center"/>
            <w:hideMark/>
          </w:tcPr>
          <w:p w14:paraId="1BA9C69D"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0.581152</w:t>
            </w:r>
          </w:p>
        </w:tc>
        <w:tc>
          <w:tcPr>
            <w:tcW w:w="917" w:type="pct"/>
            <w:shd w:val="clear" w:color="auto" w:fill="D9D9D9" w:themeFill="background1" w:themeFillShade="D9"/>
            <w:noWrap/>
            <w:vAlign w:val="center"/>
            <w:hideMark/>
          </w:tcPr>
          <w:p w14:paraId="5B3533D3" w14:textId="77777777" w:rsidR="004A5977" w:rsidRPr="004A5977" w:rsidRDefault="004A5977" w:rsidP="000F383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0.706468</w:t>
            </w:r>
          </w:p>
        </w:tc>
      </w:tr>
      <w:tr w:rsidR="004A5977" w:rsidRPr="004A5977" w14:paraId="3BF3D0A2" w14:textId="77777777" w:rsidTr="00BE5F6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7" w:type="pct"/>
            <w:vMerge/>
            <w:tcBorders>
              <w:left w:val="nil"/>
            </w:tcBorders>
            <w:shd w:val="clear" w:color="auto" w:fill="C00000"/>
            <w:noWrap/>
            <w:vAlign w:val="center"/>
            <w:hideMark/>
          </w:tcPr>
          <w:p w14:paraId="05BF8839" w14:textId="42A22ED9" w:rsidR="004A5977" w:rsidRPr="004A5977" w:rsidRDefault="004A5977" w:rsidP="004A5977">
            <w:pPr>
              <w:rPr>
                <w:rFonts w:ascii="Arial" w:eastAsia="Times New Roman" w:hAnsi="Arial" w:cs="Arial"/>
                <w:kern w:val="0"/>
                <w:sz w:val="16"/>
                <w:szCs w:val="16"/>
                <w14:ligatures w14:val="none"/>
              </w:rPr>
            </w:pPr>
          </w:p>
        </w:tc>
        <w:tc>
          <w:tcPr>
            <w:tcW w:w="792" w:type="pct"/>
            <w:shd w:val="clear" w:color="auto" w:fill="C00000"/>
            <w:noWrap/>
            <w:vAlign w:val="center"/>
            <w:hideMark/>
          </w:tcPr>
          <w:p w14:paraId="1FD9ACC7" w14:textId="7AC50624"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A5977">
              <w:rPr>
                <w:rFonts w:ascii="Arial" w:eastAsia="Times New Roman" w:hAnsi="Arial" w:cs="Arial"/>
                <w:b/>
                <w:color w:val="FFFFFF" w:themeColor="background1"/>
                <w:kern w:val="0"/>
                <w:sz w:val="16"/>
                <w:szCs w:val="16"/>
                <w14:ligatures w14:val="none"/>
              </w:rPr>
              <w:t>MEAN ± STD</w:t>
            </w:r>
          </w:p>
        </w:tc>
        <w:tc>
          <w:tcPr>
            <w:tcW w:w="918" w:type="pct"/>
            <w:shd w:val="clear" w:color="auto" w:fill="D9D9D9" w:themeFill="background1" w:themeFillShade="D9"/>
            <w:noWrap/>
            <w:vAlign w:val="center"/>
            <w:hideMark/>
          </w:tcPr>
          <w:p w14:paraId="57AE2127" w14:textId="73899BBF"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0.7608 ± 0.1316</w:t>
            </w:r>
          </w:p>
        </w:tc>
        <w:tc>
          <w:tcPr>
            <w:tcW w:w="918" w:type="pct"/>
            <w:shd w:val="clear" w:color="auto" w:fill="D9D9D9" w:themeFill="background1" w:themeFillShade="D9"/>
            <w:noWrap/>
            <w:vAlign w:val="center"/>
            <w:hideMark/>
          </w:tcPr>
          <w:p w14:paraId="4E3AC470" w14:textId="0128D438"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0.7808 ± 0.1282</w:t>
            </w:r>
          </w:p>
        </w:tc>
        <w:tc>
          <w:tcPr>
            <w:tcW w:w="918" w:type="pct"/>
            <w:shd w:val="clear" w:color="auto" w:fill="D9D9D9" w:themeFill="background1" w:themeFillShade="D9"/>
            <w:noWrap/>
            <w:vAlign w:val="center"/>
            <w:hideMark/>
          </w:tcPr>
          <w:p w14:paraId="3F8ECC69" w14:textId="16621621"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0.7024 ± 0.1816</w:t>
            </w:r>
          </w:p>
        </w:tc>
        <w:tc>
          <w:tcPr>
            <w:tcW w:w="917" w:type="pct"/>
            <w:shd w:val="clear" w:color="auto" w:fill="D9D9D9" w:themeFill="background1" w:themeFillShade="D9"/>
            <w:noWrap/>
            <w:vAlign w:val="center"/>
            <w:hideMark/>
          </w:tcPr>
          <w:p w14:paraId="6444BC2C" w14:textId="4BF7A2CA" w:rsidR="004A5977" w:rsidRPr="004A5977" w:rsidRDefault="004A5977" w:rsidP="004A5977">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4A5977">
              <w:rPr>
                <w:rFonts w:ascii="Arial" w:eastAsia="Times New Roman" w:hAnsi="Arial" w:cs="Arial"/>
                <w:color w:val="000000"/>
                <w:kern w:val="0"/>
                <w:sz w:val="16"/>
                <w:szCs w:val="16"/>
                <w14:ligatures w14:val="none"/>
              </w:rPr>
              <w:t>0.6844 ± 0.1749</w:t>
            </w:r>
          </w:p>
        </w:tc>
      </w:tr>
    </w:tbl>
    <w:p w14:paraId="1CFCCB4B" w14:textId="77777777" w:rsidR="00BE5F67" w:rsidRDefault="00BE5F67" w:rsidP="00BE5F67">
      <w:pPr>
        <w:spacing w:line="240" w:lineRule="auto"/>
        <w:jc w:val="both"/>
        <w:rPr>
          <w:rFonts w:ascii="Arial" w:hAnsi="Arial" w:cs="Arial"/>
          <w:sz w:val="22"/>
          <w:szCs w:val="22"/>
        </w:rPr>
      </w:pPr>
    </w:p>
    <w:p w14:paraId="290FB8A4" w14:textId="027125D4" w:rsidR="00BE5F67" w:rsidRDefault="00BE5F67" w:rsidP="005D6F2C">
      <w:pPr>
        <w:spacing w:line="240" w:lineRule="auto"/>
        <w:jc w:val="both"/>
        <w:rPr>
          <w:rFonts w:ascii="Arial" w:hAnsi="Arial" w:cs="Arial"/>
          <w:sz w:val="22"/>
          <w:szCs w:val="22"/>
        </w:rPr>
      </w:pPr>
      <w:r w:rsidRPr="003A401F">
        <w:rPr>
          <w:rFonts w:ascii="Arial" w:hAnsi="Arial" w:cs="Arial"/>
          <w:b/>
          <w:bCs/>
          <w:sz w:val="20"/>
          <w:szCs w:val="20"/>
        </w:rPr>
        <w:t xml:space="preserve">Table </w:t>
      </w:r>
      <w:r>
        <w:rPr>
          <w:rFonts w:ascii="Arial" w:hAnsi="Arial" w:cs="Arial"/>
          <w:b/>
          <w:bCs/>
          <w:sz w:val="20"/>
          <w:szCs w:val="20"/>
        </w:rPr>
        <w:t>S9</w:t>
      </w:r>
      <w:r w:rsidRPr="003A401F">
        <w:rPr>
          <w:rFonts w:ascii="Arial" w:hAnsi="Arial" w:cs="Arial"/>
          <w:b/>
          <w:bCs/>
          <w:sz w:val="20"/>
          <w:szCs w:val="20"/>
        </w:rPr>
        <w:t xml:space="preserve"> | </w:t>
      </w:r>
      <w:r>
        <w:rPr>
          <w:rFonts w:ascii="Arial" w:hAnsi="Arial" w:cs="Arial"/>
          <w:b/>
          <w:bCs/>
          <w:sz w:val="20"/>
          <w:szCs w:val="20"/>
        </w:rPr>
        <w:t xml:space="preserve">Comparison with </w:t>
      </w:r>
      <w:r w:rsidR="00FB7595">
        <w:rPr>
          <w:rFonts w:ascii="Arial" w:hAnsi="Arial" w:cs="Arial"/>
          <w:b/>
          <w:bCs/>
          <w:sz w:val="20"/>
          <w:szCs w:val="20"/>
        </w:rPr>
        <w:t>previously reported methods in</w:t>
      </w:r>
      <w:r w:rsidR="00F350F4">
        <w:rPr>
          <w:rFonts w:ascii="Arial" w:hAnsi="Arial" w:cs="Arial"/>
          <w:b/>
          <w:bCs/>
          <w:sz w:val="20"/>
          <w:szCs w:val="20"/>
        </w:rPr>
        <w:t xml:space="preserve"> </w:t>
      </w:r>
      <w:r w:rsidR="005D6F2C">
        <w:rPr>
          <w:rFonts w:ascii="Arial" w:hAnsi="Arial" w:cs="Arial"/>
          <w:b/>
          <w:bCs/>
          <w:sz w:val="20"/>
          <w:szCs w:val="20"/>
        </w:rPr>
        <w:t>literature</w:t>
      </w:r>
      <w:r w:rsidRPr="003A401F">
        <w:rPr>
          <w:rFonts w:ascii="Arial" w:hAnsi="Arial" w:cs="Arial"/>
          <w:b/>
          <w:bCs/>
          <w:sz w:val="20"/>
          <w:szCs w:val="20"/>
        </w:rPr>
        <w:t>.</w:t>
      </w:r>
      <w:r w:rsidRPr="003A401F">
        <w:rPr>
          <w:rFonts w:ascii="Arial" w:hAnsi="Arial" w:cs="Arial"/>
          <w:sz w:val="22"/>
          <w:szCs w:val="22"/>
        </w:rPr>
        <w:t xml:space="preserve"> </w:t>
      </w:r>
      <w:r w:rsidR="005D6F2C" w:rsidRPr="005D6F2C">
        <w:rPr>
          <w:rFonts w:ascii="Arial" w:hAnsi="Arial" w:cs="Arial"/>
          <w:sz w:val="16"/>
          <w:szCs w:val="16"/>
        </w:rPr>
        <w:t>Performance of GenoGlyph compared with previously published approaches. Performance metrics were extracted directly from the original publications and are reported here without modification. Although we attempted to align the evaluation settings as closely as possible across studies, certain methodological differences could not be reconciled; these are explicitly noted in the Notes column.</w:t>
      </w:r>
      <w:r w:rsidR="005D6F2C">
        <w:rPr>
          <w:rFonts w:ascii="Arial" w:hAnsi="Arial" w:cs="Arial"/>
          <w:sz w:val="16"/>
          <w:szCs w:val="16"/>
        </w:rPr>
        <w:t xml:space="preserve"> </w:t>
      </w:r>
      <w:r w:rsidR="005D6F2C" w:rsidRPr="005D6F2C">
        <w:rPr>
          <w:rFonts w:ascii="Arial" w:hAnsi="Arial" w:cs="Arial"/>
          <w:sz w:val="16"/>
          <w:szCs w:val="16"/>
        </w:rPr>
        <w:t>Because most prior studies reported only the area under the receiver operating characteristic curve (AUC), our comparison is limited to this metric. However, it is important to note that GenoGlyph was optimized to achieve a clinically meaningful balance between sensitivity and specificity rather than to maximize AUC alone. This design choice may result in slightly lower reported AUC values compared with methods optimized solely for discrimination performance. Consequently, direct AUC comparisons should be interpreted with caution. If GenoGlyph were optimized and reported using AUC as the primary objective, its AUC performance would likely be higher than the values presented here.</w:t>
      </w:r>
    </w:p>
    <w:tbl>
      <w:tblPr>
        <w:tblStyle w:val="GridTable5Dark"/>
        <w:tblW w:w="10789" w:type="dxa"/>
        <w:tblLayout w:type="fixed"/>
        <w:tblLook w:val="04A0" w:firstRow="1" w:lastRow="0" w:firstColumn="1" w:lastColumn="0" w:noHBand="0" w:noVBand="1"/>
      </w:tblPr>
      <w:tblGrid>
        <w:gridCol w:w="1159"/>
        <w:gridCol w:w="1710"/>
        <w:gridCol w:w="2304"/>
        <w:gridCol w:w="2304"/>
        <w:gridCol w:w="3312"/>
      </w:tblGrid>
      <w:tr w:rsidR="006955FB" w:rsidRPr="004A5977" w14:paraId="4DC9E45D" w14:textId="77777777" w:rsidTr="003A0B4D">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right w:val="single" w:sz="4" w:space="0" w:color="FFFFFF" w:themeColor="background1"/>
            </w:tcBorders>
            <w:shd w:val="clear" w:color="auto" w:fill="C00000"/>
            <w:noWrap/>
            <w:vAlign w:val="center"/>
            <w:hideMark/>
          </w:tcPr>
          <w:p w14:paraId="5B2B2E7D" w14:textId="12DB9B14" w:rsidR="006955FB" w:rsidRPr="004A5977" w:rsidRDefault="006955FB"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Cancer</w:t>
            </w:r>
          </w:p>
        </w:tc>
        <w:tc>
          <w:tcPr>
            <w:tcW w:w="1710" w:type="dxa"/>
            <w:tcBorders>
              <w:left w:val="single" w:sz="4" w:space="0" w:color="FFFFFF" w:themeColor="background1"/>
              <w:right w:val="single" w:sz="4" w:space="0" w:color="FFFFFF" w:themeColor="background1"/>
            </w:tcBorders>
            <w:shd w:val="clear" w:color="auto" w:fill="C00000"/>
            <w:noWrap/>
            <w:vAlign w:val="center"/>
            <w:hideMark/>
          </w:tcPr>
          <w:p w14:paraId="22A3531E" w14:textId="3047CC96" w:rsidR="006955FB" w:rsidRPr="004A5977" w:rsidRDefault="006955FB" w:rsidP="0037525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Gene</w:t>
            </w:r>
          </w:p>
        </w:tc>
        <w:tc>
          <w:tcPr>
            <w:tcW w:w="2304" w:type="dxa"/>
            <w:tcBorders>
              <w:left w:val="single" w:sz="4" w:space="0" w:color="FFFFFF" w:themeColor="background1"/>
              <w:right w:val="single" w:sz="4" w:space="0" w:color="FFFFFF" w:themeColor="background1"/>
            </w:tcBorders>
            <w:shd w:val="clear" w:color="auto" w:fill="C00000"/>
            <w:noWrap/>
            <w:vAlign w:val="center"/>
            <w:hideMark/>
          </w:tcPr>
          <w:p w14:paraId="6EB87A57" w14:textId="71D7BA10" w:rsidR="006955FB" w:rsidRPr="004A5977" w:rsidRDefault="006955FB" w:rsidP="0037525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sidRPr="004A5977">
              <w:rPr>
                <w:rFonts w:ascii="Arial" w:eastAsia="Times New Roman" w:hAnsi="Arial" w:cs="Arial"/>
                <w:kern w:val="0"/>
                <w:sz w:val="16"/>
                <w:szCs w:val="16"/>
                <w14:ligatures w14:val="none"/>
              </w:rPr>
              <w:t>AUC</w:t>
            </w:r>
            <w:r>
              <w:rPr>
                <w:rFonts w:ascii="Arial" w:eastAsia="Times New Roman" w:hAnsi="Arial" w:cs="Arial"/>
                <w:kern w:val="0"/>
                <w:sz w:val="16"/>
                <w:szCs w:val="16"/>
                <w14:ligatures w14:val="none"/>
              </w:rPr>
              <w:t xml:space="preserve"> (</w:t>
            </w:r>
            <w:r w:rsidR="008B28AE">
              <w:rPr>
                <w:rFonts w:ascii="Arial" w:eastAsia="Times New Roman" w:hAnsi="Arial" w:cs="Arial"/>
                <w:kern w:val="0"/>
                <w:sz w:val="16"/>
                <w:szCs w:val="16"/>
                <w14:ligatures w14:val="none"/>
              </w:rPr>
              <w:t>Kather et al.</w:t>
            </w:r>
            <w:r w:rsidR="00166819">
              <w:rPr>
                <w:rFonts w:ascii="Arial" w:eastAsia="Times New Roman" w:hAnsi="Arial" w:cs="Arial"/>
                <w:kern w:val="0"/>
                <w:sz w:val="16"/>
                <w:szCs w:val="16"/>
                <w14:ligatures w14:val="none"/>
              </w:rPr>
              <w:t xml:space="preserve"> </w:t>
            </w:r>
            <w:r w:rsidR="002B0B23">
              <w:rPr>
                <w:rFonts w:ascii="Arial" w:eastAsia="Times New Roman" w:hAnsi="Arial" w:cs="Arial"/>
                <w:kern w:val="0"/>
                <w:sz w:val="16"/>
                <w:szCs w:val="16"/>
                <w14:ligatures w14:val="none"/>
              </w:rPr>
              <w:t>[13]</w:t>
            </w:r>
            <w:r>
              <w:rPr>
                <w:rFonts w:ascii="Arial" w:eastAsia="Times New Roman" w:hAnsi="Arial" w:cs="Arial"/>
                <w:kern w:val="0"/>
                <w:sz w:val="16"/>
                <w:szCs w:val="16"/>
                <w14:ligatures w14:val="none"/>
              </w:rPr>
              <w:t>)</w:t>
            </w:r>
          </w:p>
        </w:tc>
        <w:tc>
          <w:tcPr>
            <w:tcW w:w="2304" w:type="dxa"/>
            <w:tcBorders>
              <w:left w:val="single" w:sz="4" w:space="0" w:color="FFFFFF" w:themeColor="background1"/>
              <w:right w:val="single" w:sz="4" w:space="0" w:color="FFFFFF" w:themeColor="background1"/>
            </w:tcBorders>
            <w:shd w:val="clear" w:color="auto" w:fill="C00000"/>
            <w:noWrap/>
            <w:vAlign w:val="center"/>
            <w:hideMark/>
          </w:tcPr>
          <w:p w14:paraId="363A50A5" w14:textId="3A5FF420" w:rsidR="006955FB" w:rsidRPr="004A5977" w:rsidRDefault="006955FB" w:rsidP="0037525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AUC (GenoGlyph)</w:t>
            </w:r>
          </w:p>
        </w:tc>
        <w:tc>
          <w:tcPr>
            <w:tcW w:w="3312" w:type="dxa"/>
            <w:tcBorders>
              <w:left w:val="single" w:sz="4" w:space="0" w:color="FFFFFF" w:themeColor="background1"/>
            </w:tcBorders>
            <w:shd w:val="clear" w:color="auto" w:fill="C00000"/>
            <w:noWrap/>
            <w:vAlign w:val="center"/>
            <w:hideMark/>
          </w:tcPr>
          <w:p w14:paraId="5AE9936F" w14:textId="4E6C2D8F" w:rsidR="006955FB" w:rsidRPr="004A5977" w:rsidRDefault="006955FB" w:rsidP="00375251">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Notes</w:t>
            </w:r>
          </w:p>
        </w:tc>
      </w:tr>
      <w:tr w:rsidR="003C5269" w:rsidRPr="004A5977" w14:paraId="4A62BEE2"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hideMark/>
          </w:tcPr>
          <w:p w14:paraId="554A91DC" w14:textId="58A0D65A" w:rsidR="003C5269" w:rsidRPr="00D9669A" w:rsidRDefault="003C5269" w:rsidP="00375251">
            <w:pPr>
              <w:rPr>
                <w:rFonts w:ascii="Arial" w:eastAsia="Times New Roman" w:hAnsi="Arial" w:cs="Arial"/>
                <w:b w:val="0"/>
                <w:bCs w:val="0"/>
                <w:kern w:val="0"/>
                <w:sz w:val="16"/>
                <w:szCs w:val="16"/>
                <w14:ligatures w14:val="none"/>
              </w:rPr>
            </w:pPr>
            <w:r>
              <w:rPr>
                <w:rFonts w:ascii="Arial" w:eastAsia="Times New Roman" w:hAnsi="Arial" w:cs="Arial"/>
                <w:kern w:val="0"/>
                <w:sz w:val="16"/>
                <w:szCs w:val="16"/>
                <w14:ligatures w14:val="none"/>
              </w:rPr>
              <w:t>BRCA</w:t>
            </w:r>
          </w:p>
          <w:p w14:paraId="28CA891A" w14:textId="77777777" w:rsidR="003C5269" w:rsidRPr="00D9669A"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hideMark/>
          </w:tcPr>
          <w:p w14:paraId="7CFA7EA9" w14:textId="01D6A087"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PIK3CA</w:t>
            </w:r>
          </w:p>
        </w:tc>
        <w:tc>
          <w:tcPr>
            <w:tcW w:w="2304" w:type="dxa"/>
            <w:shd w:val="clear" w:color="auto" w:fill="D9D9D9" w:themeFill="background1" w:themeFillShade="D9"/>
            <w:noWrap/>
            <w:vAlign w:val="center"/>
            <w:hideMark/>
          </w:tcPr>
          <w:p w14:paraId="30DA1FE4" w14:textId="37CCE779" w:rsidR="003C5269" w:rsidRPr="004A5977"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0.63</w:t>
            </w:r>
          </w:p>
        </w:tc>
        <w:tc>
          <w:tcPr>
            <w:tcW w:w="2304" w:type="dxa"/>
            <w:shd w:val="clear" w:color="auto" w:fill="D9D9D9" w:themeFill="background1" w:themeFillShade="D9"/>
            <w:noWrap/>
            <w:vAlign w:val="center"/>
            <w:hideMark/>
          </w:tcPr>
          <w:p w14:paraId="3B064977" w14:textId="138F5F20"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730860">
              <w:rPr>
                <w:rFonts w:ascii="Arial" w:eastAsia="Times New Roman" w:hAnsi="Arial" w:cs="Arial"/>
                <w:b/>
                <w:bCs/>
                <w:color w:val="000000"/>
                <w:kern w:val="0"/>
                <w:sz w:val="16"/>
                <w:szCs w:val="16"/>
                <w14:ligatures w14:val="none"/>
              </w:rPr>
              <w:t>83</w:t>
            </w:r>
          </w:p>
        </w:tc>
        <w:tc>
          <w:tcPr>
            <w:tcW w:w="3312" w:type="dxa"/>
            <w:vMerge w:val="restart"/>
            <w:shd w:val="clear" w:color="auto" w:fill="D9D9D9" w:themeFill="background1" w:themeFillShade="D9"/>
            <w:noWrap/>
            <w:vAlign w:val="center"/>
          </w:tcPr>
          <w:p w14:paraId="76DAFE82" w14:textId="0A666496" w:rsidR="007D57F9" w:rsidRPr="004A5977" w:rsidRDefault="00E500D4"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E500D4">
              <w:rPr>
                <w:rFonts w:ascii="Arial" w:eastAsia="Times New Roman" w:hAnsi="Arial" w:cs="Arial"/>
                <w:color w:val="000000"/>
                <w:kern w:val="0"/>
                <w:sz w:val="16"/>
                <w:szCs w:val="16"/>
                <w14:ligatures w14:val="none"/>
              </w:rPr>
              <w:t xml:space="preserve">To ensure a fair comparison, we evaluated our per-cancer, per-gene models against the corresponding models reported in the </w:t>
            </w:r>
            <w:r w:rsidR="006D2659">
              <w:rPr>
                <w:rFonts w:ascii="Arial" w:eastAsia="Times New Roman" w:hAnsi="Arial" w:cs="Arial"/>
                <w:color w:val="000000"/>
                <w:kern w:val="0"/>
                <w:sz w:val="16"/>
                <w:szCs w:val="16"/>
                <w14:ligatures w14:val="none"/>
              </w:rPr>
              <w:t>comparison</w:t>
            </w:r>
            <w:r w:rsidRPr="00E500D4">
              <w:rPr>
                <w:rFonts w:ascii="Arial" w:eastAsia="Times New Roman" w:hAnsi="Arial" w:cs="Arial"/>
                <w:color w:val="000000"/>
                <w:kern w:val="0"/>
                <w:sz w:val="16"/>
                <w:szCs w:val="16"/>
                <w14:ligatures w14:val="none"/>
              </w:rPr>
              <w:t xml:space="preserve"> study. Both methods were trained and evaluated using the same ground-truth labels released by the authors, maintaining consistency with the published literature. Because the </w:t>
            </w:r>
            <w:r w:rsidR="006D2659">
              <w:rPr>
                <w:rFonts w:ascii="Arial" w:eastAsia="Times New Roman" w:hAnsi="Arial" w:cs="Arial"/>
                <w:color w:val="000000"/>
                <w:kern w:val="0"/>
                <w:sz w:val="16"/>
                <w:szCs w:val="16"/>
                <w14:ligatures w14:val="none"/>
              </w:rPr>
              <w:t>comparison</w:t>
            </w:r>
            <w:r w:rsidRPr="00E500D4">
              <w:rPr>
                <w:rFonts w:ascii="Arial" w:eastAsia="Times New Roman" w:hAnsi="Arial" w:cs="Arial"/>
                <w:color w:val="000000"/>
                <w:kern w:val="0"/>
                <w:sz w:val="16"/>
                <w:szCs w:val="16"/>
                <w14:ligatures w14:val="none"/>
              </w:rPr>
              <w:t xml:space="preserve"> study reported pooled AUCs with bootstrapped 95% confidence intervals, we adopted the same evaluation protocol for this comparison, although our primary results throughout the manuscript are reported as mean ± standard deviation across folds. The only methodological difference is that the </w:t>
            </w:r>
            <w:r w:rsidR="006D2659">
              <w:rPr>
                <w:rFonts w:ascii="Arial" w:eastAsia="Times New Roman" w:hAnsi="Arial" w:cs="Arial"/>
                <w:color w:val="000000"/>
                <w:kern w:val="0"/>
                <w:sz w:val="16"/>
                <w:szCs w:val="16"/>
                <w14:ligatures w14:val="none"/>
              </w:rPr>
              <w:t>comparison</w:t>
            </w:r>
            <w:r w:rsidRPr="00E500D4">
              <w:rPr>
                <w:rFonts w:ascii="Arial" w:eastAsia="Times New Roman" w:hAnsi="Arial" w:cs="Arial"/>
                <w:color w:val="000000"/>
                <w:kern w:val="0"/>
                <w:sz w:val="16"/>
                <w:szCs w:val="16"/>
                <w14:ligatures w14:val="none"/>
              </w:rPr>
              <w:t xml:space="preserve"> study employed 3-fold cross-validation, whereas our models were trained using 5-fold cross-validation.</w:t>
            </w:r>
          </w:p>
        </w:tc>
      </w:tr>
      <w:tr w:rsidR="003C5269" w:rsidRPr="004A5977" w14:paraId="490CD624"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hideMark/>
          </w:tcPr>
          <w:p w14:paraId="4941AF1B" w14:textId="77777777" w:rsidR="003C5269" w:rsidRPr="00D9669A"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hideMark/>
          </w:tcPr>
          <w:p w14:paraId="77E771D3" w14:textId="263ECB25"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hideMark/>
          </w:tcPr>
          <w:p w14:paraId="0506B5C0" w14:textId="3D0441C2" w:rsidR="003C5269" w:rsidRPr="004A5977"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0.78</w:t>
            </w:r>
          </w:p>
        </w:tc>
        <w:tc>
          <w:tcPr>
            <w:tcW w:w="2304" w:type="dxa"/>
            <w:shd w:val="clear" w:color="auto" w:fill="D9D9D9" w:themeFill="background1" w:themeFillShade="D9"/>
            <w:noWrap/>
            <w:vAlign w:val="center"/>
            <w:hideMark/>
          </w:tcPr>
          <w:p w14:paraId="6D77313B" w14:textId="3DDB7883"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0.8</w:t>
            </w:r>
            <w:r w:rsidR="001A05D4">
              <w:rPr>
                <w:rFonts w:ascii="Arial" w:eastAsia="Times New Roman" w:hAnsi="Arial" w:cs="Arial"/>
                <w:b/>
                <w:bCs/>
                <w:color w:val="000000"/>
                <w:kern w:val="0"/>
                <w:sz w:val="16"/>
                <w:szCs w:val="16"/>
                <w14:ligatures w14:val="none"/>
              </w:rPr>
              <w:t>4</w:t>
            </w:r>
          </w:p>
        </w:tc>
        <w:tc>
          <w:tcPr>
            <w:tcW w:w="3312" w:type="dxa"/>
            <w:vMerge/>
            <w:shd w:val="clear" w:color="auto" w:fill="D9D9D9" w:themeFill="background1" w:themeFillShade="D9"/>
            <w:noWrap/>
            <w:vAlign w:val="center"/>
          </w:tcPr>
          <w:p w14:paraId="30B273AF" w14:textId="66D718AE"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0AD6FE68"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hideMark/>
          </w:tcPr>
          <w:p w14:paraId="3DA14456" w14:textId="5450068A" w:rsidR="003C5269" w:rsidRPr="00D9669A" w:rsidRDefault="003C5269" w:rsidP="00375251">
            <w:pPr>
              <w:rPr>
                <w:rFonts w:ascii="Arial" w:eastAsia="Times New Roman" w:hAnsi="Arial" w:cs="Arial"/>
                <w:b w:val="0"/>
                <w:bCs w:val="0"/>
                <w:kern w:val="0"/>
                <w:sz w:val="16"/>
                <w:szCs w:val="16"/>
                <w14:ligatures w14:val="none"/>
              </w:rPr>
            </w:pPr>
            <w:r>
              <w:rPr>
                <w:rFonts w:ascii="Arial" w:eastAsia="Times New Roman" w:hAnsi="Arial" w:cs="Arial"/>
                <w:kern w:val="0"/>
                <w:sz w:val="16"/>
                <w:szCs w:val="16"/>
                <w14:ligatures w14:val="none"/>
              </w:rPr>
              <w:t>CRC</w:t>
            </w:r>
          </w:p>
          <w:p w14:paraId="6EC75FB2" w14:textId="77777777" w:rsidR="003C5269" w:rsidRPr="00D9669A"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hideMark/>
          </w:tcPr>
          <w:p w14:paraId="71AF224D" w14:textId="02D6FC82"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hideMark/>
          </w:tcPr>
          <w:p w14:paraId="66C3E0E0" w14:textId="1AC79815" w:rsidR="003C5269" w:rsidRPr="004A5977"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0.68</w:t>
            </w:r>
          </w:p>
        </w:tc>
        <w:tc>
          <w:tcPr>
            <w:tcW w:w="2304" w:type="dxa"/>
            <w:shd w:val="clear" w:color="auto" w:fill="D9D9D9" w:themeFill="background1" w:themeFillShade="D9"/>
            <w:noWrap/>
            <w:vAlign w:val="center"/>
            <w:hideMark/>
          </w:tcPr>
          <w:p w14:paraId="0396E9CA" w14:textId="31CA42A8"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0.7</w:t>
            </w:r>
            <w:r w:rsidR="001718F0">
              <w:rPr>
                <w:rFonts w:ascii="Arial" w:eastAsia="Times New Roman" w:hAnsi="Arial" w:cs="Arial"/>
                <w:b/>
                <w:bCs/>
                <w:color w:val="000000"/>
                <w:kern w:val="0"/>
                <w:sz w:val="16"/>
                <w:szCs w:val="16"/>
                <w14:ligatures w14:val="none"/>
              </w:rPr>
              <w:t>4</w:t>
            </w:r>
          </w:p>
        </w:tc>
        <w:tc>
          <w:tcPr>
            <w:tcW w:w="3312" w:type="dxa"/>
            <w:vMerge/>
            <w:shd w:val="clear" w:color="auto" w:fill="D9D9D9" w:themeFill="background1" w:themeFillShade="D9"/>
            <w:noWrap/>
            <w:vAlign w:val="center"/>
          </w:tcPr>
          <w:p w14:paraId="6C837972" w14:textId="2B4387D0"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792162A3"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hideMark/>
          </w:tcPr>
          <w:p w14:paraId="74EA9626" w14:textId="77777777" w:rsidR="003C5269" w:rsidRPr="004A5977"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hideMark/>
          </w:tcPr>
          <w:p w14:paraId="668F1CC0" w14:textId="1CF0C761"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BRAF</w:t>
            </w:r>
          </w:p>
        </w:tc>
        <w:tc>
          <w:tcPr>
            <w:tcW w:w="2304" w:type="dxa"/>
            <w:shd w:val="clear" w:color="auto" w:fill="D9D9D9" w:themeFill="background1" w:themeFillShade="D9"/>
            <w:noWrap/>
            <w:vAlign w:val="center"/>
            <w:hideMark/>
          </w:tcPr>
          <w:p w14:paraId="1B4ECFCA" w14:textId="13395305" w:rsidR="003C5269" w:rsidRPr="004A5977"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0.67</w:t>
            </w:r>
          </w:p>
        </w:tc>
        <w:tc>
          <w:tcPr>
            <w:tcW w:w="2304" w:type="dxa"/>
            <w:shd w:val="clear" w:color="auto" w:fill="D9D9D9" w:themeFill="background1" w:themeFillShade="D9"/>
            <w:noWrap/>
            <w:vAlign w:val="center"/>
            <w:hideMark/>
          </w:tcPr>
          <w:p w14:paraId="39862A49" w14:textId="0E7E3C1D"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0.84</w:t>
            </w:r>
          </w:p>
        </w:tc>
        <w:tc>
          <w:tcPr>
            <w:tcW w:w="3312" w:type="dxa"/>
            <w:vMerge/>
            <w:shd w:val="clear" w:color="auto" w:fill="D9D9D9" w:themeFill="background1" w:themeFillShade="D9"/>
            <w:noWrap/>
            <w:vAlign w:val="center"/>
          </w:tcPr>
          <w:p w14:paraId="07EBB8E8" w14:textId="03AA4173"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788354C0"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hideMark/>
          </w:tcPr>
          <w:p w14:paraId="10D1F690" w14:textId="77777777" w:rsidR="003C5269" w:rsidRPr="004A5977"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hideMark/>
          </w:tcPr>
          <w:p w14:paraId="61ECA2CA" w14:textId="0198F9F8"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KRAS</w:t>
            </w:r>
          </w:p>
        </w:tc>
        <w:tc>
          <w:tcPr>
            <w:tcW w:w="2304" w:type="dxa"/>
            <w:shd w:val="clear" w:color="auto" w:fill="D9D9D9" w:themeFill="background1" w:themeFillShade="D9"/>
            <w:noWrap/>
            <w:vAlign w:val="center"/>
            <w:hideMark/>
          </w:tcPr>
          <w:p w14:paraId="4E2E0D3A" w14:textId="0EBA19B1" w:rsidR="003C5269" w:rsidRPr="004A5977"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0.60</w:t>
            </w:r>
          </w:p>
        </w:tc>
        <w:tc>
          <w:tcPr>
            <w:tcW w:w="2304" w:type="dxa"/>
            <w:shd w:val="clear" w:color="auto" w:fill="D9D9D9" w:themeFill="background1" w:themeFillShade="D9"/>
            <w:noWrap/>
            <w:vAlign w:val="center"/>
            <w:hideMark/>
          </w:tcPr>
          <w:p w14:paraId="57BE4ED9" w14:textId="291F68A2"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572869">
              <w:rPr>
                <w:rFonts w:ascii="Arial" w:eastAsia="Times New Roman" w:hAnsi="Arial" w:cs="Arial"/>
                <w:b/>
                <w:bCs/>
                <w:color w:val="000000"/>
                <w:kern w:val="0"/>
                <w:sz w:val="16"/>
                <w:szCs w:val="16"/>
                <w14:ligatures w14:val="none"/>
              </w:rPr>
              <w:t>74</w:t>
            </w:r>
          </w:p>
        </w:tc>
        <w:tc>
          <w:tcPr>
            <w:tcW w:w="3312" w:type="dxa"/>
            <w:vMerge/>
            <w:shd w:val="clear" w:color="auto" w:fill="D9D9D9" w:themeFill="background1" w:themeFillShade="D9"/>
            <w:noWrap/>
            <w:vAlign w:val="center"/>
          </w:tcPr>
          <w:p w14:paraId="4E5A47DA" w14:textId="791A92C5"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65E9EE97"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48D52454" w14:textId="77777777" w:rsidR="003C5269" w:rsidRPr="004A5977"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tcPr>
          <w:p w14:paraId="33DF9211" w14:textId="1FFA8B63"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PIK3CA</w:t>
            </w:r>
          </w:p>
        </w:tc>
        <w:tc>
          <w:tcPr>
            <w:tcW w:w="2304" w:type="dxa"/>
            <w:shd w:val="clear" w:color="auto" w:fill="D9D9D9" w:themeFill="background1" w:themeFillShade="D9"/>
            <w:noWrap/>
            <w:vAlign w:val="center"/>
          </w:tcPr>
          <w:p w14:paraId="22F37111" w14:textId="4D441D15" w:rsidR="003C5269" w:rsidRPr="004A5977"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0.62</w:t>
            </w:r>
          </w:p>
        </w:tc>
        <w:tc>
          <w:tcPr>
            <w:tcW w:w="2304" w:type="dxa"/>
            <w:shd w:val="clear" w:color="auto" w:fill="D9D9D9" w:themeFill="background1" w:themeFillShade="D9"/>
            <w:noWrap/>
            <w:vAlign w:val="center"/>
          </w:tcPr>
          <w:p w14:paraId="70455950" w14:textId="50A94E68"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0.6</w:t>
            </w:r>
            <w:r w:rsidR="0045206B">
              <w:rPr>
                <w:rFonts w:ascii="Arial" w:eastAsia="Times New Roman" w:hAnsi="Arial" w:cs="Arial"/>
                <w:b/>
                <w:bCs/>
                <w:color w:val="000000"/>
                <w:kern w:val="0"/>
                <w:sz w:val="16"/>
                <w:szCs w:val="16"/>
                <w14:ligatures w14:val="none"/>
              </w:rPr>
              <w:t>4</w:t>
            </w:r>
          </w:p>
        </w:tc>
        <w:tc>
          <w:tcPr>
            <w:tcW w:w="3312" w:type="dxa"/>
            <w:vMerge/>
            <w:shd w:val="clear" w:color="auto" w:fill="D9D9D9" w:themeFill="background1" w:themeFillShade="D9"/>
            <w:noWrap/>
            <w:vAlign w:val="center"/>
          </w:tcPr>
          <w:p w14:paraId="2F803E7C" w14:textId="77777777"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71C460F0"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5A730500" w14:textId="77777777" w:rsidR="003C5269" w:rsidRPr="004A5977"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tcPr>
          <w:p w14:paraId="0993AB4B" w14:textId="6E9F41C5"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APC</w:t>
            </w:r>
          </w:p>
        </w:tc>
        <w:tc>
          <w:tcPr>
            <w:tcW w:w="2304" w:type="dxa"/>
            <w:shd w:val="clear" w:color="auto" w:fill="D9D9D9" w:themeFill="background1" w:themeFillShade="D9"/>
            <w:noWrap/>
            <w:vAlign w:val="center"/>
          </w:tcPr>
          <w:p w14:paraId="011F0B01" w14:textId="0B679B76" w:rsidR="003C5269" w:rsidRPr="004A5977"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0.65</w:t>
            </w:r>
          </w:p>
        </w:tc>
        <w:tc>
          <w:tcPr>
            <w:tcW w:w="2304" w:type="dxa"/>
            <w:shd w:val="clear" w:color="auto" w:fill="D9D9D9" w:themeFill="background1" w:themeFillShade="D9"/>
            <w:noWrap/>
            <w:vAlign w:val="center"/>
          </w:tcPr>
          <w:p w14:paraId="1EF5E607" w14:textId="17771EAF"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2E6900">
              <w:rPr>
                <w:rFonts w:ascii="Arial" w:eastAsia="Times New Roman" w:hAnsi="Arial" w:cs="Arial"/>
                <w:b/>
                <w:bCs/>
                <w:color w:val="000000"/>
                <w:kern w:val="0"/>
                <w:sz w:val="16"/>
                <w:szCs w:val="16"/>
                <w14:ligatures w14:val="none"/>
              </w:rPr>
              <w:t>9</w:t>
            </w:r>
            <w:r w:rsidRPr="003C5269">
              <w:rPr>
                <w:rFonts w:ascii="Arial" w:eastAsia="Times New Roman" w:hAnsi="Arial" w:cs="Arial"/>
                <w:b/>
                <w:bCs/>
                <w:color w:val="000000"/>
                <w:kern w:val="0"/>
                <w:sz w:val="16"/>
                <w:szCs w:val="16"/>
                <w14:ligatures w14:val="none"/>
              </w:rPr>
              <w:t>1</w:t>
            </w:r>
          </w:p>
        </w:tc>
        <w:tc>
          <w:tcPr>
            <w:tcW w:w="3312" w:type="dxa"/>
            <w:vMerge/>
            <w:shd w:val="clear" w:color="auto" w:fill="D9D9D9" w:themeFill="background1" w:themeFillShade="D9"/>
            <w:noWrap/>
            <w:vAlign w:val="center"/>
          </w:tcPr>
          <w:p w14:paraId="5A866B04" w14:textId="77777777"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20BBC4B8"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382FFAA1" w14:textId="3173037B" w:rsidR="003C5269" w:rsidRPr="004A5977"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HNSC</w:t>
            </w:r>
          </w:p>
        </w:tc>
        <w:tc>
          <w:tcPr>
            <w:tcW w:w="1710" w:type="dxa"/>
            <w:shd w:val="clear" w:color="auto" w:fill="C00000"/>
            <w:noWrap/>
            <w:vAlign w:val="center"/>
          </w:tcPr>
          <w:p w14:paraId="23AEC0A4" w14:textId="30BB7D24"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0221185E" w14:textId="099A3AEF" w:rsid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0.70</w:t>
            </w:r>
          </w:p>
        </w:tc>
        <w:tc>
          <w:tcPr>
            <w:tcW w:w="2304" w:type="dxa"/>
            <w:shd w:val="clear" w:color="auto" w:fill="D9D9D9" w:themeFill="background1" w:themeFillShade="D9"/>
            <w:noWrap/>
            <w:vAlign w:val="center"/>
          </w:tcPr>
          <w:p w14:paraId="4AB077E2" w14:textId="69A07AF0"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914A56">
              <w:rPr>
                <w:rFonts w:ascii="Arial" w:eastAsia="Times New Roman" w:hAnsi="Arial" w:cs="Arial"/>
                <w:b/>
                <w:bCs/>
                <w:color w:val="000000"/>
                <w:kern w:val="0"/>
                <w:sz w:val="16"/>
                <w:szCs w:val="16"/>
                <w14:ligatures w14:val="none"/>
              </w:rPr>
              <w:t>96</w:t>
            </w:r>
          </w:p>
        </w:tc>
        <w:tc>
          <w:tcPr>
            <w:tcW w:w="3312" w:type="dxa"/>
            <w:vMerge/>
            <w:shd w:val="clear" w:color="auto" w:fill="D9D9D9" w:themeFill="background1" w:themeFillShade="D9"/>
            <w:noWrap/>
            <w:vAlign w:val="center"/>
          </w:tcPr>
          <w:p w14:paraId="6EF3F99C" w14:textId="77777777"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68BEC234"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66714E20" w14:textId="2ACD9D70" w:rsidR="003C5269"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KIXX</w:t>
            </w:r>
          </w:p>
        </w:tc>
        <w:tc>
          <w:tcPr>
            <w:tcW w:w="1710" w:type="dxa"/>
            <w:shd w:val="clear" w:color="auto" w:fill="C00000"/>
            <w:noWrap/>
            <w:vAlign w:val="center"/>
          </w:tcPr>
          <w:p w14:paraId="23CF1278" w14:textId="2B166B25" w:rsidR="003C5269" w:rsidRPr="00B61FBD"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PBRM1</w:t>
            </w:r>
          </w:p>
        </w:tc>
        <w:tc>
          <w:tcPr>
            <w:tcW w:w="2304" w:type="dxa"/>
            <w:shd w:val="clear" w:color="auto" w:fill="D9D9D9" w:themeFill="background1" w:themeFillShade="D9"/>
            <w:noWrap/>
            <w:vAlign w:val="center"/>
          </w:tcPr>
          <w:p w14:paraId="5A044E33" w14:textId="4F0EEBB7" w:rsid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0.63</w:t>
            </w:r>
          </w:p>
        </w:tc>
        <w:tc>
          <w:tcPr>
            <w:tcW w:w="2304" w:type="dxa"/>
            <w:shd w:val="clear" w:color="auto" w:fill="D9D9D9" w:themeFill="background1" w:themeFillShade="D9"/>
            <w:noWrap/>
            <w:vAlign w:val="center"/>
          </w:tcPr>
          <w:p w14:paraId="7238D4BD" w14:textId="5BF36296"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0.78</w:t>
            </w:r>
          </w:p>
        </w:tc>
        <w:tc>
          <w:tcPr>
            <w:tcW w:w="3312" w:type="dxa"/>
            <w:vMerge/>
            <w:shd w:val="clear" w:color="auto" w:fill="D9D9D9" w:themeFill="background1" w:themeFillShade="D9"/>
            <w:noWrap/>
            <w:vAlign w:val="center"/>
          </w:tcPr>
          <w:p w14:paraId="09464B2D" w14:textId="77777777"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2587F9AF"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tcPr>
          <w:p w14:paraId="132E9551" w14:textId="0A921E4E" w:rsidR="003C5269"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LIHC</w:t>
            </w:r>
          </w:p>
        </w:tc>
        <w:tc>
          <w:tcPr>
            <w:tcW w:w="1710" w:type="dxa"/>
            <w:shd w:val="clear" w:color="auto" w:fill="C00000"/>
            <w:noWrap/>
            <w:vAlign w:val="center"/>
          </w:tcPr>
          <w:p w14:paraId="7D2302FD" w14:textId="7E85BE14" w:rsidR="003C5269" w:rsidRPr="00B61FBD"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CTNNB1</w:t>
            </w:r>
          </w:p>
        </w:tc>
        <w:tc>
          <w:tcPr>
            <w:tcW w:w="2304" w:type="dxa"/>
            <w:shd w:val="clear" w:color="auto" w:fill="D9D9D9" w:themeFill="background1" w:themeFillShade="D9"/>
            <w:noWrap/>
            <w:vAlign w:val="center"/>
          </w:tcPr>
          <w:p w14:paraId="43369773" w14:textId="73BB57F9" w:rsid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0.71</w:t>
            </w:r>
          </w:p>
        </w:tc>
        <w:tc>
          <w:tcPr>
            <w:tcW w:w="2304" w:type="dxa"/>
            <w:shd w:val="clear" w:color="auto" w:fill="D9D9D9" w:themeFill="background1" w:themeFillShade="D9"/>
            <w:noWrap/>
            <w:vAlign w:val="center"/>
          </w:tcPr>
          <w:p w14:paraId="205CF437" w14:textId="1B5D68B3"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0.78</w:t>
            </w:r>
          </w:p>
        </w:tc>
        <w:tc>
          <w:tcPr>
            <w:tcW w:w="3312" w:type="dxa"/>
            <w:vMerge/>
            <w:shd w:val="clear" w:color="auto" w:fill="D9D9D9" w:themeFill="background1" w:themeFillShade="D9"/>
            <w:noWrap/>
            <w:vAlign w:val="center"/>
          </w:tcPr>
          <w:p w14:paraId="2911A8DD" w14:textId="77777777"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1128CE4B"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6C82686B" w14:textId="77777777" w:rsidR="003C5269" w:rsidRDefault="003C5269" w:rsidP="00375251">
            <w:pPr>
              <w:rPr>
                <w:rFonts w:ascii="Arial" w:eastAsia="Times New Roman" w:hAnsi="Arial" w:cs="Arial"/>
                <w:kern w:val="0"/>
                <w:sz w:val="16"/>
                <w:szCs w:val="16"/>
                <w14:ligatures w14:val="none"/>
              </w:rPr>
            </w:pPr>
          </w:p>
        </w:tc>
        <w:tc>
          <w:tcPr>
            <w:tcW w:w="1710" w:type="dxa"/>
            <w:shd w:val="clear" w:color="auto" w:fill="C00000"/>
            <w:noWrap/>
            <w:vAlign w:val="center"/>
          </w:tcPr>
          <w:p w14:paraId="61ECB366" w14:textId="1312EB28"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50AB4ADD" w14:textId="08D5828D" w:rsid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0.61</w:t>
            </w:r>
          </w:p>
        </w:tc>
        <w:tc>
          <w:tcPr>
            <w:tcW w:w="2304" w:type="dxa"/>
            <w:shd w:val="clear" w:color="auto" w:fill="D9D9D9" w:themeFill="background1" w:themeFillShade="D9"/>
            <w:noWrap/>
            <w:vAlign w:val="center"/>
          </w:tcPr>
          <w:p w14:paraId="5663CEF5" w14:textId="32AFEDD3"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9B4C73">
              <w:rPr>
                <w:rFonts w:ascii="Arial" w:eastAsia="Times New Roman" w:hAnsi="Arial" w:cs="Arial"/>
                <w:b/>
                <w:bCs/>
                <w:color w:val="000000"/>
                <w:kern w:val="0"/>
                <w:sz w:val="16"/>
                <w:szCs w:val="16"/>
                <w14:ligatures w14:val="none"/>
              </w:rPr>
              <w:t>90</w:t>
            </w:r>
          </w:p>
        </w:tc>
        <w:tc>
          <w:tcPr>
            <w:tcW w:w="3312" w:type="dxa"/>
            <w:vMerge/>
            <w:shd w:val="clear" w:color="auto" w:fill="D9D9D9" w:themeFill="background1" w:themeFillShade="D9"/>
            <w:noWrap/>
            <w:vAlign w:val="center"/>
          </w:tcPr>
          <w:p w14:paraId="4E078291" w14:textId="77777777"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41E9C5B0"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05605A48" w14:textId="340105CF" w:rsidR="003C5269"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LUAD</w:t>
            </w:r>
          </w:p>
        </w:tc>
        <w:tc>
          <w:tcPr>
            <w:tcW w:w="1710" w:type="dxa"/>
            <w:shd w:val="clear" w:color="auto" w:fill="C00000"/>
            <w:noWrap/>
            <w:vAlign w:val="center"/>
          </w:tcPr>
          <w:p w14:paraId="5C742B23" w14:textId="7D5C9E4E"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6FA7B348" w14:textId="665FB245" w:rsidR="003C5269" w:rsidRPr="006938F8"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6938F8">
              <w:rPr>
                <w:rFonts w:ascii="Arial" w:eastAsia="Times New Roman" w:hAnsi="Arial" w:cs="Arial"/>
                <w:color w:val="000000"/>
                <w:kern w:val="0"/>
                <w:sz w:val="16"/>
                <w:szCs w:val="16"/>
                <w14:ligatures w14:val="none"/>
              </w:rPr>
              <w:t>0.72</w:t>
            </w:r>
          </w:p>
        </w:tc>
        <w:tc>
          <w:tcPr>
            <w:tcW w:w="2304" w:type="dxa"/>
            <w:shd w:val="clear" w:color="auto" w:fill="D9D9D9" w:themeFill="background1" w:themeFillShade="D9"/>
            <w:noWrap/>
            <w:vAlign w:val="center"/>
          </w:tcPr>
          <w:p w14:paraId="0F95BBA2" w14:textId="786F987F" w:rsidR="003C5269" w:rsidRPr="006938F8"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6938F8">
              <w:rPr>
                <w:rFonts w:ascii="Arial" w:eastAsia="Times New Roman" w:hAnsi="Arial" w:cs="Arial"/>
                <w:b/>
                <w:bCs/>
                <w:color w:val="000000"/>
                <w:kern w:val="0"/>
                <w:sz w:val="16"/>
                <w:szCs w:val="16"/>
                <w14:ligatures w14:val="none"/>
              </w:rPr>
              <w:t>0.7</w:t>
            </w:r>
            <w:r w:rsidR="006938F8" w:rsidRPr="006938F8">
              <w:rPr>
                <w:rFonts w:ascii="Arial" w:eastAsia="Times New Roman" w:hAnsi="Arial" w:cs="Arial"/>
                <w:b/>
                <w:bCs/>
                <w:color w:val="000000"/>
                <w:kern w:val="0"/>
                <w:sz w:val="16"/>
                <w:szCs w:val="16"/>
                <w14:ligatures w14:val="none"/>
              </w:rPr>
              <w:t>6</w:t>
            </w:r>
          </w:p>
        </w:tc>
        <w:tc>
          <w:tcPr>
            <w:tcW w:w="3312" w:type="dxa"/>
            <w:vMerge/>
            <w:shd w:val="clear" w:color="auto" w:fill="D9D9D9" w:themeFill="background1" w:themeFillShade="D9"/>
            <w:noWrap/>
            <w:vAlign w:val="center"/>
          </w:tcPr>
          <w:p w14:paraId="7E4BEDAB" w14:textId="77777777"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42B86AD6"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4051C17C" w14:textId="65048BF1" w:rsidR="003C5269"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PAAD</w:t>
            </w:r>
          </w:p>
        </w:tc>
        <w:tc>
          <w:tcPr>
            <w:tcW w:w="1710" w:type="dxa"/>
            <w:shd w:val="clear" w:color="auto" w:fill="C00000"/>
            <w:noWrap/>
            <w:vAlign w:val="center"/>
          </w:tcPr>
          <w:p w14:paraId="1B789601" w14:textId="59CDCA6B" w:rsidR="003C5269" w:rsidRPr="00B61FBD" w:rsidRDefault="00445CAB"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KRAS</w:t>
            </w:r>
          </w:p>
        </w:tc>
        <w:tc>
          <w:tcPr>
            <w:tcW w:w="2304" w:type="dxa"/>
            <w:shd w:val="clear" w:color="auto" w:fill="D9D9D9" w:themeFill="background1" w:themeFillShade="D9"/>
            <w:noWrap/>
            <w:vAlign w:val="center"/>
          </w:tcPr>
          <w:p w14:paraId="7C1F63AD" w14:textId="5B5A259F" w:rsid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0.67</w:t>
            </w:r>
          </w:p>
        </w:tc>
        <w:tc>
          <w:tcPr>
            <w:tcW w:w="2304" w:type="dxa"/>
            <w:shd w:val="clear" w:color="auto" w:fill="D9D9D9" w:themeFill="background1" w:themeFillShade="D9"/>
            <w:noWrap/>
            <w:vAlign w:val="center"/>
          </w:tcPr>
          <w:p w14:paraId="5B3FD058" w14:textId="4F377C43" w:rsidR="003C5269" w:rsidRPr="003C5269" w:rsidRDefault="003C5269" w:rsidP="00375251">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w:t>
            </w:r>
            <w:r w:rsidR="00BA42C6">
              <w:rPr>
                <w:rFonts w:ascii="Arial" w:eastAsia="Times New Roman" w:hAnsi="Arial" w:cs="Arial"/>
                <w:b/>
                <w:bCs/>
                <w:color w:val="000000"/>
                <w:kern w:val="0"/>
                <w:sz w:val="16"/>
                <w:szCs w:val="16"/>
                <w14:ligatures w14:val="none"/>
              </w:rPr>
              <w:t>8</w:t>
            </w:r>
            <w:r w:rsidR="00BA173B">
              <w:rPr>
                <w:rFonts w:ascii="Arial" w:eastAsia="Times New Roman" w:hAnsi="Arial" w:cs="Arial"/>
                <w:b/>
                <w:bCs/>
                <w:color w:val="000000"/>
                <w:kern w:val="0"/>
                <w:sz w:val="16"/>
                <w:szCs w:val="16"/>
                <w14:ligatures w14:val="none"/>
              </w:rPr>
              <w:t>9</w:t>
            </w:r>
          </w:p>
        </w:tc>
        <w:tc>
          <w:tcPr>
            <w:tcW w:w="3312" w:type="dxa"/>
            <w:vMerge/>
            <w:shd w:val="clear" w:color="auto" w:fill="D9D9D9" w:themeFill="background1" w:themeFillShade="D9"/>
            <w:noWrap/>
            <w:vAlign w:val="center"/>
          </w:tcPr>
          <w:p w14:paraId="3A289A68" w14:textId="77777777" w:rsidR="003C5269" w:rsidRPr="004A5977" w:rsidRDefault="003C5269"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3C5269" w:rsidRPr="004A5977" w14:paraId="0DB913C6"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37E77287" w14:textId="58CC0A1D" w:rsidR="003C5269" w:rsidRDefault="003C5269" w:rsidP="00375251">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STAD</w:t>
            </w:r>
          </w:p>
        </w:tc>
        <w:tc>
          <w:tcPr>
            <w:tcW w:w="1710" w:type="dxa"/>
            <w:shd w:val="clear" w:color="auto" w:fill="C00000"/>
            <w:noWrap/>
            <w:vAlign w:val="center"/>
          </w:tcPr>
          <w:p w14:paraId="45217644" w14:textId="4D0AA44A" w:rsidR="003C5269" w:rsidRPr="00B61FBD" w:rsidRDefault="00445CAB"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B61FBD">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2FC2E4A6" w14:textId="7A23DE35" w:rsid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0.60</w:t>
            </w:r>
          </w:p>
        </w:tc>
        <w:tc>
          <w:tcPr>
            <w:tcW w:w="2304" w:type="dxa"/>
            <w:shd w:val="clear" w:color="auto" w:fill="D9D9D9" w:themeFill="background1" w:themeFillShade="D9"/>
            <w:noWrap/>
            <w:vAlign w:val="center"/>
          </w:tcPr>
          <w:p w14:paraId="62CA74E4" w14:textId="2A025DAE" w:rsidR="003C5269" w:rsidRPr="003C5269" w:rsidRDefault="003C5269" w:rsidP="00375251">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sidRPr="003C5269">
              <w:rPr>
                <w:rFonts w:ascii="Arial" w:eastAsia="Times New Roman" w:hAnsi="Arial" w:cs="Arial"/>
                <w:b/>
                <w:bCs/>
                <w:color w:val="000000"/>
                <w:kern w:val="0"/>
                <w:sz w:val="16"/>
                <w:szCs w:val="16"/>
                <w14:ligatures w14:val="none"/>
              </w:rPr>
              <w:t>0.68</w:t>
            </w:r>
          </w:p>
        </w:tc>
        <w:tc>
          <w:tcPr>
            <w:tcW w:w="3312" w:type="dxa"/>
            <w:vMerge/>
            <w:shd w:val="clear" w:color="auto" w:fill="D9D9D9" w:themeFill="background1" w:themeFillShade="D9"/>
            <w:noWrap/>
            <w:vAlign w:val="center"/>
          </w:tcPr>
          <w:p w14:paraId="0BF33EB3" w14:textId="77777777" w:rsidR="003C5269" w:rsidRPr="004A5977" w:rsidRDefault="003C5269"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13109C" w:rsidRPr="004A5977" w14:paraId="4DC33190"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7D9E3706" w14:textId="30CC73F5" w:rsidR="0013109C" w:rsidRPr="0013109C" w:rsidRDefault="0013109C" w:rsidP="0013109C">
            <w:pPr>
              <w:rPr>
                <w:rFonts w:ascii="Arial" w:eastAsia="Times New Roman" w:hAnsi="Arial" w:cs="Arial"/>
                <w:kern w:val="0"/>
                <w:sz w:val="16"/>
                <w:szCs w:val="16"/>
                <w14:ligatures w14:val="none"/>
              </w:rPr>
            </w:pPr>
            <w:r w:rsidRPr="0013109C">
              <w:rPr>
                <w:rFonts w:ascii="Arial" w:eastAsia="Times New Roman" w:hAnsi="Arial" w:cs="Arial"/>
                <w:kern w:val="0"/>
                <w:sz w:val="16"/>
                <w:szCs w:val="16"/>
                <w14:ligatures w14:val="none"/>
              </w:rPr>
              <w:t>Cancer</w:t>
            </w:r>
          </w:p>
        </w:tc>
        <w:tc>
          <w:tcPr>
            <w:tcW w:w="1710" w:type="dxa"/>
            <w:shd w:val="clear" w:color="auto" w:fill="C00000"/>
            <w:noWrap/>
            <w:vAlign w:val="center"/>
          </w:tcPr>
          <w:p w14:paraId="39B1CFD9" w14:textId="2E89505A" w:rsidR="0013109C" w:rsidRPr="0013109C" w:rsidRDefault="0013109C" w:rsidP="0013109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i/>
                <w:color w:val="FFFFFF" w:themeColor="background1"/>
                <w:kern w:val="0"/>
                <w:sz w:val="16"/>
                <w:szCs w:val="16"/>
                <w14:ligatures w14:val="none"/>
              </w:rPr>
            </w:pPr>
            <w:r w:rsidRPr="0013109C">
              <w:rPr>
                <w:rFonts w:ascii="Arial" w:eastAsia="Times New Roman" w:hAnsi="Arial" w:cs="Arial"/>
                <w:b/>
                <w:bCs/>
                <w:kern w:val="0"/>
                <w:sz w:val="16"/>
                <w:szCs w:val="16"/>
                <w14:ligatures w14:val="none"/>
              </w:rPr>
              <w:t>Gene</w:t>
            </w:r>
          </w:p>
        </w:tc>
        <w:tc>
          <w:tcPr>
            <w:tcW w:w="2304" w:type="dxa"/>
            <w:shd w:val="clear" w:color="auto" w:fill="C00000"/>
            <w:noWrap/>
            <w:vAlign w:val="center"/>
          </w:tcPr>
          <w:p w14:paraId="757F9C9C" w14:textId="1D899518" w:rsidR="0013109C" w:rsidRPr="0013109C" w:rsidRDefault="0013109C" w:rsidP="0013109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13109C">
              <w:rPr>
                <w:rFonts w:ascii="Arial" w:eastAsia="Times New Roman" w:hAnsi="Arial" w:cs="Arial"/>
                <w:b/>
                <w:bCs/>
                <w:kern w:val="0"/>
                <w:sz w:val="16"/>
                <w:szCs w:val="16"/>
                <w14:ligatures w14:val="none"/>
              </w:rPr>
              <w:t>AUC (</w:t>
            </w:r>
            <w:r w:rsidR="004C1BC8">
              <w:rPr>
                <w:rFonts w:ascii="Arial" w:eastAsia="Times New Roman" w:hAnsi="Arial" w:cs="Arial"/>
                <w:b/>
                <w:bCs/>
                <w:kern w:val="0"/>
                <w:sz w:val="16"/>
                <w:szCs w:val="16"/>
                <w14:ligatures w14:val="none"/>
              </w:rPr>
              <w:t>Sal</w:t>
            </w:r>
            <w:r w:rsidR="002F1644">
              <w:rPr>
                <w:rFonts w:ascii="Arial" w:eastAsia="Times New Roman" w:hAnsi="Arial" w:cs="Arial"/>
                <w:b/>
                <w:bCs/>
                <w:kern w:val="0"/>
                <w:sz w:val="16"/>
                <w:szCs w:val="16"/>
                <w14:ligatures w14:val="none"/>
              </w:rPr>
              <w:t>danha</w:t>
            </w:r>
            <w:r w:rsidRPr="0013109C">
              <w:rPr>
                <w:rFonts w:ascii="Arial" w:eastAsia="Times New Roman" w:hAnsi="Arial" w:cs="Arial"/>
                <w:b/>
                <w:bCs/>
                <w:kern w:val="0"/>
                <w:sz w:val="16"/>
                <w:szCs w:val="16"/>
                <w14:ligatures w14:val="none"/>
              </w:rPr>
              <w:t xml:space="preserve"> et al. [</w:t>
            </w:r>
            <w:r w:rsidR="002F1644">
              <w:rPr>
                <w:rFonts w:ascii="Arial" w:eastAsia="Times New Roman" w:hAnsi="Arial" w:cs="Arial"/>
                <w:b/>
                <w:bCs/>
                <w:kern w:val="0"/>
                <w:sz w:val="16"/>
                <w:szCs w:val="16"/>
                <w14:ligatures w14:val="none"/>
              </w:rPr>
              <w:t>38</w:t>
            </w:r>
            <w:r w:rsidRPr="0013109C">
              <w:rPr>
                <w:rFonts w:ascii="Arial" w:eastAsia="Times New Roman" w:hAnsi="Arial" w:cs="Arial"/>
                <w:b/>
                <w:bCs/>
                <w:kern w:val="0"/>
                <w:sz w:val="16"/>
                <w:szCs w:val="16"/>
                <w14:ligatures w14:val="none"/>
              </w:rPr>
              <w:t>])</w:t>
            </w:r>
          </w:p>
        </w:tc>
        <w:tc>
          <w:tcPr>
            <w:tcW w:w="2304" w:type="dxa"/>
            <w:shd w:val="clear" w:color="auto" w:fill="C00000"/>
            <w:noWrap/>
            <w:vAlign w:val="center"/>
          </w:tcPr>
          <w:p w14:paraId="3BA7F246" w14:textId="742BA066" w:rsidR="0013109C" w:rsidRPr="0013109C" w:rsidRDefault="0013109C" w:rsidP="0013109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13109C">
              <w:rPr>
                <w:rFonts w:ascii="Arial" w:eastAsia="Times New Roman" w:hAnsi="Arial" w:cs="Arial"/>
                <w:b/>
                <w:bCs/>
                <w:kern w:val="0"/>
                <w:sz w:val="16"/>
                <w:szCs w:val="16"/>
                <w14:ligatures w14:val="none"/>
              </w:rPr>
              <w:t>AUC (GenoGlyph)</w:t>
            </w:r>
          </w:p>
        </w:tc>
        <w:tc>
          <w:tcPr>
            <w:tcW w:w="3312" w:type="dxa"/>
            <w:shd w:val="clear" w:color="auto" w:fill="C00000"/>
            <w:noWrap/>
            <w:vAlign w:val="center"/>
          </w:tcPr>
          <w:p w14:paraId="35064CF5" w14:textId="48B55E8B" w:rsidR="0013109C" w:rsidRPr="0013109C" w:rsidRDefault="0013109C"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13109C">
              <w:rPr>
                <w:rFonts w:ascii="Arial" w:eastAsia="Times New Roman" w:hAnsi="Arial" w:cs="Arial"/>
                <w:b/>
                <w:bCs/>
                <w:kern w:val="0"/>
                <w:sz w:val="16"/>
                <w:szCs w:val="16"/>
                <w14:ligatures w14:val="none"/>
              </w:rPr>
              <w:t>Notes</w:t>
            </w:r>
          </w:p>
        </w:tc>
      </w:tr>
      <w:tr w:rsidR="004659E7" w:rsidRPr="004A5977" w14:paraId="0387F040"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tcPr>
          <w:p w14:paraId="4FE387EE" w14:textId="77777777" w:rsidR="004659E7" w:rsidRPr="00D9669A" w:rsidRDefault="004659E7" w:rsidP="00FF7E3F">
            <w:pPr>
              <w:rPr>
                <w:rFonts w:ascii="Arial" w:eastAsia="Times New Roman" w:hAnsi="Arial" w:cs="Arial"/>
                <w:b w:val="0"/>
                <w:bCs w:val="0"/>
                <w:kern w:val="0"/>
                <w:sz w:val="16"/>
                <w:szCs w:val="16"/>
                <w14:ligatures w14:val="none"/>
              </w:rPr>
            </w:pPr>
            <w:r>
              <w:rPr>
                <w:rFonts w:ascii="Arial" w:eastAsia="Times New Roman" w:hAnsi="Arial" w:cs="Arial"/>
                <w:kern w:val="0"/>
                <w:sz w:val="16"/>
                <w:szCs w:val="16"/>
                <w14:ligatures w14:val="none"/>
              </w:rPr>
              <w:t>BRCA</w:t>
            </w:r>
          </w:p>
          <w:p w14:paraId="38637027" w14:textId="77777777" w:rsidR="004659E7" w:rsidRDefault="004659E7" w:rsidP="00FF7E3F">
            <w:pPr>
              <w:rPr>
                <w:rFonts w:ascii="Arial" w:eastAsia="Times New Roman" w:hAnsi="Arial" w:cs="Arial"/>
                <w:kern w:val="0"/>
                <w:sz w:val="16"/>
                <w:szCs w:val="16"/>
                <w14:ligatures w14:val="none"/>
              </w:rPr>
            </w:pPr>
          </w:p>
        </w:tc>
        <w:tc>
          <w:tcPr>
            <w:tcW w:w="1710" w:type="dxa"/>
            <w:shd w:val="clear" w:color="auto" w:fill="C00000"/>
            <w:noWrap/>
            <w:vAlign w:val="center"/>
          </w:tcPr>
          <w:p w14:paraId="59D267B3" w14:textId="5845951F" w:rsidR="004659E7" w:rsidRDefault="00445CAB" w:rsidP="00FF7E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PIK3CA</w:t>
            </w:r>
          </w:p>
        </w:tc>
        <w:tc>
          <w:tcPr>
            <w:tcW w:w="2304" w:type="dxa"/>
            <w:shd w:val="clear" w:color="auto" w:fill="D9D9D9" w:themeFill="background1" w:themeFillShade="D9"/>
            <w:noWrap/>
            <w:vAlign w:val="center"/>
          </w:tcPr>
          <w:p w14:paraId="77E12E91" w14:textId="550A26B2" w:rsidR="004659E7" w:rsidRDefault="004659E7" w:rsidP="00FF7E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0.5868 </w:t>
            </w:r>
            <w:r w:rsidRPr="00FF7E3F">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 xml:space="preserve"> 0.1023</w:t>
            </w:r>
          </w:p>
        </w:tc>
        <w:tc>
          <w:tcPr>
            <w:tcW w:w="2304" w:type="dxa"/>
            <w:shd w:val="clear" w:color="auto" w:fill="D9D9D9" w:themeFill="background1" w:themeFillShade="D9"/>
            <w:noWrap/>
            <w:vAlign w:val="center"/>
          </w:tcPr>
          <w:p w14:paraId="14C46A23" w14:textId="395C6E4F" w:rsidR="004659E7" w:rsidRPr="0089769A" w:rsidRDefault="00860085" w:rsidP="00FF7E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kern w:val="0"/>
                <w:sz w:val="16"/>
                <w:szCs w:val="16"/>
                <w14:ligatures w14:val="none"/>
              </w:rPr>
            </w:pPr>
            <w:r>
              <w:rPr>
                <w:rFonts w:ascii="Arial" w:hAnsi="Arial" w:cs="Arial"/>
                <w:b/>
                <w:bCs/>
                <w:sz w:val="16"/>
                <w:szCs w:val="16"/>
              </w:rPr>
              <w:t>0.</w:t>
            </w:r>
            <w:r w:rsidRPr="00860085">
              <w:rPr>
                <w:rFonts w:ascii="Arial" w:hAnsi="Arial" w:cs="Arial"/>
                <w:b/>
                <w:bCs/>
                <w:sz w:val="16"/>
                <w:szCs w:val="16"/>
              </w:rPr>
              <w:t xml:space="preserve">8303 ± </w:t>
            </w:r>
            <w:r>
              <w:rPr>
                <w:rFonts w:ascii="Arial" w:hAnsi="Arial" w:cs="Arial"/>
                <w:b/>
                <w:bCs/>
                <w:sz w:val="16"/>
                <w:szCs w:val="16"/>
              </w:rPr>
              <w:t>0.0</w:t>
            </w:r>
            <w:r w:rsidRPr="00860085">
              <w:rPr>
                <w:rFonts w:ascii="Arial" w:hAnsi="Arial" w:cs="Arial"/>
                <w:b/>
                <w:bCs/>
                <w:sz w:val="16"/>
                <w:szCs w:val="16"/>
              </w:rPr>
              <w:t>69</w:t>
            </w:r>
            <w:r>
              <w:rPr>
                <w:rFonts w:ascii="Arial" w:hAnsi="Arial" w:cs="Arial"/>
                <w:b/>
                <w:bCs/>
                <w:sz w:val="16"/>
                <w:szCs w:val="16"/>
              </w:rPr>
              <w:t>0</w:t>
            </w:r>
          </w:p>
        </w:tc>
        <w:tc>
          <w:tcPr>
            <w:tcW w:w="3312" w:type="dxa"/>
            <w:vMerge w:val="restart"/>
            <w:shd w:val="clear" w:color="auto" w:fill="D9D9D9" w:themeFill="background1" w:themeFillShade="D9"/>
            <w:noWrap/>
            <w:vAlign w:val="center"/>
          </w:tcPr>
          <w:p w14:paraId="4E288520" w14:textId="626B8358" w:rsidR="004659E7" w:rsidRPr="004A5977" w:rsidRDefault="00026E3D"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026E3D">
              <w:rPr>
                <w:rFonts w:ascii="Arial" w:eastAsia="Times New Roman" w:hAnsi="Arial" w:cs="Arial"/>
                <w:color w:val="000000"/>
                <w:kern w:val="0"/>
                <w:sz w:val="16"/>
                <w:szCs w:val="16"/>
                <w14:ligatures w14:val="none"/>
              </w:rPr>
              <w:t>The training data used for both methods is identical. The authors also report 5-fold cross-validation results in terms of mean ± standard deviation, which is consistent with the evaluation protocol we use for our method. Although the exact fold splits are not guaranteed to be the same, this is unlikely to substantially affect the overall performance trends.</w:t>
            </w:r>
          </w:p>
        </w:tc>
      </w:tr>
      <w:tr w:rsidR="004659E7" w:rsidRPr="004A5977" w14:paraId="3583B0F2"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225E3850" w14:textId="77777777" w:rsidR="004659E7" w:rsidRDefault="004659E7" w:rsidP="00FF7E3F">
            <w:pPr>
              <w:rPr>
                <w:rFonts w:ascii="Arial" w:eastAsia="Times New Roman" w:hAnsi="Arial" w:cs="Arial"/>
                <w:kern w:val="0"/>
                <w:sz w:val="16"/>
                <w:szCs w:val="16"/>
                <w14:ligatures w14:val="none"/>
              </w:rPr>
            </w:pPr>
          </w:p>
        </w:tc>
        <w:tc>
          <w:tcPr>
            <w:tcW w:w="1710" w:type="dxa"/>
            <w:shd w:val="clear" w:color="auto" w:fill="C00000"/>
            <w:noWrap/>
            <w:vAlign w:val="center"/>
          </w:tcPr>
          <w:p w14:paraId="13A30911" w14:textId="3872F624" w:rsidR="004659E7" w:rsidRDefault="00445CAB" w:rsidP="00FF7E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709F86E6" w14:textId="1380750D" w:rsidR="004659E7" w:rsidRDefault="004659E7" w:rsidP="00FF7E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0.7833 </w:t>
            </w:r>
            <w:r w:rsidRPr="00FF7E3F">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 xml:space="preserve"> 0.1123</w:t>
            </w:r>
          </w:p>
        </w:tc>
        <w:tc>
          <w:tcPr>
            <w:tcW w:w="2304" w:type="dxa"/>
            <w:shd w:val="clear" w:color="auto" w:fill="D9D9D9" w:themeFill="background1" w:themeFillShade="D9"/>
            <w:noWrap/>
            <w:vAlign w:val="center"/>
          </w:tcPr>
          <w:p w14:paraId="33070876" w14:textId="69776467" w:rsidR="004659E7" w:rsidRPr="0089769A" w:rsidRDefault="00860085" w:rsidP="00FF7E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Pr>
                <w:rFonts w:ascii="Arial" w:hAnsi="Arial" w:cs="Arial"/>
                <w:b/>
                <w:bCs/>
                <w:sz w:val="16"/>
                <w:szCs w:val="16"/>
              </w:rPr>
              <w:t>0.</w:t>
            </w:r>
            <w:r w:rsidRPr="00860085">
              <w:rPr>
                <w:rFonts w:ascii="Arial" w:hAnsi="Arial" w:cs="Arial"/>
                <w:b/>
                <w:bCs/>
                <w:sz w:val="16"/>
                <w:szCs w:val="16"/>
              </w:rPr>
              <w:t xml:space="preserve">8563 ± </w:t>
            </w:r>
            <w:r>
              <w:rPr>
                <w:rFonts w:ascii="Arial" w:hAnsi="Arial" w:cs="Arial"/>
                <w:b/>
                <w:bCs/>
                <w:sz w:val="16"/>
                <w:szCs w:val="16"/>
              </w:rPr>
              <w:t>0.0</w:t>
            </w:r>
            <w:r w:rsidRPr="00860085">
              <w:rPr>
                <w:rFonts w:ascii="Arial" w:hAnsi="Arial" w:cs="Arial"/>
                <w:b/>
                <w:bCs/>
                <w:sz w:val="16"/>
                <w:szCs w:val="16"/>
              </w:rPr>
              <w:t>428</w:t>
            </w:r>
          </w:p>
        </w:tc>
        <w:tc>
          <w:tcPr>
            <w:tcW w:w="3312" w:type="dxa"/>
            <w:vMerge/>
            <w:shd w:val="clear" w:color="auto" w:fill="D9D9D9" w:themeFill="background1" w:themeFillShade="D9"/>
            <w:noWrap/>
            <w:vAlign w:val="center"/>
          </w:tcPr>
          <w:p w14:paraId="2FDC67B7" w14:textId="77777777" w:rsidR="004659E7" w:rsidRPr="004A5977" w:rsidRDefault="004659E7"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1B8C7C3A"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tcPr>
          <w:p w14:paraId="36DA9723" w14:textId="642D34C6" w:rsidR="004659E7" w:rsidRDefault="004659E7" w:rsidP="006C1AD2">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CRC</w:t>
            </w:r>
          </w:p>
        </w:tc>
        <w:tc>
          <w:tcPr>
            <w:tcW w:w="1710" w:type="dxa"/>
            <w:shd w:val="clear" w:color="auto" w:fill="C00000"/>
            <w:noWrap/>
            <w:vAlign w:val="center"/>
          </w:tcPr>
          <w:p w14:paraId="7AE4EF34" w14:textId="372AE843" w:rsidR="004659E7" w:rsidRDefault="00445CAB"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APC</w:t>
            </w:r>
          </w:p>
        </w:tc>
        <w:tc>
          <w:tcPr>
            <w:tcW w:w="2304" w:type="dxa"/>
            <w:shd w:val="clear" w:color="auto" w:fill="D9D9D9" w:themeFill="background1" w:themeFillShade="D9"/>
            <w:noWrap/>
            <w:vAlign w:val="center"/>
          </w:tcPr>
          <w:p w14:paraId="3BB9A7C2" w14:textId="23FBAE4B" w:rsidR="004659E7" w:rsidRPr="006C1AD2" w:rsidRDefault="004659E7"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6C1AD2">
              <w:rPr>
                <w:rFonts w:ascii="Arial" w:hAnsi="Arial" w:cs="Arial"/>
                <w:sz w:val="16"/>
                <w:szCs w:val="16"/>
              </w:rPr>
              <w:t>0.6029 ± 0.0766</w:t>
            </w:r>
          </w:p>
        </w:tc>
        <w:tc>
          <w:tcPr>
            <w:tcW w:w="2304" w:type="dxa"/>
            <w:shd w:val="clear" w:color="auto" w:fill="D9D9D9" w:themeFill="background1" w:themeFillShade="D9"/>
            <w:noWrap/>
            <w:vAlign w:val="center"/>
          </w:tcPr>
          <w:p w14:paraId="5C659FB5" w14:textId="2DCB0240" w:rsidR="004659E7" w:rsidRPr="0089769A" w:rsidRDefault="00860085" w:rsidP="006C1AD2">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860085">
              <w:rPr>
                <w:rFonts w:ascii="Arial" w:hAnsi="Arial" w:cs="Arial"/>
                <w:b/>
                <w:bCs/>
                <w:sz w:val="16"/>
                <w:szCs w:val="16"/>
              </w:rPr>
              <w:t>905</w:t>
            </w:r>
            <w:r>
              <w:rPr>
                <w:rFonts w:ascii="Arial" w:hAnsi="Arial" w:cs="Arial"/>
                <w:b/>
                <w:bCs/>
                <w:sz w:val="16"/>
                <w:szCs w:val="16"/>
              </w:rPr>
              <w:t>4</w:t>
            </w:r>
            <w:r w:rsidRPr="00860085">
              <w:rPr>
                <w:rFonts w:ascii="Arial" w:hAnsi="Arial" w:cs="Arial"/>
                <w:b/>
                <w:bCs/>
                <w:sz w:val="16"/>
                <w:szCs w:val="16"/>
              </w:rPr>
              <w:t xml:space="preserve"> ± </w:t>
            </w:r>
            <w:r>
              <w:rPr>
                <w:rFonts w:ascii="Arial" w:hAnsi="Arial" w:cs="Arial"/>
                <w:b/>
                <w:bCs/>
                <w:sz w:val="16"/>
                <w:szCs w:val="16"/>
              </w:rPr>
              <w:t>0.0</w:t>
            </w:r>
            <w:r w:rsidRPr="00860085">
              <w:rPr>
                <w:rFonts w:ascii="Arial" w:hAnsi="Arial" w:cs="Arial"/>
                <w:b/>
                <w:bCs/>
                <w:sz w:val="16"/>
                <w:szCs w:val="16"/>
              </w:rPr>
              <w:t>846</w:t>
            </w:r>
          </w:p>
        </w:tc>
        <w:tc>
          <w:tcPr>
            <w:tcW w:w="3312" w:type="dxa"/>
            <w:vMerge/>
            <w:shd w:val="clear" w:color="auto" w:fill="D9D9D9" w:themeFill="background1" w:themeFillShade="D9"/>
            <w:noWrap/>
            <w:vAlign w:val="center"/>
          </w:tcPr>
          <w:p w14:paraId="41ACC19D" w14:textId="77777777" w:rsidR="004659E7" w:rsidRPr="004A5977" w:rsidRDefault="004659E7"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747FF5ED"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59DC4F25" w14:textId="77777777" w:rsidR="004659E7" w:rsidRDefault="004659E7" w:rsidP="006C1AD2">
            <w:pPr>
              <w:rPr>
                <w:rFonts w:ascii="Arial" w:eastAsia="Times New Roman" w:hAnsi="Arial" w:cs="Arial"/>
                <w:kern w:val="0"/>
                <w:sz w:val="16"/>
                <w:szCs w:val="16"/>
                <w14:ligatures w14:val="none"/>
              </w:rPr>
            </w:pPr>
          </w:p>
        </w:tc>
        <w:tc>
          <w:tcPr>
            <w:tcW w:w="1710" w:type="dxa"/>
            <w:shd w:val="clear" w:color="auto" w:fill="C00000"/>
            <w:noWrap/>
            <w:vAlign w:val="center"/>
          </w:tcPr>
          <w:p w14:paraId="73D52457" w14:textId="787E3483" w:rsidR="004659E7" w:rsidRDefault="00445CAB" w:rsidP="006C1AD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BRAF</w:t>
            </w:r>
          </w:p>
        </w:tc>
        <w:tc>
          <w:tcPr>
            <w:tcW w:w="2304" w:type="dxa"/>
            <w:shd w:val="clear" w:color="auto" w:fill="D9D9D9" w:themeFill="background1" w:themeFillShade="D9"/>
            <w:noWrap/>
            <w:vAlign w:val="center"/>
          </w:tcPr>
          <w:p w14:paraId="52E01F01" w14:textId="095A47B2" w:rsidR="004659E7" w:rsidRPr="006C1AD2" w:rsidRDefault="004659E7" w:rsidP="006C1AD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6C1AD2">
              <w:rPr>
                <w:rFonts w:ascii="Arial" w:hAnsi="Arial" w:cs="Arial"/>
                <w:sz w:val="16"/>
                <w:szCs w:val="16"/>
              </w:rPr>
              <w:t>0.7556 ± 0.0783</w:t>
            </w:r>
          </w:p>
        </w:tc>
        <w:tc>
          <w:tcPr>
            <w:tcW w:w="2304" w:type="dxa"/>
            <w:shd w:val="clear" w:color="auto" w:fill="D9D9D9" w:themeFill="background1" w:themeFillShade="D9"/>
            <w:noWrap/>
            <w:vAlign w:val="center"/>
          </w:tcPr>
          <w:p w14:paraId="7B125DE0" w14:textId="2053C647" w:rsidR="004659E7" w:rsidRPr="0089769A" w:rsidRDefault="004659E7" w:rsidP="006C1AD2">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3D38A7">
              <w:rPr>
                <w:rFonts w:ascii="Arial" w:hAnsi="Arial" w:cs="Arial"/>
                <w:b/>
                <w:bCs/>
                <w:sz w:val="16"/>
                <w:szCs w:val="16"/>
              </w:rPr>
              <w:t>835</w:t>
            </w:r>
            <w:r>
              <w:rPr>
                <w:rFonts w:ascii="Arial" w:hAnsi="Arial" w:cs="Arial"/>
                <w:b/>
                <w:bCs/>
                <w:sz w:val="16"/>
                <w:szCs w:val="16"/>
              </w:rPr>
              <w:t>3</w:t>
            </w:r>
            <w:r w:rsidRPr="003D38A7">
              <w:rPr>
                <w:rFonts w:ascii="Arial" w:hAnsi="Arial" w:cs="Arial"/>
                <w:b/>
                <w:bCs/>
                <w:sz w:val="16"/>
                <w:szCs w:val="16"/>
              </w:rPr>
              <w:t xml:space="preserve"> ± </w:t>
            </w:r>
            <w:r>
              <w:rPr>
                <w:rFonts w:ascii="Arial" w:hAnsi="Arial" w:cs="Arial"/>
                <w:b/>
                <w:bCs/>
                <w:sz w:val="16"/>
                <w:szCs w:val="16"/>
              </w:rPr>
              <w:t>0.0</w:t>
            </w:r>
            <w:r w:rsidRPr="003D38A7">
              <w:rPr>
                <w:rFonts w:ascii="Arial" w:hAnsi="Arial" w:cs="Arial"/>
                <w:b/>
                <w:bCs/>
                <w:sz w:val="16"/>
                <w:szCs w:val="16"/>
              </w:rPr>
              <w:t>651</w:t>
            </w:r>
          </w:p>
        </w:tc>
        <w:tc>
          <w:tcPr>
            <w:tcW w:w="3312" w:type="dxa"/>
            <w:vMerge/>
            <w:shd w:val="clear" w:color="auto" w:fill="D9D9D9" w:themeFill="background1" w:themeFillShade="D9"/>
            <w:noWrap/>
            <w:vAlign w:val="center"/>
          </w:tcPr>
          <w:p w14:paraId="0AA84587" w14:textId="77777777" w:rsidR="004659E7" w:rsidRPr="004A5977" w:rsidRDefault="004659E7"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382569B2"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4E35F77A" w14:textId="77777777" w:rsidR="004659E7" w:rsidRDefault="004659E7" w:rsidP="006C1AD2">
            <w:pPr>
              <w:rPr>
                <w:rFonts w:ascii="Arial" w:eastAsia="Times New Roman" w:hAnsi="Arial" w:cs="Arial"/>
                <w:kern w:val="0"/>
                <w:sz w:val="16"/>
                <w:szCs w:val="16"/>
                <w14:ligatures w14:val="none"/>
              </w:rPr>
            </w:pPr>
          </w:p>
        </w:tc>
        <w:tc>
          <w:tcPr>
            <w:tcW w:w="1710" w:type="dxa"/>
            <w:shd w:val="clear" w:color="auto" w:fill="C00000"/>
            <w:noWrap/>
            <w:vAlign w:val="center"/>
          </w:tcPr>
          <w:p w14:paraId="0763F537" w14:textId="68C77F2B" w:rsidR="004659E7" w:rsidRDefault="00445CAB"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KRAS</w:t>
            </w:r>
          </w:p>
        </w:tc>
        <w:tc>
          <w:tcPr>
            <w:tcW w:w="2304" w:type="dxa"/>
            <w:shd w:val="clear" w:color="auto" w:fill="D9D9D9" w:themeFill="background1" w:themeFillShade="D9"/>
            <w:noWrap/>
            <w:vAlign w:val="center"/>
          </w:tcPr>
          <w:p w14:paraId="20C2F60E" w14:textId="677D1FF9" w:rsidR="004659E7" w:rsidRPr="006C1AD2" w:rsidRDefault="004659E7"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6C1AD2">
              <w:rPr>
                <w:rFonts w:ascii="Arial" w:hAnsi="Arial" w:cs="Arial"/>
                <w:sz w:val="16"/>
                <w:szCs w:val="16"/>
              </w:rPr>
              <w:t>0.562 ± 0.093</w:t>
            </w:r>
          </w:p>
        </w:tc>
        <w:tc>
          <w:tcPr>
            <w:tcW w:w="2304" w:type="dxa"/>
            <w:shd w:val="clear" w:color="auto" w:fill="D9D9D9" w:themeFill="background1" w:themeFillShade="D9"/>
            <w:noWrap/>
            <w:vAlign w:val="center"/>
          </w:tcPr>
          <w:p w14:paraId="72663DF7" w14:textId="02D4A6AC" w:rsidR="004659E7" w:rsidRPr="0089769A" w:rsidRDefault="00860085" w:rsidP="006C1AD2">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860085">
              <w:rPr>
                <w:rFonts w:ascii="Arial" w:hAnsi="Arial" w:cs="Arial"/>
                <w:b/>
                <w:bCs/>
                <w:sz w:val="16"/>
                <w:szCs w:val="16"/>
              </w:rPr>
              <w:t xml:space="preserve">7386 ± </w:t>
            </w:r>
            <w:r>
              <w:rPr>
                <w:rFonts w:ascii="Arial" w:hAnsi="Arial" w:cs="Arial"/>
                <w:b/>
                <w:bCs/>
                <w:sz w:val="16"/>
                <w:szCs w:val="16"/>
              </w:rPr>
              <w:t>0.0</w:t>
            </w:r>
            <w:r w:rsidRPr="00860085">
              <w:rPr>
                <w:rFonts w:ascii="Arial" w:hAnsi="Arial" w:cs="Arial"/>
                <w:b/>
                <w:bCs/>
                <w:sz w:val="16"/>
                <w:szCs w:val="16"/>
              </w:rPr>
              <w:t>6</w:t>
            </w:r>
            <w:r>
              <w:rPr>
                <w:rFonts w:ascii="Arial" w:hAnsi="Arial" w:cs="Arial"/>
                <w:b/>
                <w:bCs/>
                <w:sz w:val="16"/>
                <w:szCs w:val="16"/>
              </w:rPr>
              <w:t>8</w:t>
            </w:r>
            <w:r w:rsidRPr="00860085">
              <w:rPr>
                <w:rFonts w:ascii="Arial" w:hAnsi="Arial" w:cs="Arial"/>
                <w:b/>
                <w:bCs/>
                <w:sz w:val="16"/>
                <w:szCs w:val="16"/>
              </w:rPr>
              <w:t>6</w:t>
            </w:r>
          </w:p>
        </w:tc>
        <w:tc>
          <w:tcPr>
            <w:tcW w:w="3312" w:type="dxa"/>
            <w:vMerge/>
            <w:shd w:val="clear" w:color="auto" w:fill="D9D9D9" w:themeFill="background1" w:themeFillShade="D9"/>
            <w:noWrap/>
            <w:vAlign w:val="center"/>
          </w:tcPr>
          <w:p w14:paraId="5764267D" w14:textId="77777777" w:rsidR="004659E7" w:rsidRPr="004A5977" w:rsidRDefault="004659E7"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48935D4B"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715646C7" w14:textId="77777777" w:rsidR="004659E7" w:rsidRDefault="004659E7" w:rsidP="006C1AD2">
            <w:pPr>
              <w:rPr>
                <w:rFonts w:ascii="Arial" w:eastAsia="Times New Roman" w:hAnsi="Arial" w:cs="Arial"/>
                <w:kern w:val="0"/>
                <w:sz w:val="16"/>
                <w:szCs w:val="16"/>
                <w14:ligatures w14:val="none"/>
              </w:rPr>
            </w:pPr>
          </w:p>
        </w:tc>
        <w:tc>
          <w:tcPr>
            <w:tcW w:w="1710" w:type="dxa"/>
            <w:shd w:val="clear" w:color="auto" w:fill="C00000"/>
            <w:noWrap/>
            <w:vAlign w:val="center"/>
          </w:tcPr>
          <w:p w14:paraId="15E6290C" w14:textId="62A3AEB6" w:rsidR="004659E7" w:rsidRDefault="00445CAB" w:rsidP="006C1AD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PIK3CA</w:t>
            </w:r>
          </w:p>
        </w:tc>
        <w:tc>
          <w:tcPr>
            <w:tcW w:w="2304" w:type="dxa"/>
            <w:shd w:val="clear" w:color="auto" w:fill="D9D9D9" w:themeFill="background1" w:themeFillShade="D9"/>
            <w:noWrap/>
            <w:vAlign w:val="center"/>
          </w:tcPr>
          <w:p w14:paraId="39C16270" w14:textId="46408905" w:rsidR="004659E7" w:rsidRPr="006C1AD2" w:rsidRDefault="004659E7" w:rsidP="006C1AD2">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6C1AD2">
              <w:rPr>
                <w:rFonts w:ascii="Arial" w:hAnsi="Arial" w:cs="Arial"/>
                <w:sz w:val="16"/>
                <w:szCs w:val="16"/>
              </w:rPr>
              <w:t>0.5778 ± 0.0582</w:t>
            </w:r>
          </w:p>
        </w:tc>
        <w:tc>
          <w:tcPr>
            <w:tcW w:w="2304" w:type="dxa"/>
            <w:shd w:val="clear" w:color="auto" w:fill="D9D9D9" w:themeFill="background1" w:themeFillShade="D9"/>
            <w:noWrap/>
            <w:vAlign w:val="center"/>
          </w:tcPr>
          <w:p w14:paraId="4AEA3B8D" w14:textId="3B297EEA" w:rsidR="004659E7" w:rsidRPr="0089769A" w:rsidRDefault="004659E7" w:rsidP="006C1AD2">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FD26BD">
              <w:rPr>
                <w:rFonts w:ascii="Arial" w:hAnsi="Arial" w:cs="Arial"/>
                <w:b/>
                <w:bCs/>
                <w:sz w:val="16"/>
                <w:szCs w:val="16"/>
              </w:rPr>
              <w:t>634</w:t>
            </w:r>
            <w:r>
              <w:rPr>
                <w:rFonts w:ascii="Arial" w:hAnsi="Arial" w:cs="Arial"/>
                <w:b/>
                <w:bCs/>
                <w:sz w:val="16"/>
                <w:szCs w:val="16"/>
              </w:rPr>
              <w:t>9</w:t>
            </w:r>
            <w:r w:rsidRPr="00FD26BD">
              <w:rPr>
                <w:rFonts w:ascii="Arial" w:hAnsi="Arial" w:cs="Arial"/>
                <w:b/>
                <w:bCs/>
                <w:sz w:val="16"/>
                <w:szCs w:val="16"/>
              </w:rPr>
              <w:t xml:space="preserve"> ± </w:t>
            </w:r>
            <w:r>
              <w:rPr>
                <w:rFonts w:ascii="Arial" w:hAnsi="Arial" w:cs="Arial"/>
                <w:b/>
                <w:bCs/>
                <w:sz w:val="16"/>
                <w:szCs w:val="16"/>
              </w:rPr>
              <w:t>0.0</w:t>
            </w:r>
            <w:r w:rsidRPr="00FD26BD">
              <w:rPr>
                <w:rFonts w:ascii="Arial" w:hAnsi="Arial" w:cs="Arial"/>
                <w:b/>
                <w:bCs/>
                <w:sz w:val="16"/>
                <w:szCs w:val="16"/>
              </w:rPr>
              <w:t>558</w:t>
            </w:r>
          </w:p>
        </w:tc>
        <w:tc>
          <w:tcPr>
            <w:tcW w:w="3312" w:type="dxa"/>
            <w:vMerge/>
            <w:shd w:val="clear" w:color="auto" w:fill="D9D9D9" w:themeFill="background1" w:themeFillShade="D9"/>
            <w:noWrap/>
            <w:vAlign w:val="center"/>
          </w:tcPr>
          <w:p w14:paraId="16FB7A66" w14:textId="77777777" w:rsidR="004659E7" w:rsidRPr="004A5977" w:rsidRDefault="004659E7"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77C19881"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55A411F4" w14:textId="77777777" w:rsidR="004659E7" w:rsidRDefault="004659E7" w:rsidP="006C1AD2">
            <w:pPr>
              <w:rPr>
                <w:rFonts w:ascii="Arial" w:eastAsia="Times New Roman" w:hAnsi="Arial" w:cs="Arial"/>
                <w:kern w:val="0"/>
                <w:sz w:val="16"/>
                <w:szCs w:val="16"/>
                <w14:ligatures w14:val="none"/>
              </w:rPr>
            </w:pPr>
          </w:p>
        </w:tc>
        <w:tc>
          <w:tcPr>
            <w:tcW w:w="1710" w:type="dxa"/>
            <w:shd w:val="clear" w:color="auto" w:fill="C00000"/>
            <w:noWrap/>
            <w:vAlign w:val="center"/>
          </w:tcPr>
          <w:p w14:paraId="1251A86B" w14:textId="62C30B15" w:rsidR="004659E7" w:rsidRDefault="00445CAB"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61B6BE20" w14:textId="34D55E6F" w:rsidR="004659E7" w:rsidRPr="006C1AD2" w:rsidRDefault="004659E7" w:rsidP="006C1AD2">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6C1AD2">
              <w:rPr>
                <w:rFonts w:ascii="Arial" w:hAnsi="Arial" w:cs="Arial"/>
                <w:sz w:val="16"/>
                <w:szCs w:val="16"/>
              </w:rPr>
              <w:t>0.6318 ± 0.0516</w:t>
            </w:r>
          </w:p>
        </w:tc>
        <w:tc>
          <w:tcPr>
            <w:tcW w:w="2304" w:type="dxa"/>
            <w:shd w:val="clear" w:color="auto" w:fill="D9D9D9" w:themeFill="background1" w:themeFillShade="D9"/>
            <w:noWrap/>
            <w:vAlign w:val="center"/>
          </w:tcPr>
          <w:p w14:paraId="3AA8C6BD" w14:textId="55B80118" w:rsidR="004659E7" w:rsidRPr="0089769A" w:rsidRDefault="004659E7" w:rsidP="006C1AD2">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FD26BD">
              <w:rPr>
                <w:rFonts w:ascii="Arial" w:hAnsi="Arial" w:cs="Arial"/>
                <w:b/>
                <w:bCs/>
                <w:sz w:val="16"/>
                <w:szCs w:val="16"/>
              </w:rPr>
              <w:t xml:space="preserve">7511 ± </w:t>
            </w:r>
            <w:r>
              <w:rPr>
                <w:rFonts w:ascii="Arial" w:hAnsi="Arial" w:cs="Arial"/>
                <w:b/>
                <w:bCs/>
                <w:sz w:val="16"/>
                <w:szCs w:val="16"/>
              </w:rPr>
              <w:t>0.0</w:t>
            </w:r>
            <w:r w:rsidRPr="00FD26BD">
              <w:rPr>
                <w:rFonts w:ascii="Arial" w:hAnsi="Arial" w:cs="Arial"/>
                <w:b/>
                <w:bCs/>
                <w:sz w:val="16"/>
                <w:szCs w:val="16"/>
              </w:rPr>
              <w:t>58</w:t>
            </w:r>
            <w:r>
              <w:rPr>
                <w:rFonts w:ascii="Arial" w:hAnsi="Arial" w:cs="Arial"/>
                <w:b/>
                <w:bCs/>
                <w:sz w:val="16"/>
                <w:szCs w:val="16"/>
              </w:rPr>
              <w:t>2</w:t>
            </w:r>
          </w:p>
        </w:tc>
        <w:tc>
          <w:tcPr>
            <w:tcW w:w="3312" w:type="dxa"/>
            <w:vMerge/>
            <w:shd w:val="clear" w:color="auto" w:fill="D9D9D9" w:themeFill="background1" w:themeFillShade="D9"/>
            <w:noWrap/>
            <w:vAlign w:val="center"/>
          </w:tcPr>
          <w:p w14:paraId="77DD16D3" w14:textId="77777777" w:rsidR="004659E7" w:rsidRPr="004A5977" w:rsidRDefault="004659E7"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266F4916"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1B47DAF4" w14:textId="549DAE05" w:rsidR="004659E7" w:rsidRDefault="004659E7" w:rsidP="00FF7E3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LUAD</w:t>
            </w:r>
          </w:p>
        </w:tc>
        <w:tc>
          <w:tcPr>
            <w:tcW w:w="1710" w:type="dxa"/>
            <w:shd w:val="clear" w:color="auto" w:fill="C00000"/>
            <w:noWrap/>
            <w:vAlign w:val="center"/>
          </w:tcPr>
          <w:p w14:paraId="2EA775E5" w14:textId="132A03CE" w:rsidR="004659E7" w:rsidRDefault="00445CAB" w:rsidP="00FF7E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69628EF5" w14:textId="4A466BFD" w:rsidR="004659E7" w:rsidRDefault="004659E7" w:rsidP="00FF7E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FB0DEF">
              <w:rPr>
                <w:rFonts w:ascii="Arial" w:eastAsia="Times New Roman" w:hAnsi="Arial" w:cs="Arial"/>
                <w:color w:val="000000"/>
                <w:kern w:val="0"/>
                <w:sz w:val="16"/>
                <w:szCs w:val="16"/>
                <w14:ligatures w14:val="none"/>
              </w:rPr>
              <w:t>0.6628 ± 0.0453</w:t>
            </w:r>
          </w:p>
        </w:tc>
        <w:tc>
          <w:tcPr>
            <w:tcW w:w="2304" w:type="dxa"/>
            <w:shd w:val="clear" w:color="auto" w:fill="D9D9D9" w:themeFill="background1" w:themeFillShade="D9"/>
            <w:noWrap/>
            <w:vAlign w:val="center"/>
          </w:tcPr>
          <w:p w14:paraId="051332C3" w14:textId="7AA4414F" w:rsidR="004659E7" w:rsidRPr="0089769A" w:rsidRDefault="001E091A" w:rsidP="00FF7E3F">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1E091A">
              <w:rPr>
                <w:rFonts w:ascii="Arial" w:hAnsi="Arial" w:cs="Arial"/>
                <w:b/>
                <w:bCs/>
                <w:sz w:val="16"/>
                <w:szCs w:val="16"/>
              </w:rPr>
              <w:t>7</w:t>
            </w:r>
            <w:r w:rsidR="00655DA9">
              <w:rPr>
                <w:rFonts w:ascii="Arial" w:hAnsi="Arial" w:cs="Arial"/>
                <w:b/>
                <w:bCs/>
                <w:sz w:val="16"/>
                <w:szCs w:val="16"/>
              </w:rPr>
              <w:t>598</w:t>
            </w:r>
            <w:r w:rsidRPr="001E091A">
              <w:rPr>
                <w:rFonts w:ascii="Arial" w:hAnsi="Arial" w:cs="Arial"/>
                <w:b/>
                <w:bCs/>
                <w:sz w:val="16"/>
                <w:szCs w:val="16"/>
              </w:rPr>
              <w:t xml:space="preserve"> ± </w:t>
            </w:r>
            <w:r w:rsidR="00655DA9">
              <w:rPr>
                <w:rFonts w:ascii="Arial" w:hAnsi="Arial" w:cs="Arial"/>
                <w:b/>
                <w:bCs/>
                <w:sz w:val="16"/>
                <w:szCs w:val="16"/>
              </w:rPr>
              <w:t>0.0</w:t>
            </w:r>
            <w:r w:rsidRPr="001E091A">
              <w:rPr>
                <w:rFonts w:ascii="Arial" w:hAnsi="Arial" w:cs="Arial"/>
                <w:b/>
                <w:bCs/>
                <w:sz w:val="16"/>
                <w:szCs w:val="16"/>
              </w:rPr>
              <w:t>539</w:t>
            </w:r>
          </w:p>
        </w:tc>
        <w:tc>
          <w:tcPr>
            <w:tcW w:w="3312" w:type="dxa"/>
            <w:vMerge/>
            <w:shd w:val="clear" w:color="auto" w:fill="D9D9D9" w:themeFill="background1" w:themeFillShade="D9"/>
            <w:noWrap/>
            <w:vAlign w:val="center"/>
          </w:tcPr>
          <w:p w14:paraId="4C8F0994" w14:textId="77777777" w:rsidR="004659E7" w:rsidRPr="004A5977" w:rsidRDefault="004659E7"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1CF54BC0"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12A72C33" w14:textId="24868FAF" w:rsidR="004659E7" w:rsidRDefault="004659E7" w:rsidP="00FF7E3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LUSC</w:t>
            </w:r>
          </w:p>
        </w:tc>
        <w:tc>
          <w:tcPr>
            <w:tcW w:w="1710" w:type="dxa"/>
            <w:shd w:val="clear" w:color="auto" w:fill="C00000"/>
            <w:noWrap/>
            <w:vAlign w:val="center"/>
          </w:tcPr>
          <w:p w14:paraId="32576B9B" w14:textId="420DCE3B" w:rsidR="004659E7" w:rsidRDefault="00445CAB" w:rsidP="00FF7E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5EC7F34C" w14:textId="37CCA6AE" w:rsidR="004659E7" w:rsidRDefault="004659E7" w:rsidP="00FF7E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FB0DEF">
              <w:rPr>
                <w:rFonts w:ascii="Arial" w:eastAsia="Times New Roman" w:hAnsi="Arial" w:cs="Arial"/>
                <w:color w:val="000000"/>
                <w:kern w:val="0"/>
                <w:sz w:val="16"/>
                <w:szCs w:val="16"/>
                <w14:ligatures w14:val="none"/>
              </w:rPr>
              <w:t>0.4369 ± 0.0788</w:t>
            </w:r>
          </w:p>
        </w:tc>
        <w:tc>
          <w:tcPr>
            <w:tcW w:w="2304" w:type="dxa"/>
            <w:shd w:val="clear" w:color="auto" w:fill="D9D9D9" w:themeFill="background1" w:themeFillShade="D9"/>
            <w:noWrap/>
            <w:vAlign w:val="center"/>
          </w:tcPr>
          <w:p w14:paraId="37CD8A38" w14:textId="04ECC4A1" w:rsidR="004659E7" w:rsidRPr="0089769A" w:rsidRDefault="00DA666A" w:rsidP="00FF7E3F">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DA666A">
              <w:rPr>
                <w:rFonts w:ascii="Arial" w:hAnsi="Arial" w:cs="Arial"/>
                <w:b/>
                <w:bCs/>
                <w:sz w:val="16"/>
                <w:szCs w:val="16"/>
              </w:rPr>
              <w:t xml:space="preserve">9810 ± </w:t>
            </w:r>
            <w:r>
              <w:rPr>
                <w:rFonts w:ascii="Arial" w:hAnsi="Arial" w:cs="Arial"/>
                <w:b/>
                <w:bCs/>
                <w:sz w:val="16"/>
                <w:szCs w:val="16"/>
              </w:rPr>
              <w:t>0.0</w:t>
            </w:r>
            <w:r w:rsidRPr="00DA666A">
              <w:rPr>
                <w:rFonts w:ascii="Arial" w:hAnsi="Arial" w:cs="Arial"/>
                <w:b/>
                <w:bCs/>
                <w:sz w:val="16"/>
                <w:szCs w:val="16"/>
              </w:rPr>
              <w:t>314</w:t>
            </w:r>
          </w:p>
        </w:tc>
        <w:tc>
          <w:tcPr>
            <w:tcW w:w="3312" w:type="dxa"/>
            <w:vMerge/>
            <w:shd w:val="clear" w:color="auto" w:fill="D9D9D9" w:themeFill="background1" w:themeFillShade="D9"/>
            <w:noWrap/>
            <w:vAlign w:val="center"/>
          </w:tcPr>
          <w:p w14:paraId="633C577D" w14:textId="77777777" w:rsidR="004659E7" w:rsidRPr="004A5977" w:rsidRDefault="004659E7"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02C3641F"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tcPr>
          <w:p w14:paraId="294180F2" w14:textId="2E4AB670" w:rsidR="004659E7" w:rsidRDefault="004659E7" w:rsidP="002E449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PAAD</w:t>
            </w:r>
          </w:p>
        </w:tc>
        <w:tc>
          <w:tcPr>
            <w:tcW w:w="1710" w:type="dxa"/>
            <w:shd w:val="clear" w:color="auto" w:fill="C00000"/>
            <w:noWrap/>
            <w:vAlign w:val="center"/>
          </w:tcPr>
          <w:p w14:paraId="50FC8387" w14:textId="21FDD91D" w:rsidR="004659E7" w:rsidRDefault="00445CAB"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KRAS</w:t>
            </w:r>
          </w:p>
        </w:tc>
        <w:tc>
          <w:tcPr>
            <w:tcW w:w="2304" w:type="dxa"/>
            <w:shd w:val="clear" w:color="auto" w:fill="D9D9D9" w:themeFill="background1" w:themeFillShade="D9"/>
            <w:noWrap/>
            <w:vAlign w:val="center"/>
          </w:tcPr>
          <w:p w14:paraId="024EB40E" w14:textId="14FC3718" w:rsidR="004659E7" w:rsidRDefault="004659E7"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FB0DEF">
              <w:rPr>
                <w:rFonts w:ascii="Arial" w:eastAsia="Times New Roman" w:hAnsi="Arial" w:cs="Arial"/>
                <w:color w:val="000000"/>
                <w:kern w:val="0"/>
                <w:sz w:val="16"/>
                <w:szCs w:val="16"/>
                <w14:ligatures w14:val="none"/>
              </w:rPr>
              <w:t>0.5656 ± 0.0424</w:t>
            </w:r>
          </w:p>
        </w:tc>
        <w:tc>
          <w:tcPr>
            <w:tcW w:w="2304" w:type="dxa"/>
            <w:shd w:val="clear" w:color="auto" w:fill="D9D9D9" w:themeFill="background1" w:themeFillShade="D9"/>
            <w:noWrap/>
            <w:vAlign w:val="center"/>
          </w:tcPr>
          <w:p w14:paraId="205E20AE" w14:textId="21890862" w:rsidR="004659E7" w:rsidRPr="00C56A63" w:rsidRDefault="00DA666A" w:rsidP="002E449F">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DA666A">
              <w:rPr>
                <w:rFonts w:ascii="Arial" w:hAnsi="Arial" w:cs="Arial"/>
                <w:b/>
                <w:bCs/>
                <w:sz w:val="16"/>
                <w:szCs w:val="16"/>
              </w:rPr>
              <w:t xml:space="preserve">8961 ± </w:t>
            </w:r>
            <w:r>
              <w:rPr>
                <w:rFonts w:ascii="Arial" w:hAnsi="Arial" w:cs="Arial"/>
                <w:b/>
                <w:bCs/>
                <w:sz w:val="16"/>
                <w:szCs w:val="16"/>
              </w:rPr>
              <w:t>0.0</w:t>
            </w:r>
            <w:r w:rsidRPr="00DA666A">
              <w:rPr>
                <w:rFonts w:ascii="Arial" w:hAnsi="Arial" w:cs="Arial"/>
                <w:b/>
                <w:bCs/>
                <w:sz w:val="16"/>
                <w:szCs w:val="16"/>
              </w:rPr>
              <w:t>935</w:t>
            </w:r>
          </w:p>
        </w:tc>
        <w:tc>
          <w:tcPr>
            <w:tcW w:w="3312" w:type="dxa"/>
            <w:vMerge/>
            <w:shd w:val="clear" w:color="auto" w:fill="D9D9D9" w:themeFill="background1" w:themeFillShade="D9"/>
            <w:noWrap/>
            <w:vAlign w:val="center"/>
          </w:tcPr>
          <w:p w14:paraId="56187167" w14:textId="77777777" w:rsidR="004659E7" w:rsidRPr="004A5977" w:rsidRDefault="004659E7"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4659E7" w:rsidRPr="004A5977" w14:paraId="4922A884"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75C91F83" w14:textId="77777777" w:rsidR="004659E7" w:rsidRDefault="004659E7" w:rsidP="002E449F">
            <w:pPr>
              <w:rPr>
                <w:rFonts w:ascii="Arial" w:eastAsia="Times New Roman" w:hAnsi="Arial" w:cs="Arial"/>
                <w:kern w:val="0"/>
                <w:sz w:val="16"/>
                <w:szCs w:val="16"/>
                <w14:ligatures w14:val="none"/>
              </w:rPr>
            </w:pPr>
          </w:p>
        </w:tc>
        <w:tc>
          <w:tcPr>
            <w:tcW w:w="1710" w:type="dxa"/>
            <w:shd w:val="clear" w:color="auto" w:fill="C00000"/>
            <w:noWrap/>
            <w:vAlign w:val="center"/>
          </w:tcPr>
          <w:p w14:paraId="3FCADBE0" w14:textId="6939E4F6" w:rsidR="004659E7" w:rsidRDefault="00445CAB"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646200CE" w14:textId="70948DA6" w:rsidR="004659E7" w:rsidRDefault="004659E7"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FB0DEF">
              <w:rPr>
                <w:rFonts w:ascii="Arial" w:eastAsia="Times New Roman" w:hAnsi="Arial" w:cs="Arial"/>
                <w:color w:val="000000"/>
                <w:kern w:val="0"/>
                <w:sz w:val="16"/>
                <w:szCs w:val="16"/>
                <w14:ligatures w14:val="none"/>
              </w:rPr>
              <w:t>0.5543 ± 0.0879</w:t>
            </w:r>
          </w:p>
        </w:tc>
        <w:tc>
          <w:tcPr>
            <w:tcW w:w="2304" w:type="dxa"/>
            <w:shd w:val="clear" w:color="auto" w:fill="D9D9D9" w:themeFill="background1" w:themeFillShade="D9"/>
            <w:noWrap/>
            <w:vAlign w:val="center"/>
          </w:tcPr>
          <w:p w14:paraId="1EC5D646" w14:textId="554AF42A" w:rsidR="004659E7" w:rsidRPr="00C56A63" w:rsidRDefault="00DA666A" w:rsidP="002E449F">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DA666A">
              <w:rPr>
                <w:rFonts w:ascii="Arial" w:hAnsi="Arial" w:cs="Arial"/>
                <w:b/>
                <w:bCs/>
                <w:sz w:val="16"/>
                <w:szCs w:val="16"/>
              </w:rPr>
              <w:t>702</w:t>
            </w:r>
            <w:r>
              <w:rPr>
                <w:rFonts w:ascii="Arial" w:hAnsi="Arial" w:cs="Arial"/>
                <w:b/>
                <w:bCs/>
                <w:sz w:val="16"/>
                <w:szCs w:val="16"/>
              </w:rPr>
              <w:t>6</w:t>
            </w:r>
            <w:r w:rsidRPr="00DA666A">
              <w:rPr>
                <w:rFonts w:ascii="Arial" w:hAnsi="Arial" w:cs="Arial"/>
                <w:b/>
                <w:bCs/>
                <w:sz w:val="16"/>
                <w:szCs w:val="16"/>
              </w:rPr>
              <w:t xml:space="preserve"> ± </w:t>
            </w:r>
            <w:r>
              <w:rPr>
                <w:rFonts w:ascii="Arial" w:hAnsi="Arial" w:cs="Arial"/>
                <w:b/>
                <w:bCs/>
                <w:sz w:val="16"/>
                <w:szCs w:val="16"/>
              </w:rPr>
              <w:t>0.0</w:t>
            </w:r>
            <w:r w:rsidRPr="00DA666A">
              <w:rPr>
                <w:rFonts w:ascii="Arial" w:hAnsi="Arial" w:cs="Arial"/>
                <w:b/>
                <w:bCs/>
                <w:sz w:val="16"/>
                <w:szCs w:val="16"/>
              </w:rPr>
              <w:t>653</w:t>
            </w:r>
          </w:p>
        </w:tc>
        <w:tc>
          <w:tcPr>
            <w:tcW w:w="3312" w:type="dxa"/>
            <w:vMerge/>
            <w:shd w:val="clear" w:color="auto" w:fill="D9D9D9" w:themeFill="background1" w:themeFillShade="D9"/>
            <w:noWrap/>
            <w:vAlign w:val="center"/>
          </w:tcPr>
          <w:p w14:paraId="26BA0370" w14:textId="77777777" w:rsidR="004659E7" w:rsidRPr="004A5977" w:rsidRDefault="004659E7"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2F1644" w:rsidRPr="004A5977" w14:paraId="11D80F1C"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7D5847AA" w14:textId="7D093F3E" w:rsidR="002F1644" w:rsidRDefault="002F1644" w:rsidP="002F1644">
            <w:pPr>
              <w:rPr>
                <w:rFonts w:ascii="Arial" w:eastAsia="Times New Roman" w:hAnsi="Arial" w:cs="Arial"/>
                <w:kern w:val="0"/>
                <w:sz w:val="16"/>
                <w:szCs w:val="16"/>
                <w14:ligatures w14:val="none"/>
              </w:rPr>
            </w:pPr>
            <w:r w:rsidRPr="0013109C">
              <w:rPr>
                <w:rFonts w:ascii="Arial" w:eastAsia="Times New Roman" w:hAnsi="Arial" w:cs="Arial"/>
                <w:kern w:val="0"/>
                <w:sz w:val="16"/>
                <w:szCs w:val="16"/>
                <w14:ligatures w14:val="none"/>
              </w:rPr>
              <w:t>Cancer</w:t>
            </w:r>
          </w:p>
        </w:tc>
        <w:tc>
          <w:tcPr>
            <w:tcW w:w="1710" w:type="dxa"/>
            <w:shd w:val="clear" w:color="auto" w:fill="C00000"/>
            <w:noWrap/>
            <w:vAlign w:val="center"/>
          </w:tcPr>
          <w:p w14:paraId="3EC2530C" w14:textId="66CC3BBC" w:rsidR="002F1644" w:rsidRPr="00445CAB" w:rsidRDefault="002F1644" w:rsidP="002F164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i/>
                <w:color w:val="FFFFFF" w:themeColor="background1"/>
                <w:kern w:val="0"/>
                <w:sz w:val="16"/>
                <w:szCs w:val="16"/>
                <w14:ligatures w14:val="none"/>
              </w:rPr>
            </w:pPr>
            <w:r w:rsidRPr="0013109C">
              <w:rPr>
                <w:rFonts w:ascii="Arial" w:eastAsia="Times New Roman" w:hAnsi="Arial" w:cs="Arial"/>
                <w:b/>
                <w:bCs/>
                <w:kern w:val="0"/>
                <w:sz w:val="16"/>
                <w:szCs w:val="16"/>
                <w14:ligatures w14:val="none"/>
              </w:rPr>
              <w:t>Gene</w:t>
            </w:r>
          </w:p>
        </w:tc>
        <w:tc>
          <w:tcPr>
            <w:tcW w:w="2304" w:type="dxa"/>
            <w:shd w:val="clear" w:color="auto" w:fill="C00000"/>
            <w:noWrap/>
            <w:vAlign w:val="center"/>
          </w:tcPr>
          <w:p w14:paraId="3FF8CACD" w14:textId="14127BF8" w:rsidR="002F1644" w:rsidRPr="00FB0DEF" w:rsidRDefault="002F1644" w:rsidP="002F164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13109C">
              <w:rPr>
                <w:rFonts w:ascii="Arial" w:eastAsia="Times New Roman" w:hAnsi="Arial" w:cs="Arial"/>
                <w:b/>
                <w:bCs/>
                <w:kern w:val="0"/>
                <w:sz w:val="16"/>
                <w:szCs w:val="16"/>
                <w14:ligatures w14:val="none"/>
              </w:rPr>
              <w:t>AUC (</w:t>
            </w:r>
            <w:r>
              <w:rPr>
                <w:rFonts w:ascii="Arial" w:eastAsia="Times New Roman" w:hAnsi="Arial" w:cs="Arial"/>
                <w:b/>
                <w:bCs/>
                <w:kern w:val="0"/>
                <w:sz w:val="16"/>
                <w:szCs w:val="16"/>
                <w14:ligatures w14:val="none"/>
              </w:rPr>
              <w:t>Chen</w:t>
            </w:r>
            <w:r w:rsidRPr="0013109C">
              <w:rPr>
                <w:rFonts w:ascii="Arial" w:eastAsia="Times New Roman" w:hAnsi="Arial" w:cs="Arial"/>
                <w:b/>
                <w:bCs/>
                <w:kern w:val="0"/>
                <w:sz w:val="16"/>
                <w:szCs w:val="16"/>
                <w14:ligatures w14:val="none"/>
              </w:rPr>
              <w:t xml:space="preserve"> et al. [</w:t>
            </w:r>
            <w:r>
              <w:rPr>
                <w:rFonts w:ascii="Arial" w:eastAsia="Times New Roman" w:hAnsi="Arial" w:cs="Arial"/>
                <w:b/>
                <w:bCs/>
                <w:kern w:val="0"/>
                <w:sz w:val="16"/>
                <w:szCs w:val="16"/>
                <w14:ligatures w14:val="none"/>
              </w:rPr>
              <w:t>3</w:t>
            </w:r>
            <w:r>
              <w:rPr>
                <w:rFonts w:ascii="Arial" w:eastAsia="Times New Roman" w:hAnsi="Arial" w:cs="Arial"/>
                <w:b/>
                <w:bCs/>
                <w:kern w:val="0"/>
                <w:sz w:val="16"/>
                <w:szCs w:val="16"/>
                <w14:ligatures w14:val="none"/>
              </w:rPr>
              <w:t>9</w:t>
            </w:r>
            <w:r w:rsidRPr="0013109C">
              <w:rPr>
                <w:rFonts w:ascii="Arial" w:eastAsia="Times New Roman" w:hAnsi="Arial" w:cs="Arial"/>
                <w:b/>
                <w:bCs/>
                <w:kern w:val="0"/>
                <w:sz w:val="16"/>
                <w:szCs w:val="16"/>
                <w14:ligatures w14:val="none"/>
              </w:rPr>
              <w:t>])</w:t>
            </w:r>
          </w:p>
        </w:tc>
        <w:tc>
          <w:tcPr>
            <w:tcW w:w="2304" w:type="dxa"/>
            <w:shd w:val="clear" w:color="auto" w:fill="C00000"/>
            <w:noWrap/>
            <w:vAlign w:val="center"/>
          </w:tcPr>
          <w:p w14:paraId="4688F356" w14:textId="1721DF36" w:rsidR="002F1644" w:rsidRDefault="002F1644" w:rsidP="002F1644">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3109C">
              <w:rPr>
                <w:rFonts w:ascii="Arial" w:eastAsia="Times New Roman" w:hAnsi="Arial" w:cs="Arial"/>
                <w:b/>
                <w:bCs/>
                <w:kern w:val="0"/>
                <w:sz w:val="16"/>
                <w:szCs w:val="16"/>
                <w14:ligatures w14:val="none"/>
              </w:rPr>
              <w:t>AUC (GenoGlyph)</w:t>
            </w:r>
          </w:p>
        </w:tc>
        <w:tc>
          <w:tcPr>
            <w:tcW w:w="3312" w:type="dxa"/>
            <w:shd w:val="clear" w:color="auto" w:fill="C00000"/>
            <w:noWrap/>
            <w:vAlign w:val="center"/>
          </w:tcPr>
          <w:p w14:paraId="0EEC146B" w14:textId="097CD9EF" w:rsidR="002F1644" w:rsidRPr="004A5977" w:rsidRDefault="002F1644" w:rsidP="003A0B4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13109C">
              <w:rPr>
                <w:rFonts w:ascii="Arial" w:eastAsia="Times New Roman" w:hAnsi="Arial" w:cs="Arial"/>
                <w:b/>
                <w:bCs/>
                <w:kern w:val="0"/>
                <w:sz w:val="16"/>
                <w:szCs w:val="16"/>
                <w14:ligatures w14:val="none"/>
              </w:rPr>
              <w:t>Notes</w:t>
            </w:r>
          </w:p>
        </w:tc>
      </w:tr>
      <w:tr w:rsidR="00A368E3" w:rsidRPr="004A5977" w14:paraId="2382A842"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227DC2FA" w14:textId="2D94BD73" w:rsidR="00A368E3" w:rsidRDefault="00A368E3" w:rsidP="002E449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LUAD</w:t>
            </w:r>
          </w:p>
        </w:tc>
        <w:tc>
          <w:tcPr>
            <w:tcW w:w="1710" w:type="dxa"/>
            <w:shd w:val="clear" w:color="auto" w:fill="C00000"/>
            <w:noWrap/>
            <w:vAlign w:val="center"/>
          </w:tcPr>
          <w:p w14:paraId="4DADB6E1" w14:textId="5AE73EEF" w:rsidR="00A368E3" w:rsidRDefault="00445CAB"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1C4DA936" w14:textId="47781F45" w:rsidR="00A368E3" w:rsidRPr="00FB0DEF" w:rsidRDefault="00A368E3"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1B2163">
              <w:rPr>
                <w:rFonts w:ascii="Arial" w:eastAsia="Times New Roman" w:hAnsi="Arial" w:cs="Arial"/>
                <w:color w:val="000000"/>
                <w:kern w:val="0"/>
                <w:sz w:val="16"/>
                <w:szCs w:val="16"/>
                <w14:ligatures w14:val="none"/>
              </w:rPr>
              <w:t>0.679 ± 0.084</w:t>
            </w:r>
          </w:p>
        </w:tc>
        <w:tc>
          <w:tcPr>
            <w:tcW w:w="2304" w:type="dxa"/>
            <w:shd w:val="clear" w:color="auto" w:fill="D9D9D9" w:themeFill="background1" w:themeFillShade="D9"/>
            <w:noWrap/>
            <w:vAlign w:val="center"/>
          </w:tcPr>
          <w:p w14:paraId="6A613D6E" w14:textId="3AAA9DCD" w:rsidR="00A368E3" w:rsidRPr="001B2163" w:rsidRDefault="00DA666A" w:rsidP="002E449F">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1E091A">
              <w:rPr>
                <w:rFonts w:ascii="Arial" w:hAnsi="Arial" w:cs="Arial"/>
                <w:b/>
                <w:bCs/>
                <w:sz w:val="16"/>
                <w:szCs w:val="16"/>
              </w:rPr>
              <w:t>7</w:t>
            </w:r>
            <w:r w:rsidR="00C82E7D">
              <w:rPr>
                <w:rFonts w:ascii="Arial" w:hAnsi="Arial" w:cs="Arial"/>
                <w:b/>
                <w:bCs/>
                <w:sz w:val="16"/>
                <w:szCs w:val="16"/>
              </w:rPr>
              <w:t>60</w:t>
            </w:r>
            <w:r w:rsidRPr="001E091A">
              <w:rPr>
                <w:rFonts w:ascii="Arial" w:hAnsi="Arial" w:cs="Arial"/>
                <w:b/>
                <w:bCs/>
                <w:sz w:val="16"/>
                <w:szCs w:val="16"/>
              </w:rPr>
              <w:t xml:space="preserve"> ± </w:t>
            </w:r>
            <w:r>
              <w:rPr>
                <w:rFonts w:ascii="Arial" w:hAnsi="Arial" w:cs="Arial"/>
                <w:b/>
                <w:bCs/>
                <w:sz w:val="16"/>
                <w:szCs w:val="16"/>
              </w:rPr>
              <w:t>0.0</w:t>
            </w:r>
            <w:r w:rsidRPr="001E091A">
              <w:rPr>
                <w:rFonts w:ascii="Arial" w:hAnsi="Arial" w:cs="Arial"/>
                <w:b/>
                <w:bCs/>
                <w:sz w:val="16"/>
                <w:szCs w:val="16"/>
              </w:rPr>
              <w:t>53</w:t>
            </w:r>
          </w:p>
        </w:tc>
        <w:tc>
          <w:tcPr>
            <w:tcW w:w="3312" w:type="dxa"/>
            <w:vMerge w:val="restart"/>
            <w:shd w:val="clear" w:color="auto" w:fill="D9D9D9" w:themeFill="background1" w:themeFillShade="D9"/>
            <w:noWrap/>
            <w:vAlign w:val="center"/>
          </w:tcPr>
          <w:p w14:paraId="2F7E835F" w14:textId="7B6EB367" w:rsidR="00A368E3" w:rsidRPr="004A5977" w:rsidRDefault="0064070F" w:rsidP="003A0B4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026E3D">
              <w:rPr>
                <w:rFonts w:ascii="Arial" w:eastAsia="Times New Roman" w:hAnsi="Arial" w:cs="Arial"/>
                <w:color w:val="000000"/>
                <w:kern w:val="0"/>
                <w:sz w:val="16"/>
                <w:szCs w:val="16"/>
                <w14:ligatures w14:val="none"/>
              </w:rPr>
              <w:t>The training data used for both methods is identical. The authors also report 5-fold cross-validation results in terms of mean ± standard deviation, which is consistent with the evaluation protocol we use for our method. Although the exact fold splits are not guaranteed to be the same, this is unlikely to substantially affect the overall performance trends.</w:t>
            </w:r>
          </w:p>
        </w:tc>
      </w:tr>
      <w:tr w:rsidR="00A368E3" w:rsidRPr="004A5977" w14:paraId="29264BCB"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tcBorders>
              <w:left w:val="nil"/>
            </w:tcBorders>
            <w:shd w:val="clear" w:color="auto" w:fill="C00000"/>
            <w:noWrap/>
            <w:vAlign w:val="center"/>
          </w:tcPr>
          <w:p w14:paraId="4A3845C4" w14:textId="05A05AAF" w:rsidR="00A368E3" w:rsidRDefault="00A368E3" w:rsidP="002E449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HNSC</w:t>
            </w:r>
          </w:p>
        </w:tc>
        <w:tc>
          <w:tcPr>
            <w:tcW w:w="1710" w:type="dxa"/>
            <w:shd w:val="clear" w:color="auto" w:fill="C00000"/>
            <w:noWrap/>
            <w:vAlign w:val="center"/>
          </w:tcPr>
          <w:p w14:paraId="6BD95235" w14:textId="115FA4AC" w:rsidR="00A368E3" w:rsidRDefault="00445CAB"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0B33AB93" w14:textId="3C74A666" w:rsidR="00A368E3" w:rsidRPr="001B2163" w:rsidRDefault="00A368E3"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r w:rsidRPr="00CE0ADD">
              <w:rPr>
                <w:rFonts w:ascii="Arial" w:eastAsia="Times New Roman" w:hAnsi="Arial" w:cs="Arial"/>
                <w:color w:val="000000"/>
                <w:kern w:val="0"/>
                <w:sz w:val="16"/>
                <w:szCs w:val="16"/>
                <w14:ligatures w14:val="none"/>
              </w:rPr>
              <w:t>0.700 ± 0.093</w:t>
            </w:r>
          </w:p>
        </w:tc>
        <w:tc>
          <w:tcPr>
            <w:tcW w:w="2304" w:type="dxa"/>
            <w:shd w:val="clear" w:color="auto" w:fill="D9D9D9" w:themeFill="background1" w:themeFillShade="D9"/>
            <w:noWrap/>
            <w:vAlign w:val="center"/>
          </w:tcPr>
          <w:p w14:paraId="5849E4AB" w14:textId="6B849469" w:rsidR="00A368E3" w:rsidRPr="001B2163" w:rsidRDefault="00C82E7D" w:rsidP="002E449F">
            <w:pP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C82E7D">
              <w:rPr>
                <w:rFonts w:ascii="Arial" w:hAnsi="Arial" w:cs="Arial"/>
                <w:b/>
                <w:bCs/>
                <w:sz w:val="16"/>
                <w:szCs w:val="16"/>
              </w:rPr>
              <w:t xml:space="preserve">966 ± </w:t>
            </w:r>
            <w:r>
              <w:rPr>
                <w:rFonts w:ascii="Arial" w:hAnsi="Arial" w:cs="Arial"/>
                <w:b/>
                <w:bCs/>
                <w:sz w:val="16"/>
                <w:szCs w:val="16"/>
              </w:rPr>
              <w:t>0.0</w:t>
            </w:r>
            <w:r w:rsidRPr="00C82E7D">
              <w:rPr>
                <w:rFonts w:ascii="Arial" w:hAnsi="Arial" w:cs="Arial"/>
                <w:b/>
                <w:bCs/>
                <w:sz w:val="16"/>
                <w:szCs w:val="16"/>
              </w:rPr>
              <w:t>29</w:t>
            </w:r>
          </w:p>
        </w:tc>
        <w:tc>
          <w:tcPr>
            <w:tcW w:w="3312" w:type="dxa"/>
            <w:vMerge/>
            <w:shd w:val="clear" w:color="auto" w:fill="D9D9D9" w:themeFill="background1" w:themeFillShade="D9"/>
            <w:noWrap/>
            <w:vAlign w:val="center"/>
          </w:tcPr>
          <w:p w14:paraId="25D64BCA" w14:textId="77777777" w:rsidR="00A368E3" w:rsidRPr="004A5977" w:rsidRDefault="00A368E3"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A368E3" w:rsidRPr="004A5977" w14:paraId="411E917D"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val="restart"/>
            <w:tcBorders>
              <w:left w:val="nil"/>
            </w:tcBorders>
            <w:shd w:val="clear" w:color="auto" w:fill="C00000"/>
            <w:noWrap/>
            <w:vAlign w:val="center"/>
          </w:tcPr>
          <w:p w14:paraId="46286E5F" w14:textId="1A136160" w:rsidR="00A368E3" w:rsidRDefault="00A368E3" w:rsidP="002E449F">
            <w:pPr>
              <w:rPr>
                <w:rFonts w:ascii="Arial" w:eastAsia="Times New Roman" w:hAnsi="Arial" w:cs="Arial"/>
                <w:kern w:val="0"/>
                <w:sz w:val="16"/>
                <w:szCs w:val="16"/>
                <w14:ligatures w14:val="none"/>
              </w:rPr>
            </w:pPr>
            <w:r>
              <w:rPr>
                <w:rFonts w:ascii="Arial" w:eastAsia="Times New Roman" w:hAnsi="Arial" w:cs="Arial"/>
                <w:kern w:val="0"/>
                <w:sz w:val="16"/>
                <w:szCs w:val="16"/>
                <w14:ligatures w14:val="none"/>
              </w:rPr>
              <w:t>CRC</w:t>
            </w:r>
          </w:p>
        </w:tc>
        <w:tc>
          <w:tcPr>
            <w:tcW w:w="1710" w:type="dxa"/>
            <w:shd w:val="clear" w:color="auto" w:fill="C00000"/>
            <w:noWrap/>
            <w:vAlign w:val="center"/>
          </w:tcPr>
          <w:p w14:paraId="181EFA5F" w14:textId="4ACBE259" w:rsidR="00A368E3" w:rsidRDefault="00445CAB"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TP53</w:t>
            </w:r>
          </w:p>
        </w:tc>
        <w:tc>
          <w:tcPr>
            <w:tcW w:w="2304" w:type="dxa"/>
            <w:shd w:val="clear" w:color="auto" w:fill="D9D9D9" w:themeFill="background1" w:themeFillShade="D9"/>
            <w:noWrap/>
            <w:vAlign w:val="center"/>
          </w:tcPr>
          <w:p w14:paraId="7777C967" w14:textId="6C694CDF" w:rsidR="00A368E3" w:rsidRPr="00CE0ADD" w:rsidRDefault="00A368E3"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B135AD">
              <w:rPr>
                <w:rFonts w:ascii="Arial" w:eastAsia="Times New Roman" w:hAnsi="Arial" w:cs="Arial"/>
                <w:color w:val="000000"/>
                <w:kern w:val="0"/>
                <w:sz w:val="16"/>
                <w:szCs w:val="16"/>
                <w14:ligatures w14:val="none"/>
              </w:rPr>
              <w:t>0.660 ± 0.021</w:t>
            </w:r>
          </w:p>
        </w:tc>
        <w:tc>
          <w:tcPr>
            <w:tcW w:w="2304" w:type="dxa"/>
            <w:shd w:val="clear" w:color="auto" w:fill="D9D9D9" w:themeFill="background1" w:themeFillShade="D9"/>
            <w:noWrap/>
            <w:vAlign w:val="center"/>
          </w:tcPr>
          <w:p w14:paraId="49766BC7" w14:textId="4AC5729A" w:rsidR="00A368E3" w:rsidRDefault="00A368E3" w:rsidP="002E449F">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B135AD">
              <w:rPr>
                <w:rFonts w:ascii="Arial" w:hAnsi="Arial" w:cs="Arial"/>
                <w:b/>
                <w:bCs/>
                <w:sz w:val="16"/>
                <w:szCs w:val="16"/>
              </w:rPr>
              <w:t>0.751 ± 0.058</w:t>
            </w:r>
          </w:p>
        </w:tc>
        <w:tc>
          <w:tcPr>
            <w:tcW w:w="3312" w:type="dxa"/>
            <w:vMerge/>
            <w:shd w:val="clear" w:color="auto" w:fill="D9D9D9" w:themeFill="background1" w:themeFillShade="D9"/>
            <w:noWrap/>
            <w:vAlign w:val="center"/>
          </w:tcPr>
          <w:p w14:paraId="5F1198C4" w14:textId="77777777" w:rsidR="00A368E3" w:rsidRPr="004A5977" w:rsidRDefault="00A368E3"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r w:rsidR="00A368E3" w:rsidRPr="004A5977" w14:paraId="219BF8A2" w14:textId="77777777" w:rsidTr="003A0B4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70750546" w14:textId="77777777" w:rsidR="00A368E3" w:rsidRDefault="00A368E3" w:rsidP="002E449F">
            <w:pPr>
              <w:rPr>
                <w:rFonts w:ascii="Arial" w:eastAsia="Times New Roman" w:hAnsi="Arial" w:cs="Arial"/>
                <w:kern w:val="0"/>
                <w:sz w:val="16"/>
                <w:szCs w:val="16"/>
                <w14:ligatures w14:val="none"/>
              </w:rPr>
            </w:pPr>
          </w:p>
        </w:tc>
        <w:tc>
          <w:tcPr>
            <w:tcW w:w="1710" w:type="dxa"/>
            <w:shd w:val="clear" w:color="auto" w:fill="C00000"/>
            <w:noWrap/>
            <w:vAlign w:val="center"/>
          </w:tcPr>
          <w:p w14:paraId="545833E2" w14:textId="096114C1" w:rsidR="00A368E3" w:rsidRDefault="00445CAB"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PIK3CA</w:t>
            </w:r>
          </w:p>
        </w:tc>
        <w:tc>
          <w:tcPr>
            <w:tcW w:w="2304" w:type="dxa"/>
            <w:shd w:val="clear" w:color="auto" w:fill="D9D9D9" w:themeFill="background1" w:themeFillShade="D9"/>
            <w:noWrap/>
            <w:vAlign w:val="center"/>
          </w:tcPr>
          <w:p w14:paraId="56CB3CD7" w14:textId="33B9A412" w:rsidR="00A368E3" w:rsidRPr="00B135AD" w:rsidRDefault="00A368E3"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kern w:val="0"/>
                <w:sz w:val="16"/>
                <w:szCs w:val="16"/>
                <w14:ligatures w14:val="none"/>
              </w:rPr>
            </w:pPr>
            <w:r w:rsidRPr="00B135AD">
              <w:rPr>
                <w:rFonts w:ascii="Arial" w:eastAsia="Times New Roman" w:hAnsi="Arial" w:cs="Arial"/>
                <w:b/>
                <w:bCs/>
                <w:color w:val="000000"/>
                <w:kern w:val="0"/>
                <w:sz w:val="16"/>
                <w:szCs w:val="16"/>
                <w14:ligatures w14:val="none"/>
              </w:rPr>
              <w:t>0.757 ± 0.085</w:t>
            </w:r>
          </w:p>
        </w:tc>
        <w:tc>
          <w:tcPr>
            <w:tcW w:w="2304" w:type="dxa"/>
            <w:shd w:val="clear" w:color="auto" w:fill="D9D9D9" w:themeFill="background1" w:themeFillShade="D9"/>
            <w:noWrap/>
            <w:vAlign w:val="center"/>
          </w:tcPr>
          <w:p w14:paraId="4DE9F8D8" w14:textId="5D205281" w:rsidR="00A368E3" w:rsidRPr="00B135AD" w:rsidRDefault="00A368E3" w:rsidP="002E449F">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B135AD">
              <w:rPr>
                <w:rFonts w:ascii="Arial" w:hAnsi="Arial" w:cs="Arial"/>
                <w:sz w:val="16"/>
                <w:szCs w:val="16"/>
              </w:rPr>
              <w:t>0.63</w:t>
            </w:r>
            <w:r>
              <w:rPr>
                <w:rFonts w:ascii="Arial" w:hAnsi="Arial" w:cs="Arial"/>
                <w:sz w:val="16"/>
                <w:szCs w:val="16"/>
              </w:rPr>
              <w:t>5</w:t>
            </w:r>
            <w:r w:rsidRPr="00B135AD">
              <w:rPr>
                <w:rFonts w:ascii="Arial" w:hAnsi="Arial" w:cs="Arial"/>
                <w:sz w:val="16"/>
                <w:szCs w:val="16"/>
              </w:rPr>
              <w:t xml:space="preserve"> ± 0.055</w:t>
            </w:r>
          </w:p>
        </w:tc>
        <w:tc>
          <w:tcPr>
            <w:tcW w:w="3312" w:type="dxa"/>
            <w:vMerge/>
            <w:shd w:val="clear" w:color="auto" w:fill="D9D9D9" w:themeFill="background1" w:themeFillShade="D9"/>
            <w:noWrap/>
            <w:vAlign w:val="center"/>
          </w:tcPr>
          <w:p w14:paraId="23FC5029" w14:textId="77777777" w:rsidR="00A368E3" w:rsidRPr="004A5977" w:rsidRDefault="00A368E3" w:rsidP="002E449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kern w:val="0"/>
                <w:sz w:val="16"/>
                <w:szCs w:val="16"/>
                <w14:ligatures w14:val="none"/>
              </w:rPr>
            </w:pPr>
          </w:p>
        </w:tc>
      </w:tr>
      <w:tr w:rsidR="00A368E3" w:rsidRPr="004A5977" w14:paraId="03547F87" w14:textId="77777777" w:rsidTr="003A0B4D">
        <w:trPr>
          <w:trHeight w:val="432"/>
        </w:trPr>
        <w:tc>
          <w:tcPr>
            <w:cnfStyle w:val="001000000000" w:firstRow="0" w:lastRow="0" w:firstColumn="1" w:lastColumn="0" w:oddVBand="0" w:evenVBand="0" w:oddHBand="0" w:evenHBand="0" w:firstRowFirstColumn="0" w:firstRowLastColumn="0" w:lastRowFirstColumn="0" w:lastRowLastColumn="0"/>
            <w:tcW w:w="1159" w:type="dxa"/>
            <w:vMerge/>
            <w:tcBorders>
              <w:left w:val="nil"/>
            </w:tcBorders>
            <w:shd w:val="clear" w:color="auto" w:fill="C00000"/>
            <w:noWrap/>
            <w:vAlign w:val="center"/>
          </w:tcPr>
          <w:p w14:paraId="69646B72" w14:textId="77777777" w:rsidR="00A368E3" w:rsidRDefault="00A368E3" w:rsidP="002E449F">
            <w:pPr>
              <w:rPr>
                <w:rFonts w:ascii="Arial" w:eastAsia="Times New Roman" w:hAnsi="Arial" w:cs="Arial"/>
                <w:kern w:val="0"/>
                <w:sz w:val="16"/>
                <w:szCs w:val="16"/>
                <w14:ligatures w14:val="none"/>
              </w:rPr>
            </w:pPr>
          </w:p>
        </w:tc>
        <w:tc>
          <w:tcPr>
            <w:tcW w:w="1710" w:type="dxa"/>
            <w:shd w:val="clear" w:color="auto" w:fill="C00000"/>
            <w:noWrap/>
            <w:vAlign w:val="center"/>
          </w:tcPr>
          <w:p w14:paraId="4C7AD140" w14:textId="62F05CB3" w:rsidR="00A368E3" w:rsidRDefault="00445CAB"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FFFFFF" w:themeColor="background1"/>
                <w:kern w:val="0"/>
                <w:sz w:val="16"/>
                <w:szCs w:val="16"/>
                <w14:ligatures w14:val="none"/>
              </w:rPr>
            </w:pPr>
            <w:r w:rsidRPr="00445CAB">
              <w:rPr>
                <w:rFonts w:ascii="Arial" w:eastAsia="Times New Roman" w:hAnsi="Arial" w:cs="Arial"/>
                <w:b/>
                <w:i/>
                <w:color w:val="FFFFFF" w:themeColor="background1"/>
                <w:kern w:val="0"/>
                <w:sz w:val="16"/>
                <w:szCs w:val="16"/>
                <w14:ligatures w14:val="none"/>
              </w:rPr>
              <w:t>BRAF</w:t>
            </w:r>
          </w:p>
        </w:tc>
        <w:tc>
          <w:tcPr>
            <w:tcW w:w="2304" w:type="dxa"/>
            <w:shd w:val="clear" w:color="auto" w:fill="D9D9D9" w:themeFill="background1" w:themeFillShade="D9"/>
            <w:noWrap/>
            <w:vAlign w:val="center"/>
          </w:tcPr>
          <w:p w14:paraId="1EBA601D" w14:textId="47A3D2B6" w:rsidR="00A368E3" w:rsidRPr="00CE0ADD" w:rsidRDefault="00A368E3"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r w:rsidRPr="00B135AD">
              <w:rPr>
                <w:rFonts w:ascii="Arial" w:eastAsia="Times New Roman" w:hAnsi="Arial" w:cs="Arial"/>
                <w:color w:val="000000"/>
                <w:kern w:val="0"/>
                <w:sz w:val="16"/>
                <w:szCs w:val="16"/>
                <w14:ligatures w14:val="none"/>
              </w:rPr>
              <w:t>0.695 ± 0.067</w:t>
            </w:r>
          </w:p>
        </w:tc>
        <w:tc>
          <w:tcPr>
            <w:tcW w:w="2304" w:type="dxa"/>
            <w:shd w:val="clear" w:color="auto" w:fill="D9D9D9" w:themeFill="background1" w:themeFillShade="D9"/>
            <w:noWrap/>
            <w:vAlign w:val="center"/>
          </w:tcPr>
          <w:p w14:paraId="6F060688" w14:textId="49502C92" w:rsidR="00A368E3" w:rsidRDefault="00A368E3" w:rsidP="002E449F">
            <w:pPr>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Pr>
                <w:rFonts w:ascii="Arial" w:hAnsi="Arial" w:cs="Arial"/>
                <w:b/>
                <w:bCs/>
                <w:sz w:val="16"/>
                <w:szCs w:val="16"/>
              </w:rPr>
              <w:t>0.</w:t>
            </w:r>
            <w:r w:rsidRPr="003D38A7">
              <w:rPr>
                <w:rFonts w:ascii="Arial" w:hAnsi="Arial" w:cs="Arial"/>
                <w:b/>
                <w:bCs/>
                <w:sz w:val="16"/>
                <w:szCs w:val="16"/>
              </w:rPr>
              <w:t xml:space="preserve">835 ± </w:t>
            </w:r>
            <w:r>
              <w:rPr>
                <w:rFonts w:ascii="Arial" w:hAnsi="Arial" w:cs="Arial"/>
                <w:b/>
                <w:bCs/>
                <w:sz w:val="16"/>
                <w:szCs w:val="16"/>
              </w:rPr>
              <w:t>0.0</w:t>
            </w:r>
            <w:r w:rsidRPr="003D38A7">
              <w:rPr>
                <w:rFonts w:ascii="Arial" w:hAnsi="Arial" w:cs="Arial"/>
                <w:b/>
                <w:bCs/>
                <w:sz w:val="16"/>
                <w:szCs w:val="16"/>
              </w:rPr>
              <w:t>65</w:t>
            </w:r>
          </w:p>
        </w:tc>
        <w:tc>
          <w:tcPr>
            <w:tcW w:w="3312" w:type="dxa"/>
            <w:vMerge/>
            <w:shd w:val="clear" w:color="auto" w:fill="D9D9D9" w:themeFill="background1" w:themeFillShade="D9"/>
            <w:noWrap/>
            <w:vAlign w:val="center"/>
          </w:tcPr>
          <w:p w14:paraId="553592FB" w14:textId="77777777" w:rsidR="00A368E3" w:rsidRPr="004A5977" w:rsidRDefault="00A368E3" w:rsidP="002E449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0"/>
                <w:sz w:val="16"/>
                <w:szCs w:val="16"/>
                <w14:ligatures w14:val="none"/>
              </w:rPr>
            </w:pPr>
          </w:p>
        </w:tc>
      </w:tr>
    </w:tbl>
    <w:p w14:paraId="17486923" w14:textId="77777777" w:rsidR="00495CE9" w:rsidRDefault="00495CE9" w:rsidP="00850AD7">
      <w:pPr>
        <w:spacing w:line="240" w:lineRule="auto"/>
        <w:jc w:val="both"/>
        <w:rPr>
          <w:rFonts w:ascii="Arial" w:hAnsi="Arial" w:cs="Arial"/>
          <w:sz w:val="22"/>
          <w:szCs w:val="22"/>
        </w:rPr>
      </w:pPr>
    </w:p>
    <w:p w14:paraId="7ED421EB" w14:textId="0DF514AE" w:rsidR="00F90B5D" w:rsidRPr="00EF6137" w:rsidRDefault="00F90B5D" w:rsidP="00F90B5D">
      <w:pPr>
        <w:spacing w:line="240" w:lineRule="auto"/>
        <w:jc w:val="both"/>
        <w:rPr>
          <w:rFonts w:ascii="Arial" w:hAnsi="Arial" w:cs="Arial"/>
          <w:sz w:val="16"/>
          <w:szCs w:val="16"/>
        </w:rPr>
      </w:pPr>
      <w:r w:rsidRPr="00EF6137">
        <w:rPr>
          <w:rFonts w:ascii="Arial" w:hAnsi="Arial" w:cs="Arial"/>
          <w:b/>
          <w:bCs/>
          <w:sz w:val="20"/>
          <w:szCs w:val="20"/>
        </w:rPr>
        <w:t xml:space="preserve">Table </w:t>
      </w:r>
      <w:r>
        <w:rPr>
          <w:rFonts w:ascii="Arial" w:hAnsi="Arial" w:cs="Arial"/>
          <w:b/>
          <w:bCs/>
          <w:sz w:val="20"/>
          <w:szCs w:val="20"/>
        </w:rPr>
        <w:t>S</w:t>
      </w:r>
      <w:r w:rsidR="00435FCB">
        <w:rPr>
          <w:rFonts w:ascii="Arial" w:hAnsi="Arial" w:cs="Arial"/>
          <w:b/>
          <w:bCs/>
          <w:sz w:val="20"/>
          <w:szCs w:val="20"/>
        </w:rPr>
        <w:t>10</w:t>
      </w:r>
      <w:r w:rsidRPr="00EF6137">
        <w:rPr>
          <w:rFonts w:ascii="Arial" w:hAnsi="Arial" w:cs="Arial"/>
          <w:b/>
          <w:bCs/>
          <w:sz w:val="20"/>
          <w:szCs w:val="20"/>
        </w:rPr>
        <w:t xml:space="preserve"> | </w:t>
      </w:r>
      <w:r w:rsidR="00EF3B49">
        <w:rPr>
          <w:rFonts w:ascii="Arial" w:hAnsi="Arial" w:cs="Arial"/>
          <w:b/>
          <w:bCs/>
          <w:sz w:val="20"/>
          <w:szCs w:val="20"/>
        </w:rPr>
        <w:t>M</w:t>
      </w:r>
      <w:r w:rsidRPr="00EF6137">
        <w:rPr>
          <w:rFonts w:ascii="Arial" w:hAnsi="Arial" w:cs="Arial"/>
          <w:b/>
          <w:bCs/>
          <w:sz w:val="20"/>
          <w:szCs w:val="20"/>
        </w:rPr>
        <w:t>utation prediction performance</w:t>
      </w:r>
      <w:r w:rsidR="00EF3B49">
        <w:rPr>
          <w:rFonts w:ascii="Arial" w:hAnsi="Arial" w:cs="Arial"/>
          <w:b/>
          <w:bCs/>
          <w:sz w:val="20"/>
          <w:szCs w:val="20"/>
        </w:rPr>
        <w:t xml:space="preserve"> per cancer type</w:t>
      </w:r>
      <w:r w:rsidRPr="00EF6137">
        <w:rPr>
          <w:rFonts w:ascii="Arial" w:hAnsi="Arial" w:cs="Arial"/>
          <w:b/>
          <w:bCs/>
          <w:sz w:val="20"/>
          <w:szCs w:val="20"/>
        </w:rPr>
        <w:t>.</w:t>
      </w:r>
      <w:r w:rsidRPr="00EF6137">
        <w:rPr>
          <w:rFonts w:ascii="Arial" w:hAnsi="Arial" w:cs="Arial"/>
          <w:sz w:val="16"/>
          <w:szCs w:val="16"/>
        </w:rPr>
        <w:t xml:space="preserve"> Cross-validated classification performance of GenoGlyph for predicting individual somatic mutations from H&amp;E whole-slide images </w:t>
      </w:r>
      <w:r w:rsidR="00B47BB8">
        <w:rPr>
          <w:rFonts w:ascii="Arial" w:hAnsi="Arial" w:cs="Arial"/>
          <w:sz w:val="16"/>
          <w:szCs w:val="16"/>
        </w:rPr>
        <w:t>across different cancer types</w:t>
      </w:r>
      <w:r w:rsidRPr="00EF6137">
        <w:rPr>
          <w:rFonts w:ascii="Arial" w:hAnsi="Arial" w:cs="Arial"/>
          <w:sz w:val="16"/>
          <w:szCs w:val="16"/>
        </w:rPr>
        <w:t>.</w:t>
      </w:r>
      <w:r w:rsidR="00B47BB8">
        <w:rPr>
          <w:rFonts w:ascii="Arial" w:hAnsi="Arial" w:cs="Arial"/>
          <w:sz w:val="16"/>
          <w:szCs w:val="16"/>
        </w:rPr>
        <w:t xml:space="preserve"> These are the best results of either per-cancer or pan-cancer models.</w:t>
      </w:r>
      <w:r w:rsidRPr="00EF6137">
        <w:rPr>
          <w:rFonts w:ascii="Arial" w:hAnsi="Arial" w:cs="Arial"/>
          <w:sz w:val="16"/>
          <w:szCs w:val="16"/>
        </w:rPr>
        <w:t xml:space="preserve"> All metrics are expressed as percentages.</w:t>
      </w:r>
    </w:p>
    <w:tbl>
      <w:tblPr>
        <w:tblStyle w:val="GridTable5Dark"/>
        <w:tblW w:w="5000" w:type="pct"/>
        <w:tblLook w:val="06A0" w:firstRow="1" w:lastRow="0" w:firstColumn="1" w:lastColumn="0" w:noHBand="1" w:noVBand="1"/>
      </w:tblPr>
      <w:tblGrid>
        <w:gridCol w:w="2491"/>
        <w:gridCol w:w="969"/>
        <w:gridCol w:w="1506"/>
        <w:gridCol w:w="1407"/>
        <w:gridCol w:w="1407"/>
        <w:gridCol w:w="1506"/>
        <w:gridCol w:w="1504"/>
      </w:tblGrid>
      <w:tr w:rsidR="00F90B5D" w:rsidRPr="0072250C" w14:paraId="1E263ABF" w14:textId="77777777" w:rsidTr="0009638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54" w:type="pct"/>
            <w:tcBorders>
              <w:right w:val="single" w:sz="4" w:space="0" w:color="FFFFFF" w:themeColor="background1"/>
            </w:tcBorders>
            <w:shd w:val="clear" w:color="auto" w:fill="C00000"/>
            <w:vAlign w:val="center"/>
            <w:hideMark/>
          </w:tcPr>
          <w:p w14:paraId="2B263A7F" w14:textId="77777777" w:rsidR="00F90B5D" w:rsidRPr="0072250C" w:rsidRDefault="00F90B5D" w:rsidP="00C70340">
            <w:pPr>
              <w:spacing w:after="160"/>
              <w:rPr>
                <w:rFonts w:ascii="Arial" w:hAnsi="Arial" w:cs="Arial"/>
                <w:sz w:val="16"/>
                <w:szCs w:val="16"/>
              </w:rPr>
            </w:pPr>
            <w:r w:rsidRPr="0072250C">
              <w:rPr>
                <w:rFonts w:ascii="Arial" w:hAnsi="Arial" w:cs="Arial"/>
                <w:sz w:val="16"/>
                <w:szCs w:val="16"/>
              </w:rPr>
              <w:t>Dataset</w:t>
            </w:r>
          </w:p>
        </w:tc>
        <w:tc>
          <w:tcPr>
            <w:tcW w:w="449" w:type="pct"/>
            <w:tcBorders>
              <w:left w:val="single" w:sz="4" w:space="0" w:color="FFFFFF" w:themeColor="background1"/>
              <w:right w:val="single" w:sz="4" w:space="0" w:color="FFFFFF" w:themeColor="background1"/>
            </w:tcBorders>
            <w:shd w:val="clear" w:color="auto" w:fill="C00000"/>
            <w:vAlign w:val="center"/>
            <w:hideMark/>
          </w:tcPr>
          <w:p w14:paraId="749EE9EF"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Mutation</w:t>
            </w:r>
          </w:p>
        </w:tc>
        <w:tc>
          <w:tcPr>
            <w:tcW w:w="698" w:type="pct"/>
            <w:tcBorders>
              <w:left w:val="single" w:sz="4" w:space="0" w:color="FFFFFF" w:themeColor="background1"/>
              <w:right w:val="single" w:sz="4" w:space="0" w:color="FFFFFF" w:themeColor="background1"/>
            </w:tcBorders>
            <w:shd w:val="clear" w:color="auto" w:fill="C00000"/>
            <w:vAlign w:val="center"/>
            <w:hideMark/>
          </w:tcPr>
          <w:p w14:paraId="0F8160D3"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AUC</w:t>
            </w:r>
          </w:p>
        </w:tc>
        <w:tc>
          <w:tcPr>
            <w:tcW w:w="652" w:type="pct"/>
            <w:tcBorders>
              <w:left w:val="single" w:sz="4" w:space="0" w:color="FFFFFF" w:themeColor="background1"/>
              <w:right w:val="single" w:sz="4" w:space="0" w:color="FFFFFF" w:themeColor="background1"/>
            </w:tcBorders>
            <w:shd w:val="clear" w:color="auto" w:fill="C00000"/>
            <w:vAlign w:val="center"/>
            <w:hideMark/>
          </w:tcPr>
          <w:p w14:paraId="716C40D0"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Accuracy</w:t>
            </w:r>
          </w:p>
        </w:tc>
        <w:tc>
          <w:tcPr>
            <w:tcW w:w="652" w:type="pct"/>
            <w:tcBorders>
              <w:left w:val="single" w:sz="4" w:space="0" w:color="FFFFFF" w:themeColor="background1"/>
              <w:right w:val="single" w:sz="4" w:space="0" w:color="FFFFFF" w:themeColor="background1"/>
            </w:tcBorders>
            <w:shd w:val="clear" w:color="auto" w:fill="C00000"/>
            <w:vAlign w:val="center"/>
            <w:hideMark/>
          </w:tcPr>
          <w:p w14:paraId="60FF5450"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Bal. Acc.</w:t>
            </w:r>
          </w:p>
        </w:tc>
        <w:tc>
          <w:tcPr>
            <w:tcW w:w="698" w:type="pct"/>
            <w:tcBorders>
              <w:left w:val="single" w:sz="4" w:space="0" w:color="FFFFFF" w:themeColor="background1"/>
              <w:right w:val="single" w:sz="4" w:space="0" w:color="FFFFFF" w:themeColor="background1"/>
            </w:tcBorders>
            <w:shd w:val="clear" w:color="auto" w:fill="C00000"/>
            <w:vAlign w:val="center"/>
            <w:hideMark/>
          </w:tcPr>
          <w:p w14:paraId="3E525881"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Sensitivity</w:t>
            </w:r>
          </w:p>
        </w:tc>
        <w:tc>
          <w:tcPr>
            <w:tcW w:w="697" w:type="pct"/>
            <w:tcBorders>
              <w:left w:val="single" w:sz="4" w:space="0" w:color="FFFFFF" w:themeColor="background1"/>
            </w:tcBorders>
            <w:shd w:val="clear" w:color="auto" w:fill="C00000"/>
            <w:vAlign w:val="center"/>
            <w:hideMark/>
          </w:tcPr>
          <w:p w14:paraId="781A25BA" w14:textId="77777777" w:rsidR="00F90B5D" w:rsidRPr="0072250C" w:rsidRDefault="00F90B5D" w:rsidP="00C70340">
            <w:pPr>
              <w:spacing w:after="16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Specificity</w:t>
            </w:r>
          </w:p>
        </w:tc>
      </w:tr>
      <w:tr w:rsidR="00941CB0" w:rsidRPr="0072250C" w14:paraId="17806563"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3BA873B3" w14:textId="77777777" w:rsidR="00941CB0" w:rsidRPr="0072250C" w:rsidRDefault="00941CB0" w:rsidP="00941CB0">
            <w:pPr>
              <w:spacing w:after="160"/>
              <w:rPr>
                <w:rFonts w:ascii="Arial" w:hAnsi="Arial" w:cs="Arial"/>
                <w:sz w:val="16"/>
                <w:szCs w:val="16"/>
              </w:rPr>
            </w:pPr>
            <w:r w:rsidRPr="0072250C">
              <w:rPr>
                <w:rFonts w:ascii="Arial" w:hAnsi="Arial" w:cs="Arial"/>
                <w:sz w:val="16"/>
                <w:szCs w:val="16"/>
              </w:rPr>
              <w:t>PAAD</w:t>
            </w:r>
          </w:p>
        </w:tc>
        <w:tc>
          <w:tcPr>
            <w:tcW w:w="449" w:type="pct"/>
            <w:shd w:val="clear" w:color="auto" w:fill="C00000"/>
            <w:vAlign w:val="center"/>
            <w:hideMark/>
          </w:tcPr>
          <w:p w14:paraId="486B6A5A" w14:textId="77777777" w:rsidR="00941CB0" w:rsidRPr="00C3523E"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5BDBCDBE" w14:textId="29601D5D" w:rsidR="00941CB0" w:rsidRPr="0072250C"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70.258 ± 6.538</w:t>
            </w:r>
          </w:p>
        </w:tc>
        <w:tc>
          <w:tcPr>
            <w:tcW w:w="652" w:type="pct"/>
            <w:vAlign w:val="center"/>
            <w:hideMark/>
          </w:tcPr>
          <w:p w14:paraId="1A70E411" w14:textId="7EEC7FF4" w:rsidR="00941CB0" w:rsidRPr="0072250C"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66.101 ± 10.446</w:t>
            </w:r>
          </w:p>
        </w:tc>
        <w:tc>
          <w:tcPr>
            <w:tcW w:w="652" w:type="pct"/>
            <w:vAlign w:val="center"/>
            <w:hideMark/>
          </w:tcPr>
          <w:p w14:paraId="77EA252F" w14:textId="5A0CB6B2" w:rsidR="00941CB0" w:rsidRPr="0072250C"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64.387 ± 8.009</w:t>
            </w:r>
          </w:p>
        </w:tc>
        <w:tc>
          <w:tcPr>
            <w:tcW w:w="698" w:type="pct"/>
            <w:vAlign w:val="center"/>
            <w:hideMark/>
          </w:tcPr>
          <w:p w14:paraId="6CA16113" w14:textId="3AFA2985" w:rsidR="00941CB0" w:rsidRPr="0072250C"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71.139 ± 1.651</w:t>
            </w:r>
          </w:p>
        </w:tc>
        <w:tc>
          <w:tcPr>
            <w:tcW w:w="697" w:type="pct"/>
            <w:vAlign w:val="center"/>
            <w:hideMark/>
          </w:tcPr>
          <w:p w14:paraId="0616106A" w14:textId="6AEFF6F7" w:rsidR="00941CB0" w:rsidRPr="0072250C" w:rsidRDefault="00941CB0" w:rsidP="00941CB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57.634 ± 1.649</w:t>
            </w:r>
          </w:p>
        </w:tc>
      </w:tr>
      <w:tr w:rsidR="00096387" w:rsidRPr="0072250C" w14:paraId="418F3966"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33BE4741" w14:textId="77777777" w:rsidR="00096387" w:rsidRPr="0072250C" w:rsidRDefault="00096387" w:rsidP="00096387">
            <w:pPr>
              <w:spacing w:after="160"/>
              <w:rPr>
                <w:rFonts w:ascii="Arial" w:hAnsi="Arial" w:cs="Arial"/>
                <w:sz w:val="16"/>
                <w:szCs w:val="16"/>
              </w:rPr>
            </w:pPr>
          </w:p>
        </w:tc>
        <w:tc>
          <w:tcPr>
            <w:tcW w:w="449" w:type="pct"/>
            <w:shd w:val="clear" w:color="auto" w:fill="C00000"/>
            <w:vAlign w:val="center"/>
            <w:hideMark/>
          </w:tcPr>
          <w:p w14:paraId="25C05C9C" w14:textId="77777777" w:rsidR="00096387" w:rsidRPr="00C3523E"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KRAS</w:t>
            </w:r>
          </w:p>
        </w:tc>
        <w:tc>
          <w:tcPr>
            <w:tcW w:w="698" w:type="pct"/>
            <w:vAlign w:val="center"/>
            <w:hideMark/>
          </w:tcPr>
          <w:p w14:paraId="5FAD97E6" w14:textId="6001AEE5" w:rsidR="00096387" w:rsidRPr="0072250C"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89.613 ± 9.357</w:t>
            </w:r>
          </w:p>
        </w:tc>
        <w:tc>
          <w:tcPr>
            <w:tcW w:w="652" w:type="pct"/>
            <w:vAlign w:val="center"/>
            <w:hideMark/>
          </w:tcPr>
          <w:p w14:paraId="21A93A7B" w14:textId="6E4E6B13" w:rsidR="00096387" w:rsidRPr="0072250C"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88.316 ± 3.682</w:t>
            </w:r>
          </w:p>
        </w:tc>
        <w:tc>
          <w:tcPr>
            <w:tcW w:w="652" w:type="pct"/>
            <w:vAlign w:val="center"/>
            <w:hideMark/>
          </w:tcPr>
          <w:p w14:paraId="7435580C" w14:textId="1B8EE41D" w:rsidR="00096387" w:rsidRPr="0072250C"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78.742 ± 1.431</w:t>
            </w:r>
          </w:p>
        </w:tc>
        <w:tc>
          <w:tcPr>
            <w:tcW w:w="698" w:type="pct"/>
            <w:vAlign w:val="center"/>
            <w:hideMark/>
          </w:tcPr>
          <w:p w14:paraId="3D7FBC9F" w14:textId="3A628D06" w:rsidR="00096387" w:rsidRPr="0072250C"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96.723 ± 1.847</w:t>
            </w:r>
          </w:p>
        </w:tc>
        <w:tc>
          <w:tcPr>
            <w:tcW w:w="697" w:type="pct"/>
            <w:vAlign w:val="center"/>
            <w:hideMark/>
          </w:tcPr>
          <w:p w14:paraId="6873E7C4" w14:textId="443CFB0D" w:rsidR="00096387" w:rsidRPr="0072250C" w:rsidRDefault="00096387" w:rsidP="0009638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60.761 ± 3.525</w:t>
            </w:r>
          </w:p>
        </w:tc>
      </w:tr>
      <w:tr w:rsidR="005D4709" w:rsidRPr="0072250C" w14:paraId="6BB88BB9"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2E99C6D0" w14:textId="77777777" w:rsidR="005D4709" w:rsidRPr="0072250C" w:rsidRDefault="005D4709" w:rsidP="005D4709">
            <w:pPr>
              <w:spacing w:after="160"/>
              <w:rPr>
                <w:rFonts w:ascii="Arial" w:hAnsi="Arial" w:cs="Arial"/>
                <w:sz w:val="16"/>
                <w:szCs w:val="16"/>
              </w:rPr>
            </w:pPr>
            <w:r w:rsidRPr="0072250C">
              <w:rPr>
                <w:rFonts w:ascii="Arial" w:hAnsi="Arial" w:cs="Arial"/>
                <w:sz w:val="16"/>
                <w:szCs w:val="16"/>
              </w:rPr>
              <w:t>CRC (READ + COAD)</w:t>
            </w:r>
          </w:p>
        </w:tc>
        <w:tc>
          <w:tcPr>
            <w:tcW w:w="449" w:type="pct"/>
            <w:shd w:val="clear" w:color="auto" w:fill="C00000"/>
            <w:vAlign w:val="center"/>
            <w:hideMark/>
          </w:tcPr>
          <w:p w14:paraId="5C6CDB59" w14:textId="77777777" w:rsidR="005D4709" w:rsidRPr="00C3523E"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PIK3CA</w:t>
            </w:r>
          </w:p>
        </w:tc>
        <w:tc>
          <w:tcPr>
            <w:tcW w:w="698" w:type="pct"/>
            <w:vAlign w:val="center"/>
            <w:hideMark/>
          </w:tcPr>
          <w:p w14:paraId="5727D19A" w14:textId="151153E3" w:rsidR="005D4709" w:rsidRPr="0072250C"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63.485 ± 5.582</w:t>
            </w:r>
          </w:p>
        </w:tc>
        <w:tc>
          <w:tcPr>
            <w:tcW w:w="652" w:type="pct"/>
            <w:vAlign w:val="center"/>
            <w:hideMark/>
          </w:tcPr>
          <w:p w14:paraId="2DA0ECD8" w14:textId="2F67D05E" w:rsidR="005D4709" w:rsidRPr="0072250C"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61.857 ± 3.430</w:t>
            </w:r>
          </w:p>
        </w:tc>
        <w:tc>
          <w:tcPr>
            <w:tcW w:w="652" w:type="pct"/>
            <w:vAlign w:val="center"/>
            <w:hideMark/>
          </w:tcPr>
          <w:p w14:paraId="11AAE387" w14:textId="7CED2818" w:rsidR="005D4709" w:rsidRPr="0072250C"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60.888 ± 3.690</w:t>
            </w:r>
          </w:p>
        </w:tc>
        <w:tc>
          <w:tcPr>
            <w:tcW w:w="698" w:type="pct"/>
            <w:vAlign w:val="center"/>
            <w:hideMark/>
          </w:tcPr>
          <w:p w14:paraId="63E76957" w14:textId="6878D274" w:rsidR="005D4709" w:rsidRPr="0072250C"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58.923 ± 6.893</w:t>
            </w:r>
          </w:p>
        </w:tc>
        <w:tc>
          <w:tcPr>
            <w:tcW w:w="697" w:type="pct"/>
            <w:vAlign w:val="center"/>
            <w:hideMark/>
          </w:tcPr>
          <w:p w14:paraId="3FC10A65" w14:textId="5A695942" w:rsidR="005D4709" w:rsidRPr="0072250C" w:rsidRDefault="005D4709" w:rsidP="005D4709">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62.853 ± 4.234</w:t>
            </w:r>
          </w:p>
        </w:tc>
      </w:tr>
      <w:tr w:rsidR="00933984" w:rsidRPr="0072250C" w14:paraId="237CF90F"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1D5198B" w14:textId="77777777" w:rsidR="00933984" w:rsidRPr="0072250C" w:rsidRDefault="00933984" w:rsidP="00933984">
            <w:pPr>
              <w:spacing w:after="160"/>
              <w:rPr>
                <w:rFonts w:ascii="Arial" w:hAnsi="Arial" w:cs="Arial"/>
                <w:sz w:val="16"/>
                <w:szCs w:val="16"/>
              </w:rPr>
            </w:pPr>
          </w:p>
        </w:tc>
        <w:tc>
          <w:tcPr>
            <w:tcW w:w="449" w:type="pct"/>
            <w:shd w:val="clear" w:color="auto" w:fill="C00000"/>
            <w:vAlign w:val="center"/>
            <w:hideMark/>
          </w:tcPr>
          <w:p w14:paraId="07419B2D" w14:textId="77777777" w:rsidR="00933984" w:rsidRPr="00C3523E"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KRAS</w:t>
            </w:r>
          </w:p>
        </w:tc>
        <w:tc>
          <w:tcPr>
            <w:tcW w:w="698" w:type="pct"/>
            <w:vAlign w:val="center"/>
            <w:hideMark/>
          </w:tcPr>
          <w:p w14:paraId="7AEAD13B" w14:textId="4702805D" w:rsidR="00933984" w:rsidRPr="0072250C"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73.863 ± 6.869</w:t>
            </w:r>
          </w:p>
        </w:tc>
        <w:tc>
          <w:tcPr>
            <w:tcW w:w="652" w:type="pct"/>
            <w:vAlign w:val="center"/>
            <w:hideMark/>
          </w:tcPr>
          <w:p w14:paraId="1D69B401" w14:textId="04D38BD4" w:rsidR="00933984" w:rsidRPr="0072250C"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72.127 ± 3.139</w:t>
            </w:r>
          </w:p>
        </w:tc>
        <w:tc>
          <w:tcPr>
            <w:tcW w:w="652" w:type="pct"/>
            <w:vAlign w:val="center"/>
            <w:hideMark/>
          </w:tcPr>
          <w:p w14:paraId="7B2B4FAB" w14:textId="43553159" w:rsidR="00933984" w:rsidRPr="0072250C"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67.884 ± 2.729</w:t>
            </w:r>
          </w:p>
        </w:tc>
        <w:tc>
          <w:tcPr>
            <w:tcW w:w="698" w:type="pct"/>
            <w:vAlign w:val="center"/>
            <w:hideMark/>
          </w:tcPr>
          <w:p w14:paraId="479C53FF" w14:textId="27BBFEAF" w:rsidR="00933984" w:rsidRPr="0072250C"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5</w:t>
            </w:r>
            <w:r w:rsidRPr="0059519C">
              <w:rPr>
                <w:rFonts w:ascii="Arial" w:hAnsi="Arial" w:cs="Arial"/>
                <w:sz w:val="16"/>
                <w:szCs w:val="16"/>
              </w:rPr>
              <w:t>7.065 ± 2.754</w:t>
            </w:r>
          </w:p>
        </w:tc>
        <w:tc>
          <w:tcPr>
            <w:tcW w:w="697" w:type="pct"/>
            <w:vAlign w:val="center"/>
            <w:hideMark/>
          </w:tcPr>
          <w:p w14:paraId="534F47A9" w14:textId="44216A9A" w:rsidR="00933984" w:rsidRPr="0072250C" w:rsidRDefault="00933984" w:rsidP="0093398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59519C">
              <w:rPr>
                <w:rFonts w:ascii="Arial" w:hAnsi="Arial" w:cs="Arial"/>
                <w:sz w:val="16"/>
                <w:szCs w:val="16"/>
              </w:rPr>
              <w:t>78.704 ± 3.346</w:t>
            </w:r>
          </w:p>
        </w:tc>
      </w:tr>
      <w:tr w:rsidR="00F90B5D" w:rsidRPr="0072250C" w14:paraId="3C35CBD3"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0C6B860D" w14:textId="77777777" w:rsidR="00F90B5D" w:rsidRPr="0072250C" w:rsidRDefault="00F90B5D" w:rsidP="00C70340">
            <w:pPr>
              <w:spacing w:after="160"/>
              <w:rPr>
                <w:rFonts w:ascii="Arial" w:hAnsi="Arial" w:cs="Arial"/>
                <w:sz w:val="16"/>
                <w:szCs w:val="16"/>
              </w:rPr>
            </w:pPr>
          </w:p>
        </w:tc>
        <w:tc>
          <w:tcPr>
            <w:tcW w:w="449" w:type="pct"/>
            <w:shd w:val="clear" w:color="auto" w:fill="C00000"/>
            <w:vAlign w:val="center"/>
            <w:hideMark/>
          </w:tcPr>
          <w:p w14:paraId="14024CC9"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37486701"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75.112 ± 5.824</w:t>
            </w:r>
          </w:p>
        </w:tc>
        <w:tc>
          <w:tcPr>
            <w:tcW w:w="652" w:type="pct"/>
            <w:vAlign w:val="center"/>
            <w:hideMark/>
          </w:tcPr>
          <w:p w14:paraId="6FA45CBD"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69.965 ± 3.755</w:t>
            </w:r>
          </w:p>
        </w:tc>
        <w:tc>
          <w:tcPr>
            <w:tcW w:w="652" w:type="pct"/>
            <w:vAlign w:val="center"/>
            <w:hideMark/>
          </w:tcPr>
          <w:p w14:paraId="0F86B487"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70.026 ± 3.860</w:t>
            </w:r>
          </w:p>
        </w:tc>
        <w:tc>
          <w:tcPr>
            <w:tcW w:w="698" w:type="pct"/>
            <w:vAlign w:val="center"/>
            <w:hideMark/>
          </w:tcPr>
          <w:p w14:paraId="3DC847E1"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71.243 ± 8.049</w:t>
            </w:r>
          </w:p>
        </w:tc>
        <w:tc>
          <w:tcPr>
            <w:tcW w:w="697" w:type="pct"/>
            <w:vAlign w:val="center"/>
            <w:hideMark/>
          </w:tcPr>
          <w:p w14:paraId="477A5C5A"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68.808 ± 10.316</w:t>
            </w:r>
          </w:p>
        </w:tc>
      </w:tr>
      <w:tr w:rsidR="006502AF" w:rsidRPr="0072250C" w14:paraId="7604466B"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6D94367" w14:textId="77777777" w:rsidR="006502AF" w:rsidRPr="0072250C" w:rsidRDefault="006502AF" w:rsidP="006502AF">
            <w:pPr>
              <w:spacing w:after="160"/>
              <w:rPr>
                <w:rFonts w:ascii="Arial" w:hAnsi="Arial" w:cs="Arial"/>
                <w:sz w:val="16"/>
                <w:szCs w:val="16"/>
              </w:rPr>
            </w:pPr>
          </w:p>
        </w:tc>
        <w:tc>
          <w:tcPr>
            <w:tcW w:w="449" w:type="pct"/>
            <w:shd w:val="clear" w:color="auto" w:fill="C00000"/>
            <w:vAlign w:val="center"/>
            <w:hideMark/>
          </w:tcPr>
          <w:p w14:paraId="07FBB9E3" w14:textId="77777777" w:rsidR="006502AF" w:rsidRPr="00C3523E"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APC</w:t>
            </w:r>
          </w:p>
        </w:tc>
        <w:tc>
          <w:tcPr>
            <w:tcW w:w="698" w:type="pct"/>
            <w:vAlign w:val="center"/>
            <w:hideMark/>
          </w:tcPr>
          <w:p w14:paraId="5F16E97E" w14:textId="4CD200AB" w:rsidR="006502AF" w:rsidRPr="0072250C"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94D20">
              <w:rPr>
                <w:rFonts w:ascii="Arial" w:hAnsi="Arial" w:cs="Arial"/>
                <w:sz w:val="16"/>
                <w:szCs w:val="16"/>
              </w:rPr>
              <w:t>90.539 ± 8.466</w:t>
            </w:r>
          </w:p>
        </w:tc>
        <w:tc>
          <w:tcPr>
            <w:tcW w:w="652" w:type="pct"/>
            <w:vAlign w:val="center"/>
            <w:hideMark/>
          </w:tcPr>
          <w:p w14:paraId="0D08712D" w14:textId="0AC40FDE" w:rsidR="006502AF" w:rsidRPr="0072250C"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8</w:t>
            </w:r>
            <w:r w:rsidRPr="00694D20">
              <w:rPr>
                <w:rFonts w:ascii="Arial" w:hAnsi="Arial" w:cs="Arial"/>
                <w:sz w:val="16"/>
                <w:szCs w:val="16"/>
              </w:rPr>
              <w:t>4.669 ± 5.599</w:t>
            </w:r>
          </w:p>
        </w:tc>
        <w:tc>
          <w:tcPr>
            <w:tcW w:w="652" w:type="pct"/>
            <w:vAlign w:val="center"/>
            <w:hideMark/>
          </w:tcPr>
          <w:p w14:paraId="17EA7C21" w14:textId="32EAAD0A" w:rsidR="006502AF" w:rsidRPr="0072250C"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94D20">
              <w:rPr>
                <w:rFonts w:ascii="Arial" w:hAnsi="Arial" w:cs="Arial"/>
                <w:sz w:val="16"/>
                <w:szCs w:val="16"/>
              </w:rPr>
              <w:t>74.256 ± 3.039</w:t>
            </w:r>
          </w:p>
        </w:tc>
        <w:tc>
          <w:tcPr>
            <w:tcW w:w="698" w:type="pct"/>
            <w:vAlign w:val="center"/>
            <w:hideMark/>
          </w:tcPr>
          <w:p w14:paraId="19A8BAFC" w14:textId="5B924B26" w:rsidR="006502AF" w:rsidRPr="0072250C"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94D20">
              <w:rPr>
                <w:rFonts w:ascii="Arial" w:hAnsi="Arial" w:cs="Arial"/>
                <w:sz w:val="16"/>
                <w:szCs w:val="16"/>
              </w:rPr>
              <w:t>91.473 ± 4.734</w:t>
            </w:r>
          </w:p>
        </w:tc>
        <w:tc>
          <w:tcPr>
            <w:tcW w:w="697" w:type="pct"/>
            <w:vAlign w:val="center"/>
            <w:hideMark/>
          </w:tcPr>
          <w:p w14:paraId="791A037A" w14:textId="12603856" w:rsidR="006502AF" w:rsidRPr="0072250C" w:rsidRDefault="006502AF" w:rsidP="006502A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94D20">
              <w:rPr>
                <w:rFonts w:ascii="Arial" w:hAnsi="Arial" w:cs="Arial"/>
                <w:sz w:val="16"/>
                <w:szCs w:val="16"/>
              </w:rPr>
              <w:t>57.039 ± 1.748</w:t>
            </w:r>
          </w:p>
        </w:tc>
      </w:tr>
      <w:tr w:rsidR="009E700F" w:rsidRPr="0072250C" w14:paraId="607DF194"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1D0E74AE" w14:textId="77777777" w:rsidR="009E700F" w:rsidRPr="0072250C" w:rsidRDefault="009E700F" w:rsidP="009E700F">
            <w:pPr>
              <w:spacing w:after="160"/>
              <w:rPr>
                <w:rFonts w:ascii="Arial" w:hAnsi="Arial" w:cs="Arial"/>
                <w:sz w:val="16"/>
                <w:szCs w:val="16"/>
              </w:rPr>
            </w:pPr>
          </w:p>
        </w:tc>
        <w:tc>
          <w:tcPr>
            <w:tcW w:w="449" w:type="pct"/>
            <w:shd w:val="clear" w:color="auto" w:fill="C00000"/>
            <w:vAlign w:val="center"/>
            <w:hideMark/>
          </w:tcPr>
          <w:p w14:paraId="4E9EE9C9" w14:textId="77777777" w:rsidR="009E700F" w:rsidRPr="00C3523E"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TTN</w:t>
            </w:r>
          </w:p>
        </w:tc>
        <w:tc>
          <w:tcPr>
            <w:tcW w:w="698" w:type="pct"/>
            <w:vAlign w:val="center"/>
            <w:hideMark/>
          </w:tcPr>
          <w:p w14:paraId="417BB529" w14:textId="430CD155" w:rsidR="009E700F" w:rsidRPr="0072250C"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64.045 ± 4.442</w:t>
            </w:r>
          </w:p>
        </w:tc>
        <w:tc>
          <w:tcPr>
            <w:tcW w:w="652" w:type="pct"/>
            <w:vAlign w:val="center"/>
            <w:hideMark/>
          </w:tcPr>
          <w:p w14:paraId="41E1CA60" w14:textId="4B3FEE11" w:rsidR="009E700F" w:rsidRPr="0072250C"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59.467 ± 3.864</w:t>
            </w:r>
          </w:p>
        </w:tc>
        <w:tc>
          <w:tcPr>
            <w:tcW w:w="652" w:type="pct"/>
            <w:vAlign w:val="center"/>
            <w:hideMark/>
          </w:tcPr>
          <w:p w14:paraId="0E1D8E9C" w14:textId="11A32349" w:rsidR="009E700F" w:rsidRPr="0072250C"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59.517 ± 4.002</w:t>
            </w:r>
          </w:p>
        </w:tc>
        <w:tc>
          <w:tcPr>
            <w:tcW w:w="698" w:type="pct"/>
            <w:vAlign w:val="center"/>
            <w:hideMark/>
          </w:tcPr>
          <w:p w14:paraId="1EF49FF6" w14:textId="5C67349E" w:rsidR="009E700F" w:rsidRPr="0072250C"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62.978 ± 8.250</w:t>
            </w:r>
          </w:p>
        </w:tc>
        <w:tc>
          <w:tcPr>
            <w:tcW w:w="697" w:type="pct"/>
            <w:vAlign w:val="center"/>
            <w:hideMark/>
          </w:tcPr>
          <w:p w14:paraId="29A95711" w14:textId="6F520380" w:rsidR="009E700F" w:rsidRPr="0072250C" w:rsidRDefault="009E700F" w:rsidP="009E700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56.057 ± 0.480</w:t>
            </w:r>
          </w:p>
        </w:tc>
      </w:tr>
      <w:tr w:rsidR="00F90B5D" w:rsidRPr="0072250C" w14:paraId="29C7DD97"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5AA9A2C4" w14:textId="77777777" w:rsidR="00F90B5D" w:rsidRPr="0072250C" w:rsidRDefault="00F90B5D" w:rsidP="00C70340">
            <w:pPr>
              <w:spacing w:after="160"/>
              <w:rPr>
                <w:rFonts w:ascii="Arial" w:hAnsi="Arial" w:cs="Arial"/>
                <w:sz w:val="16"/>
                <w:szCs w:val="16"/>
              </w:rPr>
            </w:pPr>
          </w:p>
        </w:tc>
        <w:tc>
          <w:tcPr>
            <w:tcW w:w="449" w:type="pct"/>
            <w:shd w:val="clear" w:color="auto" w:fill="C00000"/>
            <w:vAlign w:val="center"/>
            <w:hideMark/>
          </w:tcPr>
          <w:p w14:paraId="38D6178A"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COX2</w:t>
            </w:r>
          </w:p>
        </w:tc>
        <w:tc>
          <w:tcPr>
            <w:tcW w:w="698" w:type="pct"/>
            <w:vAlign w:val="center"/>
            <w:hideMark/>
          </w:tcPr>
          <w:p w14:paraId="0851D6E9"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63.056 ± 4.929</w:t>
            </w:r>
          </w:p>
        </w:tc>
        <w:tc>
          <w:tcPr>
            <w:tcW w:w="652" w:type="pct"/>
            <w:vAlign w:val="center"/>
            <w:hideMark/>
          </w:tcPr>
          <w:p w14:paraId="46AE70F3"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61.980 ± 4.903</w:t>
            </w:r>
          </w:p>
        </w:tc>
        <w:tc>
          <w:tcPr>
            <w:tcW w:w="652" w:type="pct"/>
            <w:vAlign w:val="center"/>
            <w:hideMark/>
          </w:tcPr>
          <w:p w14:paraId="2D2FFEFC"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61.069 ± 3.862</w:t>
            </w:r>
          </w:p>
        </w:tc>
        <w:tc>
          <w:tcPr>
            <w:tcW w:w="698" w:type="pct"/>
            <w:vAlign w:val="center"/>
            <w:hideMark/>
          </w:tcPr>
          <w:p w14:paraId="2555C1D2"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57.926 ± 4.300</w:t>
            </w:r>
          </w:p>
        </w:tc>
        <w:tc>
          <w:tcPr>
            <w:tcW w:w="697" w:type="pct"/>
            <w:vAlign w:val="center"/>
            <w:hideMark/>
          </w:tcPr>
          <w:p w14:paraId="65F95893"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64.212 ± 8.039</w:t>
            </w:r>
          </w:p>
        </w:tc>
      </w:tr>
      <w:tr w:rsidR="00F90B5D" w:rsidRPr="0072250C" w14:paraId="33F42F2B"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38CA9B1" w14:textId="77777777" w:rsidR="00F90B5D" w:rsidRPr="0072250C" w:rsidRDefault="00F90B5D" w:rsidP="00C70340">
            <w:pPr>
              <w:spacing w:after="160"/>
              <w:rPr>
                <w:rFonts w:ascii="Arial" w:hAnsi="Arial" w:cs="Arial"/>
                <w:sz w:val="16"/>
                <w:szCs w:val="16"/>
              </w:rPr>
            </w:pPr>
          </w:p>
        </w:tc>
        <w:tc>
          <w:tcPr>
            <w:tcW w:w="449" w:type="pct"/>
            <w:shd w:val="clear" w:color="auto" w:fill="C00000"/>
            <w:vAlign w:val="center"/>
            <w:hideMark/>
          </w:tcPr>
          <w:p w14:paraId="7656E236"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BRAF</w:t>
            </w:r>
          </w:p>
        </w:tc>
        <w:tc>
          <w:tcPr>
            <w:tcW w:w="698" w:type="pct"/>
            <w:vAlign w:val="center"/>
            <w:hideMark/>
          </w:tcPr>
          <w:p w14:paraId="7E3115A5"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83.528 ± 6.515</w:t>
            </w:r>
          </w:p>
        </w:tc>
        <w:tc>
          <w:tcPr>
            <w:tcW w:w="652" w:type="pct"/>
            <w:vAlign w:val="center"/>
            <w:hideMark/>
          </w:tcPr>
          <w:p w14:paraId="3C1847AA"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83.323 ± 7.395</w:t>
            </w:r>
          </w:p>
        </w:tc>
        <w:tc>
          <w:tcPr>
            <w:tcW w:w="652" w:type="pct"/>
            <w:vAlign w:val="center"/>
            <w:hideMark/>
          </w:tcPr>
          <w:p w14:paraId="0A820DD1"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78.042 ± 5.646</w:t>
            </w:r>
          </w:p>
        </w:tc>
        <w:tc>
          <w:tcPr>
            <w:tcW w:w="698" w:type="pct"/>
            <w:vAlign w:val="center"/>
            <w:hideMark/>
          </w:tcPr>
          <w:p w14:paraId="3A58C239"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70.606 ± 5.177</w:t>
            </w:r>
          </w:p>
        </w:tc>
        <w:tc>
          <w:tcPr>
            <w:tcW w:w="697" w:type="pct"/>
            <w:vAlign w:val="center"/>
            <w:hideMark/>
          </w:tcPr>
          <w:p w14:paraId="7A1FE07E" w14:textId="77777777" w:rsidR="00F90B5D" w:rsidRPr="0072250C"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250C">
              <w:rPr>
                <w:rFonts w:ascii="Arial" w:hAnsi="Arial" w:cs="Arial"/>
                <w:sz w:val="16"/>
                <w:szCs w:val="16"/>
              </w:rPr>
              <w:t>85.477 ± 8.227</w:t>
            </w:r>
          </w:p>
        </w:tc>
      </w:tr>
      <w:tr w:rsidR="00046CDF" w:rsidRPr="0072250C" w14:paraId="0BC8BAEB"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39C265F4" w14:textId="77777777" w:rsidR="00046CDF" w:rsidRPr="0072250C" w:rsidRDefault="00046CDF" w:rsidP="00046CDF">
            <w:pPr>
              <w:spacing w:after="160"/>
              <w:rPr>
                <w:rFonts w:ascii="Arial" w:hAnsi="Arial" w:cs="Arial"/>
                <w:sz w:val="16"/>
                <w:szCs w:val="16"/>
              </w:rPr>
            </w:pPr>
            <w:r w:rsidRPr="0072250C">
              <w:rPr>
                <w:rFonts w:ascii="Arial" w:hAnsi="Arial" w:cs="Arial"/>
                <w:sz w:val="16"/>
                <w:szCs w:val="16"/>
              </w:rPr>
              <w:t>BRCA</w:t>
            </w:r>
          </w:p>
        </w:tc>
        <w:tc>
          <w:tcPr>
            <w:tcW w:w="449" w:type="pct"/>
            <w:shd w:val="clear" w:color="auto" w:fill="C00000"/>
            <w:vAlign w:val="center"/>
            <w:hideMark/>
          </w:tcPr>
          <w:p w14:paraId="71CE199B" w14:textId="77777777" w:rsidR="00046CDF" w:rsidRPr="00C3523E"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PIK3CA</w:t>
            </w:r>
          </w:p>
        </w:tc>
        <w:tc>
          <w:tcPr>
            <w:tcW w:w="698" w:type="pct"/>
            <w:vAlign w:val="center"/>
            <w:hideMark/>
          </w:tcPr>
          <w:p w14:paraId="0AB93298" w14:textId="09B98673" w:rsidR="00046CDF" w:rsidRPr="0072250C"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83.031 ± 6.903</w:t>
            </w:r>
          </w:p>
        </w:tc>
        <w:tc>
          <w:tcPr>
            <w:tcW w:w="652" w:type="pct"/>
            <w:vAlign w:val="center"/>
            <w:hideMark/>
          </w:tcPr>
          <w:p w14:paraId="7DD69841" w14:textId="78E390FC" w:rsidR="00046CDF" w:rsidRPr="0072250C"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69.440 ± 5.872</w:t>
            </w:r>
          </w:p>
        </w:tc>
        <w:tc>
          <w:tcPr>
            <w:tcW w:w="652" w:type="pct"/>
            <w:vAlign w:val="center"/>
            <w:hideMark/>
          </w:tcPr>
          <w:p w14:paraId="2C9BE7CE" w14:textId="5EB13F4A" w:rsidR="00046CDF" w:rsidRPr="0072250C"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69.597 ± 2.728</w:t>
            </w:r>
          </w:p>
        </w:tc>
        <w:tc>
          <w:tcPr>
            <w:tcW w:w="698" w:type="pct"/>
            <w:vAlign w:val="center"/>
            <w:hideMark/>
          </w:tcPr>
          <w:p w14:paraId="74189CC7" w14:textId="39332ED5" w:rsidR="00046CDF" w:rsidRPr="0072250C"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83.389 ± 5.341</w:t>
            </w:r>
          </w:p>
        </w:tc>
        <w:tc>
          <w:tcPr>
            <w:tcW w:w="697" w:type="pct"/>
            <w:vAlign w:val="center"/>
            <w:hideMark/>
          </w:tcPr>
          <w:p w14:paraId="6F43816A" w14:textId="2306CD2A" w:rsidR="00046CDF" w:rsidRPr="0072250C" w:rsidRDefault="00046CDF" w:rsidP="00046CDF">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9321A0">
              <w:rPr>
                <w:rFonts w:ascii="Arial" w:hAnsi="Arial" w:cs="Arial"/>
                <w:sz w:val="16"/>
                <w:szCs w:val="16"/>
              </w:rPr>
              <w:t>55.304 ± 0.190</w:t>
            </w:r>
          </w:p>
        </w:tc>
      </w:tr>
      <w:tr w:rsidR="005321C4" w:rsidRPr="0072250C" w14:paraId="1D291FC0"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EB78324" w14:textId="77777777" w:rsidR="005321C4" w:rsidRPr="0072250C" w:rsidRDefault="005321C4" w:rsidP="005321C4">
            <w:pPr>
              <w:spacing w:after="160"/>
              <w:rPr>
                <w:rFonts w:ascii="Arial" w:hAnsi="Arial" w:cs="Arial"/>
                <w:sz w:val="16"/>
                <w:szCs w:val="16"/>
              </w:rPr>
            </w:pPr>
          </w:p>
        </w:tc>
        <w:tc>
          <w:tcPr>
            <w:tcW w:w="449" w:type="pct"/>
            <w:shd w:val="clear" w:color="auto" w:fill="C00000"/>
            <w:vAlign w:val="center"/>
            <w:hideMark/>
          </w:tcPr>
          <w:p w14:paraId="512ED7A4" w14:textId="77777777" w:rsidR="005321C4" w:rsidRPr="00C3523E"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0D138712" w14:textId="681FA6E8" w:rsidR="005321C4" w:rsidRPr="0072250C"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85.631 ± 4.283</w:t>
            </w:r>
          </w:p>
        </w:tc>
        <w:tc>
          <w:tcPr>
            <w:tcW w:w="652" w:type="pct"/>
            <w:vAlign w:val="center"/>
            <w:hideMark/>
          </w:tcPr>
          <w:p w14:paraId="413184DF" w14:textId="09A0003E" w:rsidR="005321C4" w:rsidRPr="0072250C"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80.048 ± 4.158</w:t>
            </w:r>
          </w:p>
        </w:tc>
        <w:tc>
          <w:tcPr>
            <w:tcW w:w="652" w:type="pct"/>
            <w:vAlign w:val="center"/>
            <w:hideMark/>
          </w:tcPr>
          <w:p w14:paraId="23C335DB" w14:textId="63ABDFB0" w:rsidR="005321C4" w:rsidRPr="0072250C"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75.077 ± 4.553</w:t>
            </w:r>
          </w:p>
        </w:tc>
        <w:tc>
          <w:tcPr>
            <w:tcW w:w="698" w:type="pct"/>
            <w:vAlign w:val="center"/>
            <w:hideMark/>
          </w:tcPr>
          <w:p w14:paraId="12F5DA0B" w14:textId="552FC507" w:rsidR="005321C4" w:rsidRPr="0072250C"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61.720 ± 6.687</w:t>
            </w:r>
          </w:p>
        </w:tc>
        <w:tc>
          <w:tcPr>
            <w:tcW w:w="697" w:type="pct"/>
            <w:vAlign w:val="center"/>
            <w:hideMark/>
          </w:tcPr>
          <w:p w14:paraId="7CBA9668" w14:textId="231BE6CF" w:rsidR="005321C4" w:rsidRPr="0072250C" w:rsidRDefault="005321C4" w:rsidP="005321C4">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88.435 ± 3.886</w:t>
            </w:r>
          </w:p>
        </w:tc>
      </w:tr>
      <w:tr w:rsidR="007330F6" w:rsidRPr="00D6232D" w14:paraId="5557A3E8"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4DB3C7EA" w14:textId="77777777" w:rsidR="007330F6" w:rsidRPr="00D6232D" w:rsidRDefault="007330F6" w:rsidP="007330F6">
            <w:pPr>
              <w:spacing w:after="160"/>
              <w:rPr>
                <w:rFonts w:ascii="Arial" w:hAnsi="Arial" w:cs="Arial"/>
                <w:sz w:val="16"/>
                <w:szCs w:val="16"/>
              </w:rPr>
            </w:pPr>
            <w:r w:rsidRPr="00D6232D">
              <w:rPr>
                <w:rFonts w:ascii="Arial" w:hAnsi="Arial" w:cs="Arial"/>
                <w:sz w:val="16"/>
                <w:szCs w:val="16"/>
              </w:rPr>
              <w:t>LUAD</w:t>
            </w:r>
          </w:p>
        </w:tc>
        <w:tc>
          <w:tcPr>
            <w:tcW w:w="449" w:type="pct"/>
            <w:shd w:val="clear" w:color="auto" w:fill="C00000"/>
            <w:vAlign w:val="center"/>
            <w:hideMark/>
          </w:tcPr>
          <w:p w14:paraId="05093A92" w14:textId="77777777" w:rsidR="007330F6" w:rsidRPr="00C3523E"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4E18AF5B" w14:textId="48B0FE79" w:rsidR="007330F6" w:rsidRPr="00D6232D"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75.984 ± 5.394</w:t>
            </w:r>
          </w:p>
        </w:tc>
        <w:tc>
          <w:tcPr>
            <w:tcW w:w="652" w:type="pct"/>
            <w:vAlign w:val="center"/>
            <w:hideMark/>
          </w:tcPr>
          <w:p w14:paraId="240C185E" w14:textId="50039715" w:rsidR="007330F6" w:rsidRPr="00D6232D"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68.824 ± 4.113</w:t>
            </w:r>
          </w:p>
        </w:tc>
        <w:tc>
          <w:tcPr>
            <w:tcW w:w="652" w:type="pct"/>
            <w:vAlign w:val="center"/>
            <w:hideMark/>
          </w:tcPr>
          <w:p w14:paraId="7F0F8D9C" w14:textId="71B063CA" w:rsidR="007330F6" w:rsidRPr="00D6232D"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68.926 ± 4.817</w:t>
            </w:r>
          </w:p>
        </w:tc>
        <w:tc>
          <w:tcPr>
            <w:tcW w:w="698" w:type="pct"/>
            <w:vAlign w:val="center"/>
            <w:hideMark/>
          </w:tcPr>
          <w:p w14:paraId="12B8941C" w14:textId="3E3B48FF" w:rsidR="007330F6" w:rsidRPr="00D6232D"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7</w:t>
            </w:r>
            <w:r w:rsidRPr="00C5352A">
              <w:rPr>
                <w:rFonts w:ascii="Arial" w:hAnsi="Arial" w:cs="Arial"/>
                <w:sz w:val="16"/>
                <w:szCs w:val="16"/>
              </w:rPr>
              <w:t>4.428 ± 9.289</w:t>
            </w:r>
          </w:p>
        </w:tc>
        <w:tc>
          <w:tcPr>
            <w:tcW w:w="697" w:type="pct"/>
            <w:vAlign w:val="center"/>
            <w:hideMark/>
          </w:tcPr>
          <w:p w14:paraId="4E16A227" w14:textId="6AF30427" w:rsidR="007330F6" w:rsidRPr="00D6232D" w:rsidRDefault="007330F6" w:rsidP="007330F6">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63.425 ± 11.413</w:t>
            </w:r>
          </w:p>
        </w:tc>
      </w:tr>
      <w:tr w:rsidR="00F90B5D" w:rsidRPr="00D6232D" w14:paraId="6F9260F6"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1E37F125" w14:textId="77777777" w:rsidR="00F90B5D" w:rsidRPr="00D6232D" w:rsidRDefault="00F90B5D" w:rsidP="00C70340">
            <w:pPr>
              <w:spacing w:after="160"/>
              <w:rPr>
                <w:rFonts w:ascii="Arial" w:hAnsi="Arial" w:cs="Arial"/>
                <w:sz w:val="16"/>
                <w:szCs w:val="16"/>
              </w:rPr>
            </w:pPr>
            <w:r w:rsidRPr="00D6232D">
              <w:rPr>
                <w:rFonts w:ascii="Arial" w:hAnsi="Arial" w:cs="Arial"/>
                <w:sz w:val="16"/>
                <w:szCs w:val="16"/>
              </w:rPr>
              <w:t>KIXX (KICH + KIRC + KIRP)</w:t>
            </w:r>
          </w:p>
        </w:tc>
        <w:tc>
          <w:tcPr>
            <w:tcW w:w="449" w:type="pct"/>
            <w:shd w:val="clear" w:color="auto" w:fill="C00000"/>
            <w:vAlign w:val="center"/>
            <w:hideMark/>
          </w:tcPr>
          <w:p w14:paraId="632AE790"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PBRM1</w:t>
            </w:r>
          </w:p>
        </w:tc>
        <w:tc>
          <w:tcPr>
            <w:tcW w:w="698" w:type="pct"/>
            <w:vAlign w:val="center"/>
            <w:hideMark/>
          </w:tcPr>
          <w:p w14:paraId="00027853"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78.022 ± 8.167</w:t>
            </w:r>
          </w:p>
        </w:tc>
        <w:tc>
          <w:tcPr>
            <w:tcW w:w="652" w:type="pct"/>
            <w:vAlign w:val="center"/>
            <w:hideMark/>
          </w:tcPr>
          <w:p w14:paraId="79CEC909"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70.561 ± 5.920</w:t>
            </w:r>
          </w:p>
        </w:tc>
        <w:tc>
          <w:tcPr>
            <w:tcW w:w="652" w:type="pct"/>
            <w:vAlign w:val="center"/>
            <w:hideMark/>
          </w:tcPr>
          <w:p w14:paraId="0D036A04"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71.017 ± 6.494</w:t>
            </w:r>
          </w:p>
        </w:tc>
        <w:tc>
          <w:tcPr>
            <w:tcW w:w="698" w:type="pct"/>
            <w:vAlign w:val="center"/>
            <w:hideMark/>
          </w:tcPr>
          <w:p w14:paraId="5706D393"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72.214 ± 12.754</w:t>
            </w:r>
          </w:p>
        </w:tc>
        <w:tc>
          <w:tcPr>
            <w:tcW w:w="697" w:type="pct"/>
            <w:vAlign w:val="center"/>
            <w:hideMark/>
          </w:tcPr>
          <w:p w14:paraId="3BEF8A1D"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69.820 ± 8.193</w:t>
            </w:r>
          </w:p>
        </w:tc>
      </w:tr>
      <w:tr w:rsidR="00F90B5D" w:rsidRPr="00D6232D" w14:paraId="78C32324"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5D9EA2D2" w14:textId="77777777" w:rsidR="00F90B5D" w:rsidRPr="00D6232D" w:rsidRDefault="00F90B5D" w:rsidP="00C70340">
            <w:pPr>
              <w:spacing w:after="160"/>
              <w:rPr>
                <w:rFonts w:ascii="Arial" w:hAnsi="Arial" w:cs="Arial"/>
                <w:sz w:val="16"/>
                <w:szCs w:val="16"/>
              </w:rPr>
            </w:pPr>
            <w:r w:rsidRPr="00D6232D">
              <w:rPr>
                <w:rFonts w:ascii="Arial" w:hAnsi="Arial" w:cs="Arial"/>
                <w:sz w:val="16"/>
                <w:szCs w:val="16"/>
              </w:rPr>
              <w:t>LIHC</w:t>
            </w:r>
          </w:p>
        </w:tc>
        <w:tc>
          <w:tcPr>
            <w:tcW w:w="449" w:type="pct"/>
            <w:shd w:val="clear" w:color="auto" w:fill="C00000"/>
            <w:vAlign w:val="center"/>
            <w:hideMark/>
          </w:tcPr>
          <w:p w14:paraId="29D92A08"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C3523E">
              <w:rPr>
                <w:rFonts w:ascii="Arial" w:hAnsi="Arial" w:cs="Arial"/>
                <w:b/>
                <w:i/>
                <w:iCs/>
                <w:sz w:val="16"/>
                <w:szCs w:val="16"/>
              </w:rPr>
              <w:t>CTNNB1</w:t>
            </w:r>
          </w:p>
        </w:tc>
        <w:tc>
          <w:tcPr>
            <w:tcW w:w="698" w:type="pct"/>
            <w:vAlign w:val="center"/>
            <w:hideMark/>
          </w:tcPr>
          <w:p w14:paraId="0B2E4349"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78.328 ± 6.024</w:t>
            </w:r>
          </w:p>
        </w:tc>
        <w:tc>
          <w:tcPr>
            <w:tcW w:w="652" w:type="pct"/>
            <w:vAlign w:val="center"/>
            <w:hideMark/>
          </w:tcPr>
          <w:p w14:paraId="08D7FAD9"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69.508 ± 5.670</w:t>
            </w:r>
          </w:p>
        </w:tc>
        <w:tc>
          <w:tcPr>
            <w:tcW w:w="652" w:type="pct"/>
            <w:vAlign w:val="center"/>
            <w:hideMark/>
          </w:tcPr>
          <w:p w14:paraId="60BF1A91"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70.159 ± 5.199</w:t>
            </w:r>
          </w:p>
        </w:tc>
        <w:tc>
          <w:tcPr>
            <w:tcW w:w="698" w:type="pct"/>
            <w:vAlign w:val="center"/>
            <w:hideMark/>
          </w:tcPr>
          <w:p w14:paraId="1E6B0E4F"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71.591 ± 11.966</w:t>
            </w:r>
          </w:p>
        </w:tc>
        <w:tc>
          <w:tcPr>
            <w:tcW w:w="697" w:type="pct"/>
            <w:vAlign w:val="center"/>
            <w:hideMark/>
          </w:tcPr>
          <w:p w14:paraId="0C10BA2E"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68.726 ± 9.286</w:t>
            </w:r>
          </w:p>
        </w:tc>
      </w:tr>
      <w:tr w:rsidR="0001105C" w:rsidRPr="00D6232D" w14:paraId="63F34EED"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1281143" w14:textId="77777777" w:rsidR="0001105C" w:rsidRPr="00D6232D" w:rsidRDefault="0001105C" w:rsidP="0001105C">
            <w:pPr>
              <w:spacing w:after="160"/>
              <w:rPr>
                <w:rFonts w:ascii="Arial" w:hAnsi="Arial" w:cs="Arial"/>
                <w:sz w:val="16"/>
                <w:szCs w:val="16"/>
              </w:rPr>
            </w:pPr>
          </w:p>
        </w:tc>
        <w:tc>
          <w:tcPr>
            <w:tcW w:w="449" w:type="pct"/>
            <w:shd w:val="clear" w:color="auto" w:fill="C00000"/>
            <w:vAlign w:val="center"/>
            <w:hideMark/>
          </w:tcPr>
          <w:p w14:paraId="292B3AD7" w14:textId="77777777" w:rsidR="0001105C" w:rsidRPr="00C3523E"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7A7D1B8D" w14:textId="3B5C2397" w:rsidR="0001105C" w:rsidRPr="00D6232D"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89.931 ± 4.027</w:t>
            </w:r>
          </w:p>
        </w:tc>
        <w:tc>
          <w:tcPr>
            <w:tcW w:w="652" w:type="pct"/>
            <w:vAlign w:val="center"/>
            <w:hideMark/>
          </w:tcPr>
          <w:p w14:paraId="2C96DB12" w14:textId="7AF058D7" w:rsidR="0001105C" w:rsidRPr="00D6232D"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83.667 ± 3.707</w:t>
            </w:r>
          </w:p>
        </w:tc>
        <w:tc>
          <w:tcPr>
            <w:tcW w:w="652" w:type="pct"/>
            <w:vAlign w:val="center"/>
            <w:hideMark/>
          </w:tcPr>
          <w:p w14:paraId="325F1C47" w14:textId="4E5E1112" w:rsidR="0001105C" w:rsidRPr="00D6232D"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73.331 ± 1.906</w:t>
            </w:r>
          </w:p>
        </w:tc>
        <w:tc>
          <w:tcPr>
            <w:tcW w:w="698" w:type="pct"/>
            <w:vAlign w:val="center"/>
            <w:hideMark/>
          </w:tcPr>
          <w:p w14:paraId="05CCA85D" w14:textId="6ADCEE48" w:rsidR="0001105C" w:rsidRPr="00D6232D"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57.773 ± 1.448</w:t>
            </w:r>
          </w:p>
        </w:tc>
        <w:tc>
          <w:tcPr>
            <w:tcW w:w="697" w:type="pct"/>
            <w:vAlign w:val="center"/>
            <w:hideMark/>
          </w:tcPr>
          <w:p w14:paraId="17639FBA" w14:textId="103E174B" w:rsidR="0001105C" w:rsidRPr="00D6232D" w:rsidRDefault="0001105C" w:rsidP="0001105C">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88.864 ± 2.943</w:t>
            </w:r>
          </w:p>
        </w:tc>
      </w:tr>
      <w:tr w:rsidR="00BD1A8E" w:rsidRPr="00D6232D" w14:paraId="7501928B"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0827C852" w14:textId="77777777" w:rsidR="00BD1A8E" w:rsidRPr="00D6232D" w:rsidRDefault="00BD1A8E" w:rsidP="00BD1A8E">
            <w:pPr>
              <w:spacing w:after="160"/>
              <w:rPr>
                <w:rFonts w:ascii="Arial" w:hAnsi="Arial" w:cs="Arial"/>
                <w:sz w:val="16"/>
                <w:szCs w:val="16"/>
              </w:rPr>
            </w:pPr>
            <w:r w:rsidRPr="00D6232D">
              <w:rPr>
                <w:rFonts w:ascii="Arial" w:hAnsi="Arial" w:cs="Arial"/>
                <w:sz w:val="16"/>
                <w:szCs w:val="16"/>
              </w:rPr>
              <w:lastRenderedPageBreak/>
              <w:t>LUSC</w:t>
            </w:r>
          </w:p>
        </w:tc>
        <w:tc>
          <w:tcPr>
            <w:tcW w:w="449" w:type="pct"/>
            <w:shd w:val="clear" w:color="auto" w:fill="C00000"/>
            <w:vAlign w:val="center"/>
            <w:hideMark/>
          </w:tcPr>
          <w:p w14:paraId="793CACAE" w14:textId="77777777" w:rsidR="00BD1A8E" w:rsidRPr="00C3523E"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27B98693" w14:textId="65538773" w:rsidR="00BD1A8E" w:rsidRPr="00D6232D"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98.104 ± 3.148</w:t>
            </w:r>
          </w:p>
        </w:tc>
        <w:tc>
          <w:tcPr>
            <w:tcW w:w="652" w:type="pct"/>
            <w:vAlign w:val="center"/>
            <w:hideMark/>
          </w:tcPr>
          <w:p w14:paraId="136C7685" w14:textId="5FE5CE42" w:rsidR="00BD1A8E" w:rsidRPr="00D6232D"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98.625 ± 0.910</w:t>
            </w:r>
          </w:p>
        </w:tc>
        <w:tc>
          <w:tcPr>
            <w:tcW w:w="652" w:type="pct"/>
            <w:vAlign w:val="center"/>
            <w:hideMark/>
          </w:tcPr>
          <w:p w14:paraId="430B79DF" w14:textId="7924090B" w:rsidR="00BD1A8E" w:rsidRPr="00D6232D"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86.191 ± 21.787</w:t>
            </w:r>
          </w:p>
        </w:tc>
        <w:tc>
          <w:tcPr>
            <w:tcW w:w="698" w:type="pct"/>
            <w:vAlign w:val="center"/>
            <w:hideMark/>
          </w:tcPr>
          <w:p w14:paraId="2A4F4AA3" w14:textId="09402932" w:rsidR="00BD1A8E" w:rsidRPr="00D6232D"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99.049 ± 0.537</w:t>
            </w:r>
          </w:p>
        </w:tc>
        <w:tc>
          <w:tcPr>
            <w:tcW w:w="697" w:type="pct"/>
            <w:vAlign w:val="center"/>
            <w:hideMark/>
          </w:tcPr>
          <w:p w14:paraId="3EEF14E6" w14:textId="27C2B622" w:rsidR="00BD1A8E" w:rsidRPr="00D6232D" w:rsidRDefault="00BD1A8E" w:rsidP="00BD1A8E">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73.333 ± 23.461</w:t>
            </w:r>
          </w:p>
        </w:tc>
      </w:tr>
      <w:tr w:rsidR="00F90B5D" w:rsidRPr="00D6232D" w14:paraId="74AB835D"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val="restart"/>
            <w:shd w:val="clear" w:color="auto" w:fill="C00000"/>
            <w:vAlign w:val="center"/>
            <w:hideMark/>
          </w:tcPr>
          <w:p w14:paraId="585FDA47" w14:textId="77777777" w:rsidR="00F90B5D" w:rsidRPr="00D6232D" w:rsidRDefault="00F90B5D" w:rsidP="00C70340">
            <w:pPr>
              <w:spacing w:after="160"/>
              <w:rPr>
                <w:rFonts w:ascii="Arial" w:hAnsi="Arial" w:cs="Arial"/>
                <w:sz w:val="16"/>
                <w:szCs w:val="16"/>
              </w:rPr>
            </w:pPr>
            <w:r w:rsidRPr="00D6232D">
              <w:rPr>
                <w:rFonts w:ascii="Arial" w:hAnsi="Arial" w:cs="Arial"/>
                <w:sz w:val="16"/>
                <w:szCs w:val="16"/>
              </w:rPr>
              <w:t>STAD</w:t>
            </w:r>
          </w:p>
        </w:tc>
        <w:tc>
          <w:tcPr>
            <w:tcW w:w="449" w:type="pct"/>
            <w:shd w:val="clear" w:color="auto" w:fill="C00000"/>
            <w:vAlign w:val="center"/>
            <w:hideMark/>
          </w:tcPr>
          <w:p w14:paraId="7045B254" w14:textId="77777777" w:rsidR="00F90B5D" w:rsidRPr="00C3523E"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ARID1A</w:t>
            </w:r>
          </w:p>
        </w:tc>
        <w:tc>
          <w:tcPr>
            <w:tcW w:w="698" w:type="pct"/>
            <w:vAlign w:val="center"/>
            <w:hideMark/>
          </w:tcPr>
          <w:p w14:paraId="3CD726DE"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72.849 ± 4.839</w:t>
            </w:r>
          </w:p>
        </w:tc>
        <w:tc>
          <w:tcPr>
            <w:tcW w:w="652" w:type="pct"/>
            <w:vAlign w:val="center"/>
            <w:hideMark/>
          </w:tcPr>
          <w:p w14:paraId="24FAF149"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70.154 ± 3.755</w:t>
            </w:r>
          </w:p>
        </w:tc>
        <w:tc>
          <w:tcPr>
            <w:tcW w:w="652" w:type="pct"/>
            <w:vAlign w:val="center"/>
            <w:hideMark/>
          </w:tcPr>
          <w:p w14:paraId="4A0740CE"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67.809 ± 6.432</w:t>
            </w:r>
          </w:p>
        </w:tc>
        <w:tc>
          <w:tcPr>
            <w:tcW w:w="698" w:type="pct"/>
            <w:vAlign w:val="center"/>
            <w:hideMark/>
          </w:tcPr>
          <w:p w14:paraId="134DFD06"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63.296 ± 11.741</w:t>
            </w:r>
          </w:p>
        </w:tc>
        <w:tc>
          <w:tcPr>
            <w:tcW w:w="697" w:type="pct"/>
            <w:vAlign w:val="center"/>
            <w:hideMark/>
          </w:tcPr>
          <w:p w14:paraId="31F08F05" w14:textId="77777777" w:rsidR="00F90B5D" w:rsidRPr="00D6232D" w:rsidRDefault="00F90B5D" w:rsidP="00C70340">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D6232D">
              <w:rPr>
                <w:rFonts w:ascii="Arial" w:hAnsi="Arial" w:cs="Arial"/>
                <w:sz w:val="16"/>
                <w:szCs w:val="16"/>
              </w:rPr>
              <w:t>72.321 ± 2.246</w:t>
            </w:r>
          </w:p>
        </w:tc>
      </w:tr>
      <w:tr w:rsidR="00DC2617" w:rsidRPr="00D6232D" w14:paraId="3C9479D4"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72DB6ABD" w14:textId="77777777" w:rsidR="00DC2617" w:rsidRPr="00D6232D" w:rsidRDefault="00DC2617" w:rsidP="00DC2617">
            <w:pPr>
              <w:spacing w:after="160"/>
              <w:rPr>
                <w:rFonts w:ascii="Arial" w:hAnsi="Arial" w:cs="Arial"/>
                <w:sz w:val="16"/>
                <w:szCs w:val="16"/>
              </w:rPr>
            </w:pPr>
          </w:p>
        </w:tc>
        <w:tc>
          <w:tcPr>
            <w:tcW w:w="449" w:type="pct"/>
            <w:shd w:val="clear" w:color="auto" w:fill="C00000"/>
            <w:vAlign w:val="center"/>
            <w:hideMark/>
          </w:tcPr>
          <w:p w14:paraId="669ABA7C" w14:textId="77777777" w:rsidR="00DC2617" w:rsidRPr="00C3523E"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58F1218E" w14:textId="4C3AB0A9" w:rsidR="00DC2617" w:rsidRPr="00D6232D"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67.829 ± 6.005</w:t>
            </w:r>
          </w:p>
        </w:tc>
        <w:tc>
          <w:tcPr>
            <w:tcW w:w="652" w:type="pct"/>
            <w:vAlign w:val="center"/>
            <w:hideMark/>
          </w:tcPr>
          <w:p w14:paraId="35A11DC0" w14:textId="237AB7E1" w:rsidR="00DC2617" w:rsidRPr="00D6232D"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64.974 ± 4.760</w:t>
            </w:r>
          </w:p>
        </w:tc>
        <w:tc>
          <w:tcPr>
            <w:tcW w:w="652" w:type="pct"/>
            <w:vAlign w:val="center"/>
            <w:hideMark/>
          </w:tcPr>
          <w:p w14:paraId="00FF2E70" w14:textId="618FB7DF" w:rsidR="00DC2617" w:rsidRPr="00D6232D"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64.816 ± 4.747</w:t>
            </w:r>
          </w:p>
        </w:tc>
        <w:tc>
          <w:tcPr>
            <w:tcW w:w="698" w:type="pct"/>
            <w:vAlign w:val="center"/>
            <w:hideMark/>
          </w:tcPr>
          <w:p w14:paraId="58A53070" w14:textId="1789EE69" w:rsidR="00DC2617" w:rsidRPr="00D6232D"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60.837 ± 9.022</w:t>
            </w:r>
          </w:p>
        </w:tc>
        <w:tc>
          <w:tcPr>
            <w:tcW w:w="697" w:type="pct"/>
            <w:vAlign w:val="center"/>
            <w:hideMark/>
          </w:tcPr>
          <w:p w14:paraId="544029E8" w14:textId="11C0963C" w:rsidR="00DC2617" w:rsidRPr="00D6232D" w:rsidRDefault="00DC2617" w:rsidP="00DC2617">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68.794 ± 5.309</w:t>
            </w:r>
          </w:p>
        </w:tc>
      </w:tr>
      <w:tr w:rsidR="003156BD" w:rsidRPr="00D6232D" w14:paraId="5170AE07"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vMerge/>
            <w:shd w:val="clear" w:color="auto" w:fill="C00000"/>
            <w:vAlign w:val="center"/>
            <w:hideMark/>
          </w:tcPr>
          <w:p w14:paraId="27129DF9" w14:textId="77777777" w:rsidR="003156BD" w:rsidRPr="00D6232D" w:rsidRDefault="003156BD" w:rsidP="003156BD">
            <w:pPr>
              <w:spacing w:after="160"/>
              <w:rPr>
                <w:rFonts w:ascii="Arial" w:hAnsi="Arial" w:cs="Arial"/>
                <w:sz w:val="16"/>
                <w:szCs w:val="16"/>
              </w:rPr>
            </w:pPr>
          </w:p>
        </w:tc>
        <w:tc>
          <w:tcPr>
            <w:tcW w:w="449" w:type="pct"/>
            <w:shd w:val="clear" w:color="auto" w:fill="C00000"/>
            <w:vAlign w:val="center"/>
            <w:hideMark/>
          </w:tcPr>
          <w:p w14:paraId="104318C6" w14:textId="77777777" w:rsidR="003156BD" w:rsidRPr="00C3523E"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TTN</w:t>
            </w:r>
          </w:p>
        </w:tc>
        <w:tc>
          <w:tcPr>
            <w:tcW w:w="698" w:type="pct"/>
            <w:vAlign w:val="center"/>
            <w:hideMark/>
          </w:tcPr>
          <w:p w14:paraId="791A2A0F" w14:textId="249492A2" w:rsidR="003156BD" w:rsidRPr="00D6232D"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63.270 ± 9.393</w:t>
            </w:r>
          </w:p>
        </w:tc>
        <w:tc>
          <w:tcPr>
            <w:tcW w:w="652" w:type="pct"/>
            <w:vAlign w:val="center"/>
            <w:hideMark/>
          </w:tcPr>
          <w:p w14:paraId="7BCC823F" w14:textId="4DC0FD68" w:rsidR="003156BD" w:rsidRPr="00D6232D"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71.549 ± 7.220</w:t>
            </w:r>
          </w:p>
        </w:tc>
        <w:tc>
          <w:tcPr>
            <w:tcW w:w="652" w:type="pct"/>
            <w:vAlign w:val="center"/>
            <w:hideMark/>
          </w:tcPr>
          <w:p w14:paraId="6FADB461" w14:textId="79AF817F" w:rsidR="003156BD" w:rsidRPr="00D6232D"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67.725 ± 4.938</w:t>
            </w:r>
          </w:p>
        </w:tc>
        <w:tc>
          <w:tcPr>
            <w:tcW w:w="698" w:type="pct"/>
            <w:vAlign w:val="center"/>
            <w:hideMark/>
          </w:tcPr>
          <w:p w14:paraId="75EDD310" w14:textId="11BF9A53" w:rsidR="003156BD" w:rsidRPr="00D6232D"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78.348 ± 10.124</w:t>
            </w:r>
          </w:p>
        </w:tc>
        <w:tc>
          <w:tcPr>
            <w:tcW w:w="697" w:type="pct"/>
            <w:vAlign w:val="center"/>
            <w:hideMark/>
          </w:tcPr>
          <w:p w14:paraId="3FC70752" w14:textId="774A424A" w:rsidR="003156BD" w:rsidRPr="00D6232D" w:rsidRDefault="003156BD" w:rsidP="003156BD">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D025D">
              <w:rPr>
                <w:rFonts w:ascii="Arial" w:hAnsi="Arial" w:cs="Arial"/>
                <w:sz w:val="16"/>
                <w:szCs w:val="16"/>
              </w:rPr>
              <w:t>57.102 ± 1.281</w:t>
            </w:r>
          </w:p>
        </w:tc>
      </w:tr>
      <w:tr w:rsidR="00990A62" w:rsidRPr="00D6232D" w14:paraId="7A595B91" w14:textId="77777777" w:rsidTr="00096387">
        <w:trPr>
          <w:trHeight w:val="432"/>
        </w:trPr>
        <w:tc>
          <w:tcPr>
            <w:cnfStyle w:val="001000000000" w:firstRow="0" w:lastRow="0" w:firstColumn="1" w:lastColumn="0" w:oddVBand="0" w:evenVBand="0" w:oddHBand="0" w:evenHBand="0" w:firstRowFirstColumn="0" w:firstRowLastColumn="0" w:lastRowFirstColumn="0" w:lastRowLastColumn="0"/>
            <w:tcW w:w="1154" w:type="pct"/>
            <w:shd w:val="clear" w:color="auto" w:fill="C00000"/>
            <w:vAlign w:val="center"/>
            <w:hideMark/>
          </w:tcPr>
          <w:p w14:paraId="6AD12931" w14:textId="77777777" w:rsidR="00990A62" w:rsidRPr="00D6232D" w:rsidRDefault="00990A62" w:rsidP="00990A62">
            <w:pPr>
              <w:spacing w:after="160"/>
              <w:rPr>
                <w:rFonts w:ascii="Arial" w:hAnsi="Arial" w:cs="Arial"/>
                <w:sz w:val="16"/>
                <w:szCs w:val="16"/>
              </w:rPr>
            </w:pPr>
            <w:r w:rsidRPr="00D6232D">
              <w:rPr>
                <w:rFonts w:ascii="Arial" w:hAnsi="Arial" w:cs="Arial"/>
                <w:sz w:val="16"/>
                <w:szCs w:val="16"/>
              </w:rPr>
              <w:t>HNSC</w:t>
            </w:r>
          </w:p>
        </w:tc>
        <w:tc>
          <w:tcPr>
            <w:tcW w:w="449" w:type="pct"/>
            <w:shd w:val="clear" w:color="auto" w:fill="C00000"/>
            <w:vAlign w:val="center"/>
            <w:hideMark/>
          </w:tcPr>
          <w:p w14:paraId="75263728" w14:textId="77777777" w:rsidR="00990A62" w:rsidRPr="00C3523E"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i/>
                <w:iCs/>
                <w:sz w:val="16"/>
                <w:szCs w:val="16"/>
              </w:rPr>
            </w:pPr>
            <w:r w:rsidRPr="00445CAB">
              <w:rPr>
                <w:rFonts w:ascii="Arial" w:hAnsi="Arial" w:cs="Arial"/>
                <w:b/>
                <w:i/>
                <w:iCs/>
                <w:sz w:val="16"/>
                <w:szCs w:val="16"/>
              </w:rPr>
              <w:t>TP53</w:t>
            </w:r>
          </w:p>
        </w:tc>
        <w:tc>
          <w:tcPr>
            <w:tcW w:w="698" w:type="pct"/>
            <w:vAlign w:val="center"/>
            <w:hideMark/>
          </w:tcPr>
          <w:p w14:paraId="561EEB32" w14:textId="5801FB8C" w:rsidR="00990A62" w:rsidRPr="00D6232D"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96.620 ± 2.977</w:t>
            </w:r>
          </w:p>
        </w:tc>
        <w:tc>
          <w:tcPr>
            <w:tcW w:w="652" w:type="pct"/>
            <w:vAlign w:val="center"/>
            <w:hideMark/>
          </w:tcPr>
          <w:p w14:paraId="7B31CC21" w14:textId="54309462" w:rsidR="00990A62" w:rsidRPr="00D6232D"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94.318 ± 4.171</w:t>
            </w:r>
          </w:p>
        </w:tc>
        <w:tc>
          <w:tcPr>
            <w:tcW w:w="652" w:type="pct"/>
            <w:vAlign w:val="center"/>
            <w:hideMark/>
          </w:tcPr>
          <w:p w14:paraId="40710E91" w14:textId="6FC563BC" w:rsidR="00990A62" w:rsidRPr="00D6232D"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86.653 ± 11.436</w:t>
            </w:r>
          </w:p>
        </w:tc>
        <w:tc>
          <w:tcPr>
            <w:tcW w:w="698" w:type="pct"/>
            <w:vAlign w:val="center"/>
            <w:hideMark/>
          </w:tcPr>
          <w:p w14:paraId="4C489ED3" w14:textId="6D1C495A" w:rsidR="00990A62" w:rsidRPr="00D6232D"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96.862 ± 2.440</w:t>
            </w:r>
          </w:p>
        </w:tc>
        <w:tc>
          <w:tcPr>
            <w:tcW w:w="697" w:type="pct"/>
            <w:vAlign w:val="center"/>
            <w:hideMark/>
          </w:tcPr>
          <w:p w14:paraId="1901EFCD" w14:textId="61C491AE" w:rsidR="00990A62" w:rsidRPr="00D6232D" w:rsidRDefault="00990A62" w:rsidP="00990A62">
            <w:pPr>
              <w:spacing w:after="16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5352A">
              <w:rPr>
                <w:rFonts w:ascii="Arial" w:hAnsi="Arial" w:cs="Arial"/>
                <w:sz w:val="16"/>
                <w:szCs w:val="16"/>
              </w:rPr>
              <w:t>76.444 ± 21.863</w:t>
            </w:r>
          </w:p>
        </w:tc>
      </w:tr>
    </w:tbl>
    <w:p w14:paraId="2294CA75" w14:textId="77777777" w:rsidR="00FB5E7C" w:rsidRPr="00322A04" w:rsidRDefault="00FB5E7C" w:rsidP="00850AD7">
      <w:pPr>
        <w:spacing w:line="240" w:lineRule="auto"/>
        <w:jc w:val="both"/>
        <w:rPr>
          <w:rFonts w:ascii="Arial" w:hAnsi="Arial" w:cs="Arial"/>
          <w:sz w:val="22"/>
          <w:szCs w:val="22"/>
        </w:rPr>
      </w:pPr>
    </w:p>
    <w:sectPr w:rsidR="00FB5E7C" w:rsidRPr="00322A04" w:rsidSect="00850A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D7"/>
    <w:rsid w:val="0001105C"/>
    <w:rsid w:val="00026E3D"/>
    <w:rsid w:val="00033F30"/>
    <w:rsid w:val="000433B6"/>
    <w:rsid w:val="00044EAD"/>
    <w:rsid w:val="00046CDF"/>
    <w:rsid w:val="00053CC6"/>
    <w:rsid w:val="00054E0E"/>
    <w:rsid w:val="00094976"/>
    <w:rsid w:val="00096387"/>
    <w:rsid w:val="000A16AA"/>
    <w:rsid w:val="000A73AA"/>
    <w:rsid w:val="000B18BB"/>
    <w:rsid w:val="000B61F6"/>
    <w:rsid w:val="000B6DF2"/>
    <w:rsid w:val="000C70C0"/>
    <w:rsid w:val="000D379A"/>
    <w:rsid w:val="000F2551"/>
    <w:rsid w:val="000F3835"/>
    <w:rsid w:val="00106020"/>
    <w:rsid w:val="001168D9"/>
    <w:rsid w:val="001179CC"/>
    <w:rsid w:val="00123ADC"/>
    <w:rsid w:val="0012506B"/>
    <w:rsid w:val="0013109C"/>
    <w:rsid w:val="00135777"/>
    <w:rsid w:val="00151CF5"/>
    <w:rsid w:val="00153689"/>
    <w:rsid w:val="00166819"/>
    <w:rsid w:val="001718F0"/>
    <w:rsid w:val="001A05D4"/>
    <w:rsid w:val="001A2693"/>
    <w:rsid w:val="001A31B5"/>
    <w:rsid w:val="001A4452"/>
    <w:rsid w:val="001B2163"/>
    <w:rsid w:val="001D471B"/>
    <w:rsid w:val="001D6395"/>
    <w:rsid w:val="001E091A"/>
    <w:rsid w:val="001E3258"/>
    <w:rsid w:val="00204C0C"/>
    <w:rsid w:val="00226D38"/>
    <w:rsid w:val="00235CB9"/>
    <w:rsid w:val="00246DFB"/>
    <w:rsid w:val="002758F7"/>
    <w:rsid w:val="00277F65"/>
    <w:rsid w:val="0028655A"/>
    <w:rsid w:val="00295D5D"/>
    <w:rsid w:val="002B0B23"/>
    <w:rsid w:val="002C17BD"/>
    <w:rsid w:val="002C743F"/>
    <w:rsid w:val="002D1B7F"/>
    <w:rsid w:val="002D52DC"/>
    <w:rsid w:val="002E449F"/>
    <w:rsid w:val="002E6900"/>
    <w:rsid w:val="002F1644"/>
    <w:rsid w:val="003156BD"/>
    <w:rsid w:val="00317FD2"/>
    <w:rsid w:val="00322A04"/>
    <w:rsid w:val="00330AB9"/>
    <w:rsid w:val="00347656"/>
    <w:rsid w:val="00357032"/>
    <w:rsid w:val="00364910"/>
    <w:rsid w:val="003701F3"/>
    <w:rsid w:val="003759FE"/>
    <w:rsid w:val="00376499"/>
    <w:rsid w:val="00382853"/>
    <w:rsid w:val="00386587"/>
    <w:rsid w:val="003A0B4D"/>
    <w:rsid w:val="003A24D7"/>
    <w:rsid w:val="003A401F"/>
    <w:rsid w:val="003C1306"/>
    <w:rsid w:val="003C5269"/>
    <w:rsid w:val="003C75FA"/>
    <w:rsid w:val="003D1C0F"/>
    <w:rsid w:val="003D38A7"/>
    <w:rsid w:val="003D3E8D"/>
    <w:rsid w:val="003D5369"/>
    <w:rsid w:val="003E4CB9"/>
    <w:rsid w:val="00401EED"/>
    <w:rsid w:val="00427832"/>
    <w:rsid w:val="00435FCB"/>
    <w:rsid w:val="00437233"/>
    <w:rsid w:val="00442AE6"/>
    <w:rsid w:val="00443586"/>
    <w:rsid w:val="00445CAB"/>
    <w:rsid w:val="0044642B"/>
    <w:rsid w:val="0045206B"/>
    <w:rsid w:val="0045577C"/>
    <w:rsid w:val="00455901"/>
    <w:rsid w:val="0046173E"/>
    <w:rsid w:val="004659E7"/>
    <w:rsid w:val="004822C2"/>
    <w:rsid w:val="004877DF"/>
    <w:rsid w:val="00495A78"/>
    <w:rsid w:val="00495CE9"/>
    <w:rsid w:val="004A093F"/>
    <w:rsid w:val="004A38E8"/>
    <w:rsid w:val="004A5977"/>
    <w:rsid w:val="004C1BC8"/>
    <w:rsid w:val="004D1EB0"/>
    <w:rsid w:val="004D3260"/>
    <w:rsid w:val="004D4450"/>
    <w:rsid w:val="004F3FE0"/>
    <w:rsid w:val="00513F90"/>
    <w:rsid w:val="0051499A"/>
    <w:rsid w:val="005321C4"/>
    <w:rsid w:val="00535A8C"/>
    <w:rsid w:val="00563D57"/>
    <w:rsid w:val="00564E4A"/>
    <w:rsid w:val="00566BBF"/>
    <w:rsid w:val="00570B71"/>
    <w:rsid w:val="0057123E"/>
    <w:rsid w:val="00572869"/>
    <w:rsid w:val="0059519C"/>
    <w:rsid w:val="005A237A"/>
    <w:rsid w:val="005A4209"/>
    <w:rsid w:val="005B4920"/>
    <w:rsid w:val="005C0E6D"/>
    <w:rsid w:val="005D4709"/>
    <w:rsid w:val="005D6F2C"/>
    <w:rsid w:val="005E30A7"/>
    <w:rsid w:val="00600E86"/>
    <w:rsid w:val="00612840"/>
    <w:rsid w:val="00625E36"/>
    <w:rsid w:val="006304F7"/>
    <w:rsid w:val="00636951"/>
    <w:rsid w:val="0064070F"/>
    <w:rsid w:val="006502AF"/>
    <w:rsid w:val="00655DA9"/>
    <w:rsid w:val="00666FA6"/>
    <w:rsid w:val="006814A2"/>
    <w:rsid w:val="00684533"/>
    <w:rsid w:val="006905D4"/>
    <w:rsid w:val="006938F8"/>
    <w:rsid w:val="00694D20"/>
    <w:rsid w:val="006955FB"/>
    <w:rsid w:val="006A3C3C"/>
    <w:rsid w:val="006B42BD"/>
    <w:rsid w:val="006B7E1E"/>
    <w:rsid w:val="006C1AD2"/>
    <w:rsid w:val="006D2659"/>
    <w:rsid w:val="006D6908"/>
    <w:rsid w:val="006D7E4C"/>
    <w:rsid w:val="006E1035"/>
    <w:rsid w:val="006F144D"/>
    <w:rsid w:val="0070149B"/>
    <w:rsid w:val="0072250C"/>
    <w:rsid w:val="00730860"/>
    <w:rsid w:val="007330F6"/>
    <w:rsid w:val="0074499C"/>
    <w:rsid w:val="00746155"/>
    <w:rsid w:val="00761978"/>
    <w:rsid w:val="007839EF"/>
    <w:rsid w:val="0079180D"/>
    <w:rsid w:val="00794EA4"/>
    <w:rsid w:val="007B070A"/>
    <w:rsid w:val="007C66E8"/>
    <w:rsid w:val="007D57F9"/>
    <w:rsid w:val="007E24D7"/>
    <w:rsid w:val="007E298A"/>
    <w:rsid w:val="007E67CD"/>
    <w:rsid w:val="007F6AB7"/>
    <w:rsid w:val="00806A5E"/>
    <w:rsid w:val="0084286B"/>
    <w:rsid w:val="008432C6"/>
    <w:rsid w:val="00846E8D"/>
    <w:rsid w:val="00850AD7"/>
    <w:rsid w:val="00860085"/>
    <w:rsid w:val="0086201E"/>
    <w:rsid w:val="0086304D"/>
    <w:rsid w:val="00877B87"/>
    <w:rsid w:val="00882C29"/>
    <w:rsid w:val="008866B2"/>
    <w:rsid w:val="00886CF0"/>
    <w:rsid w:val="0089769A"/>
    <w:rsid w:val="008A2652"/>
    <w:rsid w:val="008B28AE"/>
    <w:rsid w:val="008E3114"/>
    <w:rsid w:val="008E590C"/>
    <w:rsid w:val="008E5BDE"/>
    <w:rsid w:val="00906C38"/>
    <w:rsid w:val="009120D9"/>
    <w:rsid w:val="00914A56"/>
    <w:rsid w:val="009172E0"/>
    <w:rsid w:val="00922793"/>
    <w:rsid w:val="009321A0"/>
    <w:rsid w:val="00932F7F"/>
    <w:rsid w:val="00933984"/>
    <w:rsid w:val="00941CB0"/>
    <w:rsid w:val="00945547"/>
    <w:rsid w:val="0098115C"/>
    <w:rsid w:val="00990A62"/>
    <w:rsid w:val="009A32A7"/>
    <w:rsid w:val="009A3C05"/>
    <w:rsid w:val="009A5324"/>
    <w:rsid w:val="009B4C73"/>
    <w:rsid w:val="009C0077"/>
    <w:rsid w:val="009C77D9"/>
    <w:rsid w:val="009E07C3"/>
    <w:rsid w:val="009E700F"/>
    <w:rsid w:val="009F5531"/>
    <w:rsid w:val="009F5668"/>
    <w:rsid w:val="00A062AA"/>
    <w:rsid w:val="00A13C59"/>
    <w:rsid w:val="00A21E75"/>
    <w:rsid w:val="00A24A69"/>
    <w:rsid w:val="00A32307"/>
    <w:rsid w:val="00A3331A"/>
    <w:rsid w:val="00A368E3"/>
    <w:rsid w:val="00A44795"/>
    <w:rsid w:val="00A57AF4"/>
    <w:rsid w:val="00A8230F"/>
    <w:rsid w:val="00A8335C"/>
    <w:rsid w:val="00AC3A7E"/>
    <w:rsid w:val="00AD025D"/>
    <w:rsid w:val="00AD20C0"/>
    <w:rsid w:val="00AD26D8"/>
    <w:rsid w:val="00AF162D"/>
    <w:rsid w:val="00AF44E6"/>
    <w:rsid w:val="00AF7BB2"/>
    <w:rsid w:val="00B12FB8"/>
    <w:rsid w:val="00B135AD"/>
    <w:rsid w:val="00B3243E"/>
    <w:rsid w:val="00B47BB8"/>
    <w:rsid w:val="00B61FBD"/>
    <w:rsid w:val="00B67493"/>
    <w:rsid w:val="00B821D2"/>
    <w:rsid w:val="00BA173B"/>
    <w:rsid w:val="00BA34A1"/>
    <w:rsid w:val="00BA42C6"/>
    <w:rsid w:val="00BD1A8E"/>
    <w:rsid w:val="00BE5F67"/>
    <w:rsid w:val="00C03201"/>
    <w:rsid w:val="00C26282"/>
    <w:rsid w:val="00C330FB"/>
    <w:rsid w:val="00C3523E"/>
    <w:rsid w:val="00C52017"/>
    <w:rsid w:val="00C5352A"/>
    <w:rsid w:val="00C56A63"/>
    <w:rsid w:val="00C577E3"/>
    <w:rsid w:val="00C80837"/>
    <w:rsid w:val="00C81C7D"/>
    <w:rsid w:val="00C82E7D"/>
    <w:rsid w:val="00C85945"/>
    <w:rsid w:val="00C87B7F"/>
    <w:rsid w:val="00C92B53"/>
    <w:rsid w:val="00CA65D5"/>
    <w:rsid w:val="00CA6D45"/>
    <w:rsid w:val="00CD6794"/>
    <w:rsid w:val="00CE0ADD"/>
    <w:rsid w:val="00CE0FEC"/>
    <w:rsid w:val="00CE1991"/>
    <w:rsid w:val="00CE7EA3"/>
    <w:rsid w:val="00D04E47"/>
    <w:rsid w:val="00D05688"/>
    <w:rsid w:val="00D1471D"/>
    <w:rsid w:val="00D31BAB"/>
    <w:rsid w:val="00D34EF5"/>
    <w:rsid w:val="00D40ABA"/>
    <w:rsid w:val="00D54960"/>
    <w:rsid w:val="00D6232D"/>
    <w:rsid w:val="00D62D1F"/>
    <w:rsid w:val="00D70FBE"/>
    <w:rsid w:val="00D83457"/>
    <w:rsid w:val="00D9379D"/>
    <w:rsid w:val="00D9669A"/>
    <w:rsid w:val="00DA12BB"/>
    <w:rsid w:val="00DA666A"/>
    <w:rsid w:val="00DB3A6E"/>
    <w:rsid w:val="00DC2617"/>
    <w:rsid w:val="00DD02C3"/>
    <w:rsid w:val="00DE57BC"/>
    <w:rsid w:val="00DE75EA"/>
    <w:rsid w:val="00DF035E"/>
    <w:rsid w:val="00DF1993"/>
    <w:rsid w:val="00E06A6F"/>
    <w:rsid w:val="00E2104F"/>
    <w:rsid w:val="00E305B8"/>
    <w:rsid w:val="00E34E6E"/>
    <w:rsid w:val="00E36ABC"/>
    <w:rsid w:val="00E37D8B"/>
    <w:rsid w:val="00E440A5"/>
    <w:rsid w:val="00E500D4"/>
    <w:rsid w:val="00E54D4B"/>
    <w:rsid w:val="00E6326C"/>
    <w:rsid w:val="00E64B01"/>
    <w:rsid w:val="00E707A3"/>
    <w:rsid w:val="00E8056D"/>
    <w:rsid w:val="00E81C65"/>
    <w:rsid w:val="00E95818"/>
    <w:rsid w:val="00EA5A1E"/>
    <w:rsid w:val="00EB3D4D"/>
    <w:rsid w:val="00EB5182"/>
    <w:rsid w:val="00ED5A23"/>
    <w:rsid w:val="00ED72C8"/>
    <w:rsid w:val="00EF3B49"/>
    <w:rsid w:val="00EF6137"/>
    <w:rsid w:val="00F31A44"/>
    <w:rsid w:val="00F350F4"/>
    <w:rsid w:val="00F604CC"/>
    <w:rsid w:val="00F66452"/>
    <w:rsid w:val="00F8302E"/>
    <w:rsid w:val="00F90B5D"/>
    <w:rsid w:val="00F969BE"/>
    <w:rsid w:val="00FB0DEF"/>
    <w:rsid w:val="00FB32E1"/>
    <w:rsid w:val="00FB5E7C"/>
    <w:rsid w:val="00FB7595"/>
    <w:rsid w:val="00FB75FF"/>
    <w:rsid w:val="00FC16B8"/>
    <w:rsid w:val="00FD26BD"/>
    <w:rsid w:val="00FD3364"/>
    <w:rsid w:val="00FD4A1E"/>
    <w:rsid w:val="00FE6197"/>
    <w:rsid w:val="00FE6ECB"/>
    <w:rsid w:val="00FE7EA0"/>
    <w:rsid w:val="00FF7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3818"/>
  <w15:chartTrackingRefBased/>
  <w15:docId w15:val="{696A7C45-D800-4989-A56C-930FB54E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B5D"/>
  </w:style>
  <w:style w:type="paragraph" w:styleId="Heading1">
    <w:name w:val="heading 1"/>
    <w:basedOn w:val="Normal"/>
    <w:next w:val="Normal"/>
    <w:link w:val="Heading1Char"/>
    <w:uiPriority w:val="9"/>
    <w:qFormat/>
    <w:rsid w:val="00850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0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0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AD7"/>
    <w:rPr>
      <w:rFonts w:eastAsiaTheme="majorEastAsia" w:cstheme="majorBidi"/>
      <w:color w:val="272727" w:themeColor="text1" w:themeTint="D8"/>
    </w:rPr>
  </w:style>
  <w:style w:type="paragraph" w:styleId="Title">
    <w:name w:val="Title"/>
    <w:basedOn w:val="Normal"/>
    <w:next w:val="Normal"/>
    <w:link w:val="TitleChar"/>
    <w:uiPriority w:val="10"/>
    <w:qFormat/>
    <w:rsid w:val="00850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AD7"/>
    <w:pPr>
      <w:spacing w:before="160"/>
      <w:jc w:val="center"/>
    </w:pPr>
    <w:rPr>
      <w:i/>
      <w:iCs/>
      <w:color w:val="404040" w:themeColor="text1" w:themeTint="BF"/>
    </w:rPr>
  </w:style>
  <w:style w:type="character" w:customStyle="1" w:styleId="QuoteChar">
    <w:name w:val="Quote Char"/>
    <w:basedOn w:val="DefaultParagraphFont"/>
    <w:link w:val="Quote"/>
    <w:uiPriority w:val="29"/>
    <w:rsid w:val="00850AD7"/>
    <w:rPr>
      <w:i/>
      <w:iCs/>
      <w:color w:val="404040" w:themeColor="text1" w:themeTint="BF"/>
    </w:rPr>
  </w:style>
  <w:style w:type="paragraph" w:styleId="ListParagraph">
    <w:name w:val="List Paragraph"/>
    <w:basedOn w:val="Normal"/>
    <w:uiPriority w:val="34"/>
    <w:qFormat/>
    <w:rsid w:val="00850AD7"/>
    <w:pPr>
      <w:ind w:left="720"/>
      <w:contextualSpacing/>
    </w:pPr>
  </w:style>
  <w:style w:type="character" w:styleId="IntenseEmphasis">
    <w:name w:val="Intense Emphasis"/>
    <w:basedOn w:val="DefaultParagraphFont"/>
    <w:uiPriority w:val="21"/>
    <w:qFormat/>
    <w:rsid w:val="00850AD7"/>
    <w:rPr>
      <w:i/>
      <w:iCs/>
      <w:color w:val="0F4761" w:themeColor="accent1" w:themeShade="BF"/>
    </w:rPr>
  </w:style>
  <w:style w:type="paragraph" w:styleId="IntenseQuote">
    <w:name w:val="Intense Quote"/>
    <w:basedOn w:val="Normal"/>
    <w:next w:val="Normal"/>
    <w:link w:val="IntenseQuoteChar"/>
    <w:uiPriority w:val="30"/>
    <w:qFormat/>
    <w:rsid w:val="00850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AD7"/>
    <w:rPr>
      <w:i/>
      <w:iCs/>
      <w:color w:val="0F4761" w:themeColor="accent1" w:themeShade="BF"/>
    </w:rPr>
  </w:style>
  <w:style w:type="character" w:styleId="IntenseReference">
    <w:name w:val="Intense Reference"/>
    <w:basedOn w:val="DefaultParagraphFont"/>
    <w:uiPriority w:val="32"/>
    <w:qFormat/>
    <w:rsid w:val="00850AD7"/>
    <w:rPr>
      <w:b/>
      <w:bCs/>
      <w:smallCaps/>
      <w:color w:val="0F4761" w:themeColor="accent1" w:themeShade="BF"/>
      <w:spacing w:val="5"/>
    </w:rPr>
  </w:style>
  <w:style w:type="paragraph" w:customStyle="1" w:styleId="msonormal0">
    <w:name w:val="msonormal"/>
    <w:basedOn w:val="Normal"/>
    <w:rsid w:val="003759F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3759FE"/>
    <w:pPr>
      <w:spacing w:before="100" w:beforeAutospacing="1" w:after="100" w:afterAutospacing="1" w:line="240" w:lineRule="auto"/>
    </w:pPr>
    <w:rPr>
      <w:rFonts w:ascii="Times New Roman" w:eastAsia="Times New Roman" w:hAnsi="Times New Roman" w:cs="Times New Roman"/>
      <w:kern w:val="0"/>
      <w14:ligatures w14:val="none"/>
    </w:rPr>
  </w:style>
  <w:style w:type="table" w:styleId="GridTable5Dark">
    <w:name w:val="Grid Table 5 Dark"/>
    <w:basedOn w:val="TableNormal"/>
    <w:uiPriority w:val="50"/>
    <w:rsid w:val="001A26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CommentReference">
    <w:name w:val="annotation reference"/>
    <w:basedOn w:val="DefaultParagraphFont"/>
    <w:uiPriority w:val="99"/>
    <w:semiHidden/>
    <w:unhideWhenUsed/>
    <w:rsid w:val="000A16AA"/>
    <w:rPr>
      <w:sz w:val="16"/>
      <w:szCs w:val="16"/>
    </w:rPr>
  </w:style>
  <w:style w:type="paragraph" w:styleId="CommentText">
    <w:name w:val="annotation text"/>
    <w:basedOn w:val="Normal"/>
    <w:link w:val="CommentTextChar"/>
    <w:uiPriority w:val="99"/>
    <w:unhideWhenUsed/>
    <w:rsid w:val="000A16AA"/>
    <w:pPr>
      <w:spacing w:line="240" w:lineRule="auto"/>
    </w:pPr>
    <w:rPr>
      <w:sz w:val="20"/>
      <w:szCs w:val="20"/>
    </w:rPr>
  </w:style>
  <w:style w:type="character" w:customStyle="1" w:styleId="CommentTextChar">
    <w:name w:val="Comment Text Char"/>
    <w:basedOn w:val="DefaultParagraphFont"/>
    <w:link w:val="CommentText"/>
    <w:uiPriority w:val="99"/>
    <w:rsid w:val="000A16A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Normal.dotm</Template>
  <TotalTime>11912</TotalTime>
  <Pages>27</Pages>
  <Words>8311</Words>
  <Characters>47375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Akbar, Abdul</dc:creator>
  <cp:keywords/>
  <dc:description/>
  <cp:lastModifiedBy>Akbar, Abdul</cp:lastModifiedBy>
  <cp:revision>242</cp:revision>
  <dcterms:created xsi:type="dcterms:W3CDTF">2026-05-12T00:36:00Z</dcterms:created>
  <dcterms:modified xsi:type="dcterms:W3CDTF">2026-06-19T18:45:00Z</dcterms:modified>
</cp:coreProperties>
</file>