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CED22" w14:textId="77777777" w:rsidR="001C703C" w:rsidRDefault="00000000">
      <w:pPr>
        <w:jc w:val="center"/>
      </w:pPr>
      <w:r>
        <w:rPr>
          <w:b/>
        </w:rPr>
        <w:t>Supplementary Table S1. Study-level charting summary</w:t>
      </w:r>
    </w:p>
    <w:p w14:paraId="7EC22B55" w14:textId="77777777" w:rsidR="001C703C" w:rsidRDefault="00000000">
      <w:r>
        <w:t>This supplementary table provides a compact study-level charting summary for the 27 included studies in the scoping review.</w:t>
      </w:r>
    </w:p>
    <w:p w14:paraId="7A0550FD" w14:textId="77777777" w:rsidR="001C703C" w:rsidRDefault="00000000">
      <w:r>
        <w:rPr>
          <w:b/>
        </w:rPr>
        <w:t>Supplementary Table S1. Study-level charting summary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7"/>
        <w:gridCol w:w="2005"/>
        <w:gridCol w:w="2027"/>
        <w:gridCol w:w="1801"/>
        <w:gridCol w:w="1770"/>
      </w:tblGrid>
      <w:tr w:rsidR="001C703C" w14:paraId="07A7ED7F" w14:textId="77777777">
        <w:trPr>
          <w:jc w:val="center"/>
        </w:trPr>
        <w:tc>
          <w:tcPr>
            <w:tcW w:w="1872" w:type="dxa"/>
          </w:tcPr>
          <w:p w14:paraId="3900F684" w14:textId="77777777" w:rsidR="001C703C" w:rsidRDefault="00000000">
            <w:r>
              <w:rPr>
                <w:b/>
              </w:rPr>
              <w:t>Reference</w:t>
            </w:r>
          </w:p>
        </w:tc>
        <w:tc>
          <w:tcPr>
            <w:tcW w:w="1872" w:type="dxa"/>
          </w:tcPr>
          <w:p w14:paraId="74FE027D" w14:textId="77777777" w:rsidR="001C703C" w:rsidRDefault="00000000">
            <w:r>
              <w:rPr>
                <w:b/>
              </w:rPr>
              <w:t>Context</w:t>
            </w:r>
          </w:p>
        </w:tc>
        <w:tc>
          <w:tcPr>
            <w:tcW w:w="1872" w:type="dxa"/>
          </w:tcPr>
          <w:p w14:paraId="4FB25BC3" w14:textId="77777777" w:rsidR="001C703C" w:rsidRDefault="00000000">
            <w:r>
              <w:rPr>
                <w:b/>
              </w:rPr>
              <w:t>Design</w:t>
            </w:r>
          </w:p>
        </w:tc>
        <w:tc>
          <w:tcPr>
            <w:tcW w:w="1872" w:type="dxa"/>
          </w:tcPr>
          <w:p w14:paraId="0877267A" w14:textId="77777777" w:rsidR="001C703C" w:rsidRDefault="00000000">
            <w:r>
              <w:rPr>
                <w:b/>
              </w:rPr>
              <w:t>Focus</w:t>
            </w:r>
          </w:p>
        </w:tc>
        <w:tc>
          <w:tcPr>
            <w:tcW w:w="1872" w:type="dxa"/>
          </w:tcPr>
          <w:p w14:paraId="5E0BD99B" w14:textId="77777777" w:rsidR="001C703C" w:rsidRDefault="00000000">
            <w:r>
              <w:rPr>
                <w:b/>
              </w:rPr>
              <w:t>Main contribution</w:t>
            </w:r>
          </w:p>
        </w:tc>
      </w:tr>
      <w:tr w:rsidR="001C703C" w14:paraId="00A609B3" w14:textId="77777777">
        <w:trPr>
          <w:jc w:val="center"/>
        </w:trPr>
        <w:tc>
          <w:tcPr>
            <w:tcW w:w="1872" w:type="dxa"/>
          </w:tcPr>
          <w:p w14:paraId="504EE0FA" w14:textId="77777777" w:rsidR="001C703C" w:rsidRDefault="00000000">
            <w:r>
              <w:t>Coda Moscarola et al. (2016)</w:t>
            </w:r>
          </w:p>
        </w:tc>
        <w:tc>
          <w:tcPr>
            <w:tcW w:w="1872" w:type="dxa"/>
          </w:tcPr>
          <w:p w14:paraId="7D19A75D" w14:textId="77777777" w:rsidR="001C703C" w:rsidRDefault="00000000">
            <w:r>
              <w:t>Italy</w:t>
            </w:r>
          </w:p>
        </w:tc>
        <w:tc>
          <w:tcPr>
            <w:tcW w:w="1872" w:type="dxa"/>
          </w:tcPr>
          <w:p w14:paraId="5C36A51A" w14:textId="77777777" w:rsidR="001C703C" w:rsidRDefault="00000000">
            <w:r>
              <w:t>Labor-policy analysis</w:t>
            </w:r>
          </w:p>
        </w:tc>
        <w:tc>
          <w:tcPr>
            <w:tcW w:w="1872" w:type="dxa"/>
          </w:tcPr>
          <w:p w14:paraId="3768BC46" w14:textId="77777777" w:rsidR="001C703C" w:rsidRDefault="00000000">
            <w:r>
              <w:t>Childcare shortage, absenteeism, pension reform</w:t>
            </w:r>
          </w:p>
        </w:tc>
        <w:tc>
          <w:tcPr>
            <w:tcW w:w="1872" w:type="dxa"/>
          </w:tcPr>
          <w:p w14:paraId="480B9D80" w14:textId="77777777" w:rsidR="001C703C" w:rsidRDefault="00000000">
            <w:r>
              <w:t>Weak care supply can undermine labor reform.</w:t>
            </w:r>
          </w:p>
        </w:tc>
      </w:tr>
      <w:tr w:rsidR="001C703C" w14:paraId="7544696A" w14:textId="77777777">
        <w:trPr>
          <w:jc w:val="center"/>
        </w:trPr>
        <w:tc>
          <w:tcPr>
            <w:tcW w:w="1872" w:type="dxa"/>
          </w:tcPr>
          <w:p w14:paraId="7CCED577" w14:textId="77777777" w:rsidR="001C703C" w:rsidRDefault="00000000">
            <w:r>
              <w:t>Sahin (2025)</w:t>
            </w:r>
          </w:p>
        </w:tc>
        <w:tc>
          <w:tcPr>
            <w:tcW w:w="1872" w:type="dxa"/>
          </w:tcPr>
          <w:p w14:paraId="25E03456" w14:textId="77777777" w:rsidR="001C703C" w:rsidRDefault="00000000">
            <w:r>
              <w:t>Cross-national</w:t>
            </w:r>
          </w:p>
        </w:tc>
        <w:tc>
          <w:tcPr>
            <w:tcW w:w="1872" w:type="dxa"/>
          </w:tcPr>
          <w:p w14:paraId="2544A13C" w14:textId="77777777" w:rsidR="001C703C" w:rsidRDefault="00000000">
            <w:r>
              <w:t>Bayesian analysis</w:t>
            </w:r>
          </w:p>
        </w:tc>
        <w:tc>
          <w:tcPr>
            <w:tcW w:w="1872" w:type="dxa"/>
          </w:tcPr>
          <w:p w14:paraId="54EA340B" w14:textId="77777777" w:rsidR="001C703C" w:rsidRDefault="00000000">
            <w:r>
              <w:t>Female labor-force participation</w:t>
            </w:r>
          </w:p>
        </w:tc>
        <w:tc>
          <w:tcPr>
            <w:tcW w:w="1872" w:type="dxa"/>
          </w:tcPr>
          <w:p w14:paraId="37DB5B25" w14:textId="77777777" w:rsidR="001C703C" w:rsidRDefault="00000000">
            <w:r>
              <w:t>Employment is shaped by institutional and territorial conditions.</w:t>
            </w:r>
          </w:p>
        </w:tc>
      </w:tr>
      <w:tr w:rsidR="001C703C" w14:paraId="5747C41F" w14:textId="77777777">
        <w:trPr>
          <w:jc w:val="center"/>
        </w:trPr>
        <w:tc>
          <w:tcPr>
            <w:tcW w:w="1872" w:type="dxa"/>
          </w:tcPr>
          <w:p w14:paraId="5C8CF294" w14:textId="77777777" w:rsidR="001C703C" w:rsidRDefault="00000000">
            <w:r>
              <w:t>Wang and Liu (2020)</w:t>
            </w:r>
          </w:p>
        </w:tc>
        <w:tc>
          <w:tcPr>
            <w:tcW w:w="1872" w:type="dxa"/>
          </w:tcPr>
          <w:p w14:paraId="26430756" w14:textId="77777777" w:rsidR="001C703C" w:rsidRDefault="00000000">
            <w:r>
              <w:t>China</w:t>
            </w:r>
          </w:p>
        </w:tc>
        <w:tc>
          <w:tcPr>
            <w:tcW w:w="1872" w:type="dxa"/>
          </w:tcPr>
          <w:p w14:paraId="747D3379" w14:textId="77777777" w:rsidR="001C703C" w:rsidRDefault="00000000">
            <w:r>
              <w:t>Welfare analysis</w:t>
            </w:r>
          </w:p>
        </w:tc>
        <w:tc>
          <w:tcPr>
            <w:tcW w:w="1872" w:type="dxa"/>
          </w:tcPr>
          <w:p w14:paraId="022CA2DF" w14:textId="77777777" w:rsidR="001C703C" w:rsidRDefault="00000000">
            <w:r>
              <w:t>Unpaid female care labor</w:t>
            </w:r>
          </w:p>
        </w:tc>
        <w:tc>
          <w:tcPr>
            <w:tcW w:w="1872" w:type="dxa"/>
          </w:tcPr>
          <w:p w14:paraId="0570E682" w14:textId="77777777" w:rsidR="001C703C" w:rsidRDefault="00000000">
            <w:r>
              <w:t>Unpaid care sustains welfare systems while remaining hidden.</w:t>
            </w:r>
          </w:p>
        </w:tc>
      </w:tr>
      <w:tr w:rsidR="001C703C" w14:paraId="18167879" w14:textId="77777777">
        <w:trPr>
          <w:jc w:val="center"/>
        </w:trPr>
        <w:tc>
          <w:tcPr>
            <w:tcW w:w="1872" w:type="dxa"/>
          </w:tcPr>
          <w:p w14:paraId="773BC140" w14:textId="77777777" w:rsidR="001C703C" w:rsidRDefault="00000000">
            <w:r>
              <w:t>Dong and Li (2025)</w:t>
            </w:r>
          </w:p>
        </w:tc>
        <w:tc>
          <w:tcPr>
            <w:tcW w:w="1872" w:type="dxa"/>
          </w:tcPr>
          <w:p w14:paraId="4A71A9AA" w14:textId="77777777" w:rsidR="001C703C" w:rsidRDefault="00000000">
            <w:r>
              <w:t>China</w:t>
            </w:r>
          </w:p>
        </w:tc>
        <w:tc>
          <w:tcPr>
            <w:tcW w:w="1872" w:type="dxa"/>
          </w:tcPr>
          <w:p w14:paraId="0586AA84" w14:textId="77777777" w:rsidR="001C703C" w:rsidRDefault="00000000">
            <w:r>
              <w:t>Difference-in-differences</w:t>
            </w:r>
          </w:p>
        </w:tc>
        <w:tc>
          <w:tcPr>
            <w:tcW w:w="1872" w:type="dxa"/>
          </w:tcPr>
          <w:p w14:paraId="1A482F92" w14:textId="77777777" w:rsidR="001C703C" w:rsidRDefault="00000000">
            <w:r>
              <w:t>Fertility policy and labor supply</w:t>
            </w:r>
          </w:p>
        </w:tc>
        <w:tc>
          <w:tcPr>
            <w:tcW w:w="1872" w:type="dxa"/>
          </w:tcPr>
          <w:p w14:paraId="5E55AE8E" w14:textId="77777777" w:rsidR="001C703C" w:rsidRDefault="00000000">
            <w:r>
              <w:t>Fertility expansion reduced women's labor-force participation.</w:t>
            </w:r>
          </w:p>
        </w:tc>
      </w:tr>
      <w:tr w:rsidR="001C703C" w14:paraId="7B6A2601" w14:textId="77777777">
        <w:trPr>
          <w:jc w:val="center"/>
        </w:trPr>
        <w:tc>
          <w:tcPr>
            <w:tcW w:w="1872" w:type="dxa"/>
          </w:tcPr>
          <w:p w14:paraId="3118693D" w14:textId="77777777" w:rsidR="001C703C" w:rsidRDefault="00000000">
            <w:r>
              <w:t>Cicowiez and Lofgren (2023)</w:t>
            </w:r>
          </w:p>
        </w:tc>
        <w:tc>
          <w:tcPr>
            <w:tcW w:w="1872" w:type="dxa"/>
          </w:tcPr>
          <w:p w14:paraId="108A143E" w14:textId="77777777" w:rsidR="001C703C" w:rsidRDefault="00000000">
            <w:r>
              <w:t>South Korea</w:t>
            </w:r>
          </w:p>
        </w:tc>
        <w:tc>
          <w:tcPr>
            <w:tcW w:w="1872" w:type="dxa"/>
          </w:tcPr>
          <w:p w14:paraId="1C374227" w14:textId="77777777" w:rsidR="001C703C" w:rsidRDefault="00000000">
            <w:r>
              <w:t>CGE model</w:t>
            </w:r>
          </w:p>
        </w:tc>
        <w:tc>
          <w:tcPr>
            <w:tcW w:w="1872" w:type="dxa"/>
          </w:tcPr>
          <w:p w14:paraId="0EF18B6B" w14:textId="77777777" w:rsidR="001C703C" w:rsidRDefault="00000000">
            <w:r>
              <w:t>Child and elderly care expansion</w:t>
            </w:r>
          </w:p>
        </w:tc>
        <w:tc>
          <w:tcPr>
            <w:tcW w:w="1872" w:type="dxa"/>
          </w:tcPr>
          <w:p w14:paraId="637E32A7" w14:textId="77777777" w:rsidR="001C703C" w:rsidRDefault="00000000">
            <w:r>
              <w:t>Care expansion can influence labor supply and wage gaps.</w:t>
            </w:r>
          </w:p>
        </w:tc>
      </w:tr>
      <w:tr w:rsidR="001C703C" w14:paraId="68A1FEFE" w14:textId="77777777">
        <w:trPr>
          <w:jc w:val="center"/>
        </w:trPr>
        <w:tc>
          <w:tcPr>
            <w:tcW w:w="1872" w:type="dxa"/>
          </w:tcPr>
          <w:p w14:paraId="3240DF70" w14:textId="77777777" w:rsidR="001C703C" w:rsidRDefault="00000000">
            <w:r>
              <w:t>Dungdung (2018)</w:t>
            </w:r>
          </w:p>
        </w:tc>
        <w:tc>
          <w:tcPr>
            <w:tcW w:w="1872" w:type="dxa"/>
          </w:tcPr>
          <w:p w14:paraId="7DC894E4" w14:textId="77777777" w:rsidR="001C703C" w:rsidRDefault="00000000">
            <w:r>
              <w:t>India</w:t>
            </w:r>
          </w:p>
        </w:tc>
        <w:tc>
          <w:tcPr>
            <w:tcW w:w="1872" w:type="dxa"/>
          </w:tcPr>
          <w:p w14:paraId="1304DA6E" w14:textId="77777777" w:rsidR="001C703C" w:rsidRDefault="00000000">
            <w:r>
              <w:t>Conceptual labor analysis</w:t>
            </w:r>
          </w:p>
        </w:tc>
        <w:tc>
          <w:tcPr>
            <w:tcW w:w="1872" w:type="dxa"/>
          </w:tcPr>
          <w:p w14:paraId="3C3C5B25" w14:textId="77777777" w:rsidR="001C703C" w:rsidRDefault="00000000">
            <w:r>
              <w:t>Care workforce</w:t>
            </w:r>
          </w:p>
        </w:tc>
        <w:tc>
          <w:tcPr>
            <w:tcW w:w="1872" w:type="dxa"/>
          </w:tcPr>
          <w:p w14:paraId="72816238" w14:textId="77777777" w:rsidR="001C703C" w:rsidRDefault="00000000">
            <w:r>
              <w:t>Care work is part of labor-market transformation.</w:t>
            </w:r>
          </w:p>
        </w:tc>
      </w:tr>
      <w:tr w:rsidR="001C703C" w14:paraId="7C1567BF" w14:textId="77777777">
        <w:trPr>
          <w:jc w:val="center"/>
        </w:trPr>
        <w:tc>
          <w:tcPr>
            <w:tcW w:w="1872" w:type="dxa"/>
          </w:tcPr>
          <w:p w14:paraId="29C051D5" w14:textId="77777777" w:rsidR="001C703C" w:rsidRDefault="00000000">
            <w:r>
              <w:lastRenderedPageBreak/>
              <w:t>Lee and Lim (2024)</w:t>
            </w:r>
          </w:p>
        </w:tc>
        <w:tc>
          <w:tcPr>
            <w:tcW w:w="1872" w:type="dxa"/>
          </w:tcPr>
          <w:p w14:paraId="52102002" w14:textId="77777777" w:rsidR="001C703C" w:rsidRDefault="00000000">
            <w:r>
              <w:t>South Korea</w:t>
            </w:r>
          </w:p>
        </w:tc>
        <w:tc>
          <w:tcPr>
            <w:tcW w:w="1872" w:type="dxa"/>
          </w:tcPr>
          <w:p w14:paraId="4FA8DF71" w14:textId="77777777" w:rsidR="001C703C" w:rsidRDefault="00000000">
            <w:r>
              <w:t>Time-use analysis</w:t>
            </w:r>
          </w:p>
        </w:tc>
        <w:tc>
          <w:tcPr>
            <w:tcW w:w="1872" w:type="dxa"/>
          </w:tcPr>
          <w:p w14:paraId="1C90CF6A" w14:textId="77777777" w:rsidR="001C703C" w:rsidRDefault="00000000">
            <w:r>
              <w:t>Free childcare policy</w:t>
            </w:r>
          </w:p>
        </w:tc>
        <w:tc>
          <w:tcPr>
            <w:tcW w:w="1872" w:type="dxa"/>
          </w:tcPr>
          <w:p w14:paraId="7A71D56B" w14:textId="77777777" w:rsidR="001C703C" w:rsidRDefault="00000000">
            <w:r>
              <w:t>Free childcare increased working hours among married mothers.</w:t>
            </w:r>
          </w:p>
        </w:tc>
      </w:tr>
      <w:tr w:rsidR="001C703C" w14:paraId="0F1666AF" w14:textId="77777777">
        <w:trPr>
          <w:jc w:val="center"/>
        </w:trPr>
        <w:tc>
          <w:tcPr>
            <w:tcW w:w="1872" w:type="dxa"/>
          </w:tcPr>
          <w:p w14:paraId="5C3A1095" w14:textId="77777777" w:rsidR="001C703C" w:rsidRDefault="00000000">
            <w:r>
              <w:t>Moussie and Alfers (2018)</w:t>
            </w:r>
          </w:p>
        </w:tc>
        <w:tc>
          <w:tcPr>
            <w:tcW w:w="1872" w:type="dxa"/>
          </w:tcPr>
          <w:p w14:paraId="3A9B0A42" w14:textId="77777777" w:rsidR="001C703C" w:rsidRDefault="00000000">
            <w:r>
              <w:t>Sub-Saharan Africa</w:t>
            </w:r>
          </w:p>
        </w:tc>
        <w:tc>
          <w:tcPr>
            <w:tcW w:w="1872" w:type="dxa"/>
          </w:tcPr>
          <w:p w14:paraId="68E54F8E" w14:textId="77777777" w:rsidR="001C703C" w:rsidRDefault="00000000">
            <w:r>
              <w:t>Policy analysis</w:t>
            </w:r>
          </w:p>
        </w:tc>
        <w:tc>
          <w:tcPr>
            <w:tcW w:w="1872" w:type="dxa"/>
          </w:tcPr>
          <w:p w14:paraId="4029E2A9" w14:textId="77777777" w:rsidR="001C703C" w:rsidRDefault="00000000">
            <w:r>
              <w:t>Women informal workers</w:t>
            </w:r>
          </w:p>
        </w:tc>
        <w:tc>
          <w:tcPr>
            <w:tcW w:w="1872" w:type="dxa"/>
          </w:tcPr>
          <w:p w14:paraId="21E952B3" w14:textId="77777777" w:rsidR="001C703C" w:rsidRDefault="00000000">
            <w:r>
              <w:t>Childcare is a public-service and social-protection demand.</w:t>
            </w:r>
          </w:p>
        </w:tc>
      </w:tr>
      <w:tr w:rsidR="001C703C" w14:paraId="356CE2B7" w14:textId="77777777">
        <w:trPr>
          <w:jc w:val="center"/>
        </w:trPr>
        <w:tc>
          <w:tcPr>
            <w:tcW w:w="1872" w:type="dxa"/>
          </w:tcPr>
          <w:p w14:paraId="696E1041" w14:textId="77777777" w:rsidR="001C703C" w:rsidRDefault="00000000">
            <w:r>
              <w:t>Nakray (2024)</w:t>
            </w:r>
          </w:p>
        </w:tc>
        <w:tc>
          <w:tcPr>
            <w:tcW w:w="1872" w:type="dxa"/>
          </w:tcPr>
          <w:p w14:paraId="3E726ECC" w14:textId="77777777" w:rsidR="001C703C" w:rsidRDefault="00000000">
            <w:r>
              <w:t>Middle-income countries</w:t>
            </w:r>
          </w:p>
        </w:tc>
        <w:tc>
          <w:tcPr>
            <w:tcW w:w="1872" w:type="dxa"/>
          </w:tcPr>
          <w:p w14:paraId="47115223" w14:textId="77777777" w:rsidR="001C703C" w:rsidRDefault="00000000">
            <w:r>
              <w:t>Welfare-regime analysis</w:t>
            </w:r>
          </w:p>
        </w:tc>
        <w:tc>
          <w:tcPr>
            <w:tcW w:w="1872" w:type="dxa"/>
          </w:tcPr>
          <w:p w14:paraId="7E88F43C" w14:textId="77777777" w:rsidR="001C703C" w:rsidRDefault="00000000">
            <w:r>
              <w:t>Gender-sensitive fiscal and social policy</w:t>
            </w:r>
          </w:p>
        </w:tc>
        <w:tc>
          <w:tcPr>
            <w:tcW w:w="1872" w:type="dxa"/>
          </w:tcPr>
          <w:p w14:paraId="670E94BC" w14:textId="77777777" w:rsidR="001C703C" w:rsidRDefault="00000000">
            <w:r>
              <w:t>Unpaid family work should be included in social-policy analysis.</w:t>
            </w:r>
          </w:p>
        </w:tc>
      </w:tr>
      <w:tr w:rsidR="001C703C" w14:paraId="62746853" w14:textId="77777777">
        <w:trPr>
          <w:jc w:val="center"/>
        </w:trPr>
        <w:tc>
          <w:tcPr>
            <w:tcW w:w="1872" w:type="dxa"/>
          </w:tcPr>
          <w:p w14:paraId="2D4247F8" w14:textId="77777777" w:rsidR="001C703C" w:rsidRDefault="00000000">
            <w:r>
              <w:t>Hwang et al. (2025)</w:t>
            </w:r>
          </w:p>
        </w:tc>
        <w:tc>
          <w:tcPr>
            <w:tcW w:w="1872" w:type="dxa"/>
          </w:tcPr>
          <w:p w14:paraId="62CFC57D" w14:textId="77777777" w:rsidR="001C703C" w:rsidRDefault="00000000">
            <w:r>
              <w:t>South Korea</w:t>
            </w:r>
          </w:p>
        </w:tc>
        <w:tc>
          <w:tcPr>
            <w:tcW w:w="1872" w:type="dxa"/>
          </w:tcPr>
          <w:p w14:paraId="57D848CA" w14:textId="77777777" w:rsidR="001C703C" w:rsidRDefault="00000000">
            <w:r>
              <w:t>Cross-sectional study</w:t>
            </w:r>
          </w:p>
        </w:tc>
        <w:tc>
          <w:tcPr>
            <w:tcW w:w="1872" w:type="dxa"/>
          </w:tcPr>
          <w:p w14:paraId="1F6D5B4E" w14:textId="77777777" w:rsidR="001C703C" w:rsidRDefault="00000000">
            <w:r>
              <w:t>Nurses with young children</w:t>
            </w:r>
          </w:p>
        </w:tc>
        <w:tc>
          <w:tcPr>
            <w:tcW w:w="1872" w:type="dxa"/>
          </w:tcPr>
          <w:p w14:paraId="415484B8" w14:textId="77777777" w:rsidR="001C703C" w:rsidRDefault="00000000">
            <w:r>
              <w:t>Irregular shifts and job demands intensify parenting stress.</w:t>
            </w:r>
          </w:p>
        </w:tc>
      </w:tr>
      <w:tr w:rsidR="001C703C" w14:paraId="10EE3918" w14:textId="77777777">
        <w:trPr>
          <w:jc w:val="center"/>
        </w:trPr>
        <w:tc>
          <w:tcPr>
            <w:tcW w:w="1872" w:type="dxa"/>
          </w:tcPr>
          <w:p w14:paraId="26D31E0F" w14:textId="77777777" w:rsidR="001C703C" w:rsidRDefault="00000000">
            <w:r>
              <w:t>Siriopoulos and Kassapi (2023)</w:t>
            </w:r>
          </w:p>
        </w:tc>
        <w:tc>
          <w:tcPr>
            <w:tcW w:w="1872" w:type="dxa"/>
          </w:tcPr>
          <w:p w14:paraId="0C34DA21" w14:textId="77777777" w:rsidR="001C703C" w:rsidRDefault="00000000">
            <w:r>
              <w:t>Greece</w:t>
            </w:r>
          </w:p>
        </w:tc>
        <w:tc>
          <w:tcPr>
            <w:tcW w:w="1872" w:type="dxa"/>
          </w:tcPr>
          <w:p w14:paraId="62A0CBB3" w14:textId="77777777" w:rsidR="001C703C" w:rsidRDefault="00000000">
            <w:r>
              <w:t>Regional analysis</w:t>
            </w:r>
          </w:p>
        </w:tc>
        <w:tc>
          <w:tcPr>
            <w:tcW w:w="1872" w:type="dxa"/>
          </w:tcPr>
          <w:p w14:paraId="4DB37635" w14:textId="77777777" w:rsidR="001C703C" w:rsidRDefault="00000000">
            <w:r>
              <w:t>Daycare vouchers and mothers' work</w:t>
            </w:r>
          </w:p>
        </w:tc>
        <w:tc>
          <w:tcPr>
            <w:tcW w:w="1872" w:type="dxa"/>
          </w:tcPr>
          <w:p w14:paraId="78CAA378" w14:textId="77777777" w:rsidR="001C703C" w:rsidRDefault="00000000">
            <w:r>
              <w:t>Subsidized daycare is tied to work-family reconciliation.</w:t>
            </w:r>
          </w:p>
        </w:tc>
      </w:tr>
      <w:tr w:rsidR="001C703C" w14:paraId="7B8D0E0C" w14:textId="77777777">
        <w:trPr>
          <w:jc w:val="center"/>
        </w:trPr>
        <w:tc>
          <w:tcPr>
            <w:tcW w:w="1872" w:type="dxa"/>
          </w:tcPr>
          <w:p w14:paraId="1E1102FF" w14:textId="77777777" w:rsidR="001C703C" w:rsidRDefault="00000000">
            <w:r>
              <w:t>Simcic (2025)</w:t>
            </w:r>
          </w:p>
        </w:tc>
        <w:tc>
          <w:tcPr>
            <w:tcW w:w="1872" w:type="dxa"/>
          </w:tcPr>
          <w:p w14:paraId="0DACA9BC" w14:textId="77777777" w:rsidR="001C703C" w:rsidRDefault="00000000">
            <w:r>
              <w:t>Croatia</w:t>
            </w:r>
          </w:p>
        </w:tc>
        <w:tc>
          <w:tcPr>
            <w:tcW w:w="1872" w:type="dxa"/>
          </w:tcPr>
          <w:p w14:paraId="33F85482" w14:textId="77777777" w:rsidR="001C703C" w:rsidRDefault="00000000">
            <w:r>
              <w:t>Policy analysis</w:t>
            </w:r>
          </w:p>
        </w:tc>
        <w:tc>
          <w:tcPr>
            <w:tcW w:w="1872" w:type="dxa"/>
          </w:tcPr>
          <w:p w14:paraId="58CED671" w14:textId="77777777" w:rsidR="001C703C" w:rsidRDefault="00000000">
            <w:r>
              <w:t>Parental leave and ECEC gap</w:t>
            </w:r>
          </w:p>
        </w:tc>
        <w:tc>
          <w:tcPr>
            <w:tcW w:w="1872" w:type="dxa"/>
          </w:tcPr>
          <w:p w14:paraId="12059761" w14:textId="77777777" w:rsidR="001C703C" w:rsidRDefault="00000000">
            <w:r>
              <w:t>Care-policy timing can destabilize return to work.</w:t>
            </w:r>
          </w:p>
        </w:tc>
      </w:tr>
      <w:tr w:rsidR="001C703C" w14:paraId="0A6A5CC4" w14:textId="77777777">
        <w:trPr>
          <w:jc w:val="center"/>
        </w:trPr>
        <w:tc>
          <w:tcPr>
            <w:tcW w:w="1872" w:type="dxa"/>
          </w:tcPr>
          <w:p w14:paraId="6D60C9D5" w14:textId="77777777" w:rsidR="001C703C" w:rsidRDefault="00000000">
            <w:r>
              <w:t>Da Roit et al. (2019)</w:t>
            </w:r>
          </w:p>
        </w:tc>
        <w:tc>
          <w:tcPr>
            <w:tcW w:w="1872" w:type="dxa"/>
          </w:tcPr>
          <w:p w14:paraId="352BEABD" w14:textId="77777777" w:rsidR="001C703C" w:rsidRDefault="00000000">
            <w:r>
              <w:t>Italy</w:t>
            </w:r>
          </w:p>
        </w:tc>
        <w:tc>
          <w:tcPr>
            <w:tcW w:w="1872" w:type="dxa"/>
          </w:tcPr>
          <w:p w14:paraId="70D91FF6" w14:textId="77777777" w:rsidR="001C703C" w:rsidRDefault="00000000">
            <w:r>
              <w:t>Subnational comparative analysis</w:t>
            </w:r>
          </w:p>
        </w:tc>
        <w:tc>
          <w:tcPr>
            <w:tcW w:w="1872" w:type="dxa"/>
          </w:tcPr>
          <w:p w14:paraId="54AC0F43" w14:textId="77777777" w:rsidR="001C703C" w:rsidRDefault="00000000">
            <w:r>
              <w:t>ECEC development</w:t>
            </w:r>
          </w:p>
        </w:tc>
        <w:tc>
          <w:tcPr>
            <w:tcW w:w="1872" w:type="dxa"/>
          </w:tcPr>
          <w:p w14:paraId="67D25095" w14:textId="77777777" w:rsidR="001C703C" w:rsidRDefault="00000000">
            <w:r>
              <w:t>Local service capacity varies within national systems.</w:t>
            </w:r>
          </w:p>
        </w:tc>
      </w:tr>
      <w:tr w:rsidR="001C703C" w14:paraId="6EB51505" w14:textId="77777777">
        <w:trPr>
          <w:jc w:val="center"/>
        </w:trPr>
        <w:tc>
          <w:tcPr>
            <w:tcW w:w="1872" w:type="dxa"/>
          </w:tcPr>
          <w:p w14:paraId="2D758F9D" w14:textId="77777777" w:rsidR="001C703C" w:rsidRDefault="00000000">
            <w:r>
              <w:lastRenderedPageBreak/>
              <w:t>Bordone et al. (2017)</w:t>
            </w:r>
          </w:p>
        </w:tc>
        <w:tc>
          <w:tcPr>
            <w:tcW w:w="1872" w:type="dxa"/>
          </w:tcPr>
          <w:p w14:paraId="12134DA9" w14:textId="77777777" w:rsidR="001C703C" w:rsidRDefault="00000000">
            <w:r>
              <w:t>Europe</w:t>
            </w:r>
          </w:p>
        </w:tc>
        <w:tc>
          <w:tcPr>
            <w:tcW w:w="1872" w:type="dxa"/>
          </w:tcPr>
          <w:p w14:paraId="0996F4C9" w14:textId="77777777" w:rsidR="001C703C" w:rsidRDefault="00000000">
            <w:r>
              <w:t>Comparative analysis</w:t>
            </w:r>
          </w:p>
        </w:tc>
        <w:tc>
          <w:tcPr>
            <w:tcW w:w="1872" w:type="dxa"/>
          </w:tcPr>
          <w:p w14:paraId="7F3972D2" w14:textId="77777777" w:rsidR="001C703C" w:rsidRDefault="00000000">
            <w:r>
              <w:t>Grandparental childcare</w:t>
            </w:r>
          </w:p>
        </w:tc>
        <w:tc>
          <w:tcPr>
            <w:tcW w:w="1872" w:type="dxa"/>
          </w:tcPr>
          <w:p w14:paraId="59F6DE25" w14:textId="77777777" w:rsidR="001C703C" w:rsidRDefault="00000000">
            <w:r>
              <w:t>Informal care varies with policy context and maternal need.</w:t>
            </w:r>
          </w:p>
        </w:tc>
      </w:tr>
      <w:tr w:rsidR="001C703C" w14:paraId="519D365B" w14:textId="77777777">
        <w:trPr>
          <w:jc w:val="center"/>
        </w:trPr>
        <w:tc>
          <w:tcPr>
            <w:tcW w:w="1872" w:type="dxa"/>
          </w:tcPr>
          <w:p w14:paraId="33F44A04" w14:textId="77777777" w:rsidR="001C703C" w:rsidRDefault="00000000">
            <w:r>
              <w:t>Zhong and Peng (2020)</w:t>
            </w:r>
          </w:p>
        </w:tc>
        <w:tc>
          <w:tcPr>
            <w:tcW w:w="1872" w:type="dxa"/>
          </w:tcPr>
          <w:p w14:paraId="3DC85631" w14:textId="77777777" w:rsidR="001C703C" w:rsidRDefault="00000000">
            <w:r>
              <w:t>China</w:t>
            </w:r>
          </w:p>
        </w:tc>
        <w:tc>
          <w:tcPr>
            <w:tcW w:w="1872" w:type="dxa"/>
          </w:tcPr>
          <w:p w14:paraId="499F6E5E" w14:textId="77777777" w:rsidR="001C703C" w:rsidRDefault="00000000">
            <w:r>
              <w:t>Qualitative study</w:t>
            </w:r>
          </w:p>
        </w:tc>
        <w:tc>
          <w:tcPr>
            <w:tcW w:w="1872" w:type="dxa"/>
          </w:tcPr>
          <w:p w14:paraId="0459DA74" w14:textId="77777777" w:rsidR="001C703C" w:rsidRDefault="00000000">
            <w:r>
              <w:t>Grandmothers and urban mothers</w:t>
            </w:r>
          </w:p>
        </w:tc>
        <w:tc>
          <w:tcPr>
            <w:tcW w:w="1872" w:type="dxa"/>
          </w:tcPr>
          <w:p w14:paraId="061E4081" w14:textId="77777777" w:rsidR="001C703C" w:rsidRDefault="00000000">
            <w:r>
              <w:t>Weak public care increases reliance on grandmothers.</w:t>
            </w:r>
          </w:p>
        </w:tc>
      </w:tr>
      <w:tr w:rsidR="001C703C" w14:paraId="74B7838A" w14:textId="77777777">
        <w:trPr>
          <w:jc w:val="center"/>
        </w:trPr>
        <w:tc>
          <w:tcPr>
            <w:tcW w:w="1872" w:type="dxa"/>
          </w:tcPr>
          <w:p w14:paraId="173B2251" w14:textId="77777777" w:rsidR="001C703C" w:rsidRDefault="00000000">
            <w:r>
              <w:t>Averill et al. (2025)</w:t>
            </w:r>
          </w:p>
        </w:tc>
        <w:tc>
          <w:tcPr>
            <w:tcW w:w="1872" w:type="dxa"/>
          </w:tcPr>
          <w:p w14:paraId="52A04E6C" w14:textId="77777777" w:rsidR="001C703C" w:rsidRDefault="00000000">
            <w:r>
              <w:t>United States</w:t>
            </w:r>
          </w:p>
        </w:tc>
        <w:tc>
          <w:tcPr>
            <w:tcW w:w="1872" w:type="dxa"/>
          </w:tcPr>
          <w:p w14:paraId="6AED6CA2" w14:textId="77777777" w:rsidR="001C703C" w:rsidRDefault="00000000">
            <w:r>
              <w:t>Professional-policy analysis</w:t>
            </w:r>
          </w:p>
        </w:tc>
        <w:tc>
          <w:tcPr>
            <w:tcW w:w="1872" w:type="dxa"/>
          </w:tcPr>
          <w:p w14:paraId="316D762B" w14:textId="77777777" w:rsidR="001C703C" w:rsidRDefault="00000000">
            <w:r>
              <w:t>Radiologists' childcare barriers</w:t>
            </w:r>
          </w:p>
        </w:tc>
        <w:tc>
          <w:tcPr>
            <w:tcW w:w="1872" w:type="dxa"/>
          </w:tcPr>
          <w:p w14:paraId="4F5B1813" w14:textId="77777777" w:rsidR="001C703C" w:rsidRDefault="00000000">
            <w:r>
              <w:t>Access, affordability, and quality remain barriers.</w:t>
            </w:r>
          </w:p>
        </w:tc>
      </w:tr>
      <w:tr w:rsidR="001C703C" w14:paraId="1FA21F4C" w14:textId="77777777">
        <w:trPr>
          <w:jc w:val="center"/>
        </w:trPr>
        <w:tc>
          <w:tcPr>
            <w:tcW w:w="1872" w:type="dxa"/>
          </w:tcPr>
          <w:p w14:paraId="3F3E41E4" w14:textId="77777777" w:rsidR="001C703C" w:rsidRDefault="00000000">
            <w:r>
              <w:t>Mat Pozian et al. (2024)</w:t>
            </w:r>
          </w:p>
        </w:tc>
        <w:tc>
          <w:tcPr>
            <w:tcW w:w="1872" w:type="dxa"/>
          </w:tcPr>
          <w:p w14:paraId="52728BF0" w14:textId="77777777" w:rsidR="001C703C" w:rsidRDefault="00000000">
            <w:r>
              <w:t>Malaysia</w:t>
            </w:r>
          </w:p>
        </w:tc>
        <w:tc>
          <w:tcPr>
            <w:tcW w:w="1872" w:type="dxa"/>
          </w:tcPr>
          <w:p w14:paraId="0F6F544D" w14:textId="77777777" w:rsidR="001C703C" w:rsidRDefault="00000000">
            <w:r>
              <w:t>Survey study</w:t>
            </w:r>
          </w:p>
        </w:tc>
        <w:tc>
          <w:tcPr>
            <w:tcW w:w="1872" w:type="dxa"/>
          </w:tcPr>
          <w:p w14:paraId="3D01C6D8" w14:textId="77777777" w:rsidR="001C703C" w:rsidRDefault="00000000">
            <w:r>
              <w:t>Family-friendly work conditions</w:t>
            </w:r>
          </w:p>
        </w:tc>
        <w:tc>
          <w:tcPr>
            <w:tcW w:w="1872" w:type="dxa"/>
          </w:tcPr>
          <w:p w14:paraId="08362124" w14:textId="77777777" w:rsidR="001C703C" w:rsidRDefault="00000000">
            <w:r>
              <w:t>Work support is associated with women's well-being.</w:t>
            </w:r>
          </w:p>
        </w:tc>
      </w:tr>
      <w:tr w:rsidR="001C703C" w14:paraId="4F7A1731" w14:textId="77777777">
        <w:trPr>
          <w:jc w:val="center"/>
        </w:trPr>
        <w:tc>
          <w:tcPr>
            <w:tcW w:w="1872" w:type="dxa"/>
          </w:tcPr>
          <w:p w14:paraId="29976972" w14:textId="77777777" w:rsidR="001C703C" w:rsidRDefault="00000000">
            <w:r>
              <w:t>AbuMezied and Sawafta (2022)</w:t>
            </w:r>
          </w:p>
        </w:tc>
        <w:tc>
          <w:tcPr>
            <w:tcW w:w="1872" w:type="dxa"/>
          </w:tcPr>
          <w:p w14:paraId="30B51527" w14:textId="77777777" w:rsidR="001C703C" w:rsidRDefault="00000000">
            <w:r>
              <w:t>Occupied Palestinian Territory</w:t>
            </w:r>
          </w:p>
        </w:tc>
        <w:tc>
          <w:tcPr>
            <w:tcW w:w="1872" w:type="dxa"/>
          </w:tcPr>
          <w:p w14:paraId="2DF951BC" w14:textId="77777777" w:rsidR="001C703C" w:rsidRDefault="00000000">
            <w:r>
              <w:t>Policy analysis</w:t>
            </w:r>
          </w:p>
        </w:tc>
        <w:tc>
          <w:tcPr>
            <w:tcW w:w="1872" w:type="dxa"/>
          </w:tcPr>
          <w:p w14:paraId="50C16799" w14:textId="77777777" w:rsidR="001C703C" w:rsidRDefault="00000000">
            <w:r>
              <w:t>Care policy in austerity/conflict</w:t>
            </w:r>
          </w:p>
        </w:tc>
        <w:tc>
          <w:tcPr>
            <w:tcW w:w="1872" w:type="dxa"/>
          </w:tcPr>
          <w:p w14:paraId="26B02B4E" w14:textId="77777777" w:rsidR="001C703C" w:rsidRDefault="00000000">
            <w:r>
              <w:t>Care policy is important in fragile settings.</w:t>
            </w:r>
          </w:p>
        </w:tc>
      </w:tr>
      <w:tr w:rsidR="001C703C" w14:paraId="0D227893" w14:textId="77777777">
        <w:trPr>
          <w:jc w:val="center"/>
        </w:trPr>
        <w:tc>
          <w:tcPr>
            <w:tcW w:w="1872" w:type="dxa"/>
          </w:tcPr>
          <w:p w14:paraId="19D8940F" w14:textId="77777777" w:rsidR="001C703C" w:rsidRDefault="00000000">
            <w:r>
              <w:t>Varsa (2017)</w:t>
            </w:r>
          </w:p>
        </w:tc>
        <w:tc>
          <w:tcPr>
            <w:tcW w:w="1872" w:type="dxa"/>
          </w:tcPr>
          <w:p w14:paraId="24B4D473" w14:textId="77777777" w:rsidR="001C703C" w:rsidRDefault="00000000">
            <w:r>
              <w:t>Hungary</w:t>
            </w:r>
          </w:p>
        </w:tc>
        <w:tc>
          <w:tcPr>
            <w:tcW w:w="1872" w:type="dxa"/>
          </w:tcPr>
          <w:p w14:paraId="484700D1" w14:textId="77777777" w:rsidR="001C703C" w:rsidRDefault="00000000">
            <w:r>
              <w:t>Historical analysis</w:t>
            </w:r>
          </w:p>
        </w:tc>
        <w:tc>
          <w:tcPr>
            <w:tcW w:w="1872" w:type="dxa"/>
          </w:tcPr>
          <w:p w14:paraId="66F71EE0" w14:textId="77777777" w:rsidR="001C703C" w:rsidRDefault="00000000">
            <w:r>
              <w:t>State care and women's paid work</w:t>
            </w:r>
          </w:p>
        </w:tc>
        <w:tc>
          <w:tcPr>
            <w:tcW w:w="1872" w:type="dxa"/>
          </w:tcPr>
          <w:p w14:paraId="3168661F" w14:textId="77777777" w:rsidR="001C703C" w:rsidRDefault="00000000">
            <w:r>
              <w:t>Women's paid work depends on state approaches to childcare.</w:t>
            </w:r>
          </w:p>
        </w:tc>
      </w:tr>
      <w:tr w:rsidR="001C703C" w14:paraId="547095AA" w14:textId="77777777">
        <w:trPr>
          <w:jc w:val="center"/>
        </w:trPr>
        <w:tc>
          <w:tcPr>
            <w:tcW w:w="1872" w:type="dxa"/>
          </w:tcPr>
          <w:p w14:paraId="7E78538D" w14:textId="77777777" w:rsidR="001C703C" w:rsidRDefault="00000000">
            <w:r>
              <w:t>Hagiwara (2025)</w:t>
            </w:r>
          </w:p>
        </w:tc>
        <w:tc>
          <w:tcPr>
            <w:tcW w:w="1872" w:type="dxa"/>
          </w:tcPr>
          <w:p w14:paraId="692A323E" w14:textId="77777777" w:rsidR="001C703C" w:rsidRDefault="00000000">
            <w:r>
              <w:t>Japan/macroeconomic</w:t>
            </w:r>
          </w:p>
        </w:tc>
        <w:tc>
          <w:tcPr>
            <w:tcW w:w="1872" w:type="dxa"/>
          </w:tcPr>
          <w:p w14:paraId="12D675A1" w14:textId="77777777" w:rsidR="001C703C" w:rsidRDefault="00000000">
            <w:r>
              <w:t>Policy modeling</w:t>
            </w:r>
          </w:p>
        </w:tc>
        <w:tc>
          <w:tcPr>
            <w:tcW w:w="1872" w:type="dxa"/>
          </w:tcPr>
          <w:p w14:paraId="486B53B1" w14:textId="77777777" w:rsidR="001C703C" w:rsidRDefault="00000000">
            <w:r>
              <w:t>Cash transfers versus in-kind benefits</w:t>
            </w:r>
          </w:p>
        </w:tc>
        <w:tc>
          <w:tcPr>
            <w:tcW w:w="1872" w:type="dxa"/>
          </w:tcPr>
          <w:p w14:paraId="58767B9A" w14:textId="77777777" w:rsidR="001C703C" w:rsidRDefault="00000000">
            <w:r>
              <w:t>Direct childcare services can reduce time constraints.</w:t>
            </w:r>
          </w:p>
        </w:tc>
      </w:tr>
      <w:tr w:rsidR="001C703C" w14:paraId="6487F99B" w14:textId="77777777">
        <w:trPr>
          <w:jc w:val="center"/>
        </w:trPr>
        <w:tc>
          <w:tcPr>
            <w:tcW w:w="1872" w:type="dxa"/>
          </w:tcPr>
          <w:p w14:paraId="7E2A88F9" w14:textId="77777777" w:rsidR="001C703C" w:rsidRDefault="00000000">
            <w:r>
              <w:t>Aydin et al. (2025)</w:t>
            </w:r>
          </w:p>
        </w:tc>
        <w:tc>
          <w:tcPr>
            <w:tcW w:w="1872" w:type="dxa"/>
          </w:tcPr>
          <w:p w14:paraId="40D5C014" w14:textId="77777777" w:rsidR="001C703C" w:rsidRDefault="00000000">
            <w:r>
              <w:t>Turkey</w:t>
            </w:r>
          </w:p>
        </w:tc>
        <w:tc>
          <w:tcPr>
            <w:tcW w:w="1872" w:type="dxa"/>
          </w:tcPr>
          <w:p w14:paraId="63369069" w14:textId="77777777" w:rsidR="001C703C" w:rsidRDefault="00000000">
            <w:r>
              <w:t>Cross-sectional study</w:t>
            </w:r>
          </w:p>
        </w:tc>
        <w:tc>
          <w:tcPr>
            <w:tcW w:w="1872" w:type="dxa"/>
          </w:tcPr>
          <w:p w14:paraId="3F4F017C" w14:textId="77777777" w:rsidR="001C703C" w:rsidRDefault="00000000">
            <w:r>
              <w:t>Mothers' mental health and support</w:t>
            </w:r>
          </w:p>
        </w:tc>
        <w:tc>
          <w:tcPr>
            <w:tcW w:w="1872" w:type="dxa"/>
          </w:tcPr>
          <w:p w14:paraId="54F8B6C1" w14:textId="77777777" w:rsidR="001C703C" w:rsidRDefault="00000000">
            <w:r>
              <w:t xml:space="preserve">Employment, social support, and maternal well-being </w:t>
            </w:r>
            <w:r>
              <w:lastRenderedPageBreak/>
              <w:t>intersect.</w:t>
            </w:r>
          </w:p>
        </w:tc>
      </w:tr>
      <w:tr w:rsidR="001C703C" w14:paraId="24C5F89B" w14:textId="77777777">
        <w:trPr>
          <w:jc w:val="center"/>
        </w:trPr>
        <w:tc>
          <w:tcPr>
            <w:tcW w:w="1872" w:type="dxa"/>
          </w:tcPr>
          <w:p w14:paraId="4F7F93F0" w14:textId="77777777" w:rsidR="001C703C" w:rsidRDefault="00000000">
            <w:r>
              <w:lastRenderedPageBreak/>
              <w:t>Iida (2024)</w:t>
            </w:r>
          </w:p>
        </w:tc>
        <w:tc>
          <w:tcPr>
            <w:tcW w:w="1872" w:type="dxa"/>
          </w:tcPr>
          <w:p w14:paraId="6C5B35DA" w14:textId="77777777" w:rsidR="001C703C" w:rsidRDefault="00000000">
            <w:r>
              <w:t>Japan</w:t>
            </w:r>
          </w:p>
        </w:tc>
        <w:tc>
          <w:tcPr>
            <w:tcW w:w="1872" w:type="dxa"/>
          </w:tcPr>
          <w:p w14:paraId="022DD9F8" w14:textId="77777777" w:rsidR="001C703C" w:rsidRDefault="00000000">
            <w:r>
              <w:t>Qualitative/conceptual study</w:t>
            </w:r>
          </w:p>
        </w:tc>
        <w:tc>
          <w:tcPr>
            <w:tcW w:w="1872" w:type="dxa"/>
          </w:tcPr>
          <w:p w14:paraId="340FB69E" w14:textId="77777777" w:rsidR="001C703C" w:rsidRDefault="00000000">
            <w:r>
              <w:t>Professional women's advancement</w:t>
            </w:r>
          </w:p>
        </w:tc>
        <w:tc>
          <w:tcPr>
            <w:tcW w:w="1872" w:type="dxa"/>
          </w:tcPr>
          <w:p w14:paraId="59DD95BA" w14:textId="77777777" w:rsidR="001C703C" w:rsidRDefault="00000000">
            <w:r>
              <w:t>Formal employment does not remove care-related gender norms.</w:t>
            </w:r>
          </w:p>
        </w:tc>
      </w:tr>
      <w:tr w:rsidR="001C703C" w14:paraId="6AD22ABE" w14:textId="77777777">
        <w:trPr>
          <w:jc w:val="center"/>
        </w:trPr>
        <w:tc>
          <w:tcPr>
            <w:tcW w:w="1872" w:type="dxa"/>
          </w:tcPr>
          <w:p w14:paraId="59DF2BB2" w14:textId="77777777" w:rsidR="001C703C" w:rsidRDefault="00000000">
            <w:r>
              <w:t>Garcia et al. (2025)</w:t>
            </w:r>
          </w:p>
        </w:tc>
        <w:tc>
          <w:tcPr>
            <w:tcW w:w="1872" w:type="dxa"/>
          </w:tcPr>
          <w:p w14:paraId="619C4040" w14:textId="77777777" w:rsidR="001C703C" w:rsidRDefault="00000000">
            <w:r>
              <w:t>Organizational contexts</w:t>
            </w:r>
          </w:p>
        </w:tc>
        <w:tc>
          <w:tcPr>
            <w:tcW w:w="1872" w:type="dxa"/>
          </w:tcPr>
          <w:p w14:paraId="4259C95E" w14:textId="77777777" w:rsidR="001C703C" w:rsidRDefault="00000000">
            <w:r>
              <w:t>Empirical HRM study</w:t>
            </w:r>
          </w:p>
        </w:tc>
        <w:tc>
          <w:tcPr>
            <w:tcW w:w="1872" w:type="dxa"/>
          </w:tcPr>
          <w:p w14:paraId="098EE721" w14:textId="77777777" w:rsidR="001C703C" w:rsidRDefault="00000000">
            <w:r>
              <w:t>SDG 5 and work-life balance</w:t>
            </w:r>
          </w:p>
        </w:tc>
        <w:tc>
          <w:tcPr>
            <w:tcW w:w="1872" w:type="dxa"/>
          </w:tcPr>
          <w:p w14:paraId="4A459782" w14:textId="77777777" w:rsidR="001C703C" w:rsidRDefault="00000000">
            <w:r>
              <w:t>Gender-equality practices are linked to social performance.</w:t>
            </w:r>
          </w:p>
        </w:tc>
      </w:tr>
      <w:tr w:rsidR="001C703C" w14:paraId="26A8EA17" w14:textId="77777777">
        <w:trPr>
          <w:jc w:val="center"/>
        </w:trPr>
        <w:tc>
          <w:tcPr>
            <w:tcW w:w="1872" w:type="dxa"/>
          </w:tcPr>
          <w:p w14:paraId="1BBEB708" w14:textId="77777777" w:rsidR="001C703C" w:rsidRDefault="00000000">
            <w:r>
              <w:t>Kim and Peterson (2020)</w:t>
            </w:r>
          </w:p>
        </w:tc>
        <w:tc>
          <w:tcPr>
            <w:tcW w:w="1872" w:type="dxa"/>
          </w:tcPr>
          <w:p w14:paraId="7E80790E" w14:textId="77777777" w:rsidR="001C703C" w:rsidRDefault="00000000">
            <w:r>
              <w:t>United States</w:t>
            </w:r>
          </w:p>
        </w:tc>
        <w:tc>
          <w:tcPr>
            <w:tcW w:w="1872" w:type="dxa"/>
          </w:tcPr>
          <w:p w14:paraId="21B11569" w14:textId="77777777" w:rsidR="001C703C" w:rsidRDefault="00000000">
            <w:r>
              <w:t>Health and justice study</w:t>
            </w:r>
          </w:p>
        </w:tc>
        <w:tc>
          <w:tcPr>
            <w:tcW w:w="1872" w:type="dxa"/>
          </w:tcPr>
          <w:p w14:paraId="218F126C" w14:textId="77777777" w:rsidR="001C703C" w:rsidRDefault="00000000">
            <w:r>
              <w:t>Gendered and devalued work</w:t>
            </w:r>
          </w:p>
        </w:tc>
        <w:tc>
          <w:tcPr>
            <w:tcW w:w="1872" w:type="dxa"/>
          </w:tcPr>
          <w:p w14:paraId="08C27255" w14:textId="77777777" w:rsidR="001C703C" w:rsidRDefault="00000000">
            <w:r>
              <w:t>Devalued care/service work affects health and dignity.</w:t>
            </w:r>
          </w:p>
        </w:tc>
      </w:tr>
      <w:tr w:rsidR="001C703C" w14:paraId="1231B29D" w14:textId="77777777">
        <w:trPr>
          <w:jc w:val="center"/>
        </w:trPr>
        <w:tc>
          <w:tcPr>
            <w:tcW w:w="1872" w:type="dxa"/>
          </w:tcPr>
          <w:p w14:paraId="39294B93" w14:textId="77777777" w:rsidR="001C703C" w:rsidRDefault="00000000">
            <w:r>
              <w:t>Kaaua and Virudachalam (2025)</w:t>
            </w:r>
          </w:p>
        </w:tc>
        <w:tc>
          <w:tcPr>
            <w:tcW w:w="1872" w:type="dxa"/>
          </w:tcPr>
          <w:p w14:paraId="00450A5E" w14:textId="77777777" w:rsidR="001C703C" w:rsidRDefault="00000000">
            <w:r>
              <w:t>Public service</w:t>
            </w:r>
          </w:p>
        </w:tc>
        <w:tc>
          <w:tcPr>
            <w:tcW w:w="1872" w:type="dxa"/>
          </w:tcPr>
          <w:p w14:paraId="73AB61F5" w14:textId="77777777" w:rsidR="001C703C" w:rsidRDefault="00000000">
            <w:r>
              <w:t>Operations-management study</w:t>
            </w:r>
          </w:p>
        </w:tc>
        <w:tc>
          <w:tcPr>
            <w:tcW w:w="1872" w:type="dxa"/>
          </w:tcPr>
          <w:p w14:paraId="10D9DB7C" w14:textId="77777777" w:rsidR="001C703C" w:rsidRDefault="00000000">
            <w:r>
              <w:t>Commute and gender diversity</w:t>
            </w:r>
          </w:p>
        </w:tc>
        <w:tc>
          <w:tcPr>
            <w:tcW w:w="1872" w:type="dxa"/>
          </w:tcPr>
          <w:p w14:paraId="10C5E011" w14:textId="77777777" w:rsidR="001C703C" w:rsidRDefault="00000000">
            <w:r>
              <w:t>Spatial arrangements shape women's employment access.</w:t>
            </w:r>
          </w:p>
        </w:tc>
      </w:tr>
      <w:tr w:rsidR="001C703C" w14:paraId="6DA836B4" w14:textId="77777777">
        <w:trPr>
          <w:jc w:val="center"/>
        </w:trPr>
        <w:tc>
          <w:tcPr>
            <w:tcW w:w="1872" w:type="dxa"/>
          </w:tcPr>
          <w:p w14:paraId="179DDAA0" w14:textId="77777777" w:rsidR="001C703C" w:rsidRDefault="00000000">
            <w:r>
              <w:t>Recchi et al. (2025)</w:t>
            </w:r>
          </w:p>
        </w:tc>
        <w:tc>
          <w:tcPr>
            <w:tcW w:w="1872" w:type="dxa"/>
          </w:tcPr>
          <w:p w14:paraId="1DD8D856" w14:textId="77777777" w:rsidR="001C703C" w:rsidRDefault="00000000">
            <w:r>
              <w:t>Italy</w:t>
            </w:r>
          </w:p>
        </w:tc>
        <w:tc>
          <w:tcPr>
            <w:tcW w:w="1872" w:type="dxa"/>
          </w:tcPr>
          <w:p w14:paraId="22F0152A" w14:textId="77777777" w:rsidR="001C703C" w:rsidRDefault="00000000">
            <w:r>
              <w:t>Sociological analysis</w:t>
            </w:r>
          </w:p>
        </w:tc>
        <w:tc>
          <w:tcPr>
            <w:tcW w:w="1872" w:type="dxa"/>
          </w:tcPr>
          <w:p w14:paraId="6F68AF64" w14:textId="77777777" w:rsidR="001C703C" w:rsidRDefault="00000000">
            <w:r>
              <w:t>Remote work and care model</w:t>
            </w:r>
          </w:p>
        </w:tc>
        <w:tc>
          <w:tcPr>
            <w:tcW w:w="1872" w:type="dxa"/>
          </w:tcPr>
          <w:p w14:paraId="1E1D85F1" w14:textId="77777777" w:rsidR="001C703C" w:rsidRDefault="00000000">
            <w:r>
              <w:t>Remote work cannot substitute for childcare for non-remote workers.</w:t>
            </w:r>
          </w:p>
        </w:tc>
      </w:tr>
      <w:tr w:rsidR="001C703C" w14:paraId="5AB4B814" w14:textId="77777777">
        <w:trPr>
          <w:jc w:val="center"/>
        </w:trPr>
        <w:tc>
          <w:tcPr>
            <w:tcW w:w="1872" w:type="dxa"/>
          </w:tcPr>
          <w:p w14:paraId="69479485" w14:textId="77777777" w:rsidR="001C703C" w:rsidRDefault="00000000">
            <w:r>
              <w:t>Rangel et al. (2018)</w:t>
            </w:r>
          </w:p>
        </w:tc>
        <w:tc>
          <w:tcPr>
            <w:tcW w:w="1872" w:type="dxa"/>
          </w:tcPr>
          <w:p w14:paraId="7A199957" w14:textId="77777777" w:rsidR="001C703C" w:rsidRDefault="00000000">
            <w:r>
              <w:t>United States</w:t>
            </w:r>
          </w:p>
        </w:tc>
        <w:tc>
          <w:tcPr>
            <w:tcW w:w="1872" w:type="dxa"/>
          </w:tcPr>
          <w:p w14:paraId="431C9571" w14:textId="77777777" w:rsidR="001C703C" w:rsidRDefault="00000000">
            <w:r>
              <w:t>Survey/professional study</w:t>
            </w:r>
          </w:p>
        </w:tc>
        <w:tc>
          <w:tcPr>
            <w:tcW w:w="1872" w:type="dxa"/>
          </w:tcPr>
          <w:p w14:paraId="3A9DED30" w14:textId="77777777" w:rsidR="001C703C" w:rsidRDefault="00000000">
            <w:r>
              <w:t>Pregnancy and motherhood in training</w:t>
            </w:r>
          </w:p>
        </w:tc>
        <w:tc>
          <w:tcPr>
            <w:tcW w:w="1872" w:type="dxa"/>
          </w:tcPr>
          <w:p w14:paraId="57A11BCF" w14:textId="77777777" w:rsidR="001C703C" w:rsidRDefault="00000000">
            <w:r>
              <w:t>Professional women still face work-care penalties.</w:t>
            </w:r>
          </w:p>
        </w:tc>
      </w:tr>
    </w:tbl>
    <w:p w14:paraId="6206B5F9" w14:textId="77777777" w:rsidR="001C703C" w:rsidRDefault="001C703C"/>
    <w:sectPr w:rsidR="001C703C" w:rsidSect="000346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78E52" w14:textId="77777777" w:rsidR="00E32C10" w:rsidRDefault="00E32C10">
      <w:pPr>
        <w:spacing w:line="240" w:lineRule="auto"/>
      </w:pPr>
      <w:r>
        <w:separator/>
      </w:r>
    </w:p>
  </w:endnote>
  <w:endnote w:type="continuationSeparator" w:id="0">
    <w:p w14:paraId="5CFA1787" w14:textId="77777777" w:rsidR="00E32C10" w:rsidRDefault="00E32C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69333" w14:textId="77777777" w:rsidR="001C703C" w:rsidRDefault="00000000">
    <w:pPr>
      <w:pStyle w:val="Footer"/>
      <w:jc w:val="center"/>
    </w:pPr>
    <w:r>
      <w:fldChar w:fldCharType="begin"/>
    </w:r>
    <w:r>
      <w:instrText>PAGE</w:instrText>
    </w:r>
    <w:r w:rsidR="00DE2F8F">
      <w:fldChar w:fldCharType="separate"/>
    </w:r>
    <w:r w:rsidR="00DE2F8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A3580" w14:textId="77777777" w:rsidR="00E32C10" w:rsidRDefault="00E32C10">
      <w:pPr>
        <w:spacing w:line="240" w:lineRule="auto"/>
      </w:pPr>
      <w:r>
        <w:separator/>
      </w:r>
    </w:p>
  </w:footnote>
  <w:footnote w:type="continuationSeparator" w:id="0">
    <w:p w14:paraId="41CAC2BC" w14:textId="77777777" w:rsidR="00E32C10" w:rsidRDefault="00E32C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8511620">
    <w:abstractNumId w:val="8"/>
  </w:num>
  <w:num w:numId="2" w16cid:durableId="404302219">
    <w:abstractNumId w:val="6"/>
  </w:num>
  <w:num w:numId="3" w16cid:durableId="316805352">
    <w:abstractNumId w:val="5"/>
  </w:num>
  <w:num w:numId="4" w16cid:durableId="1136072040">
    <w:abstractNumId w:val="4"/>
  </w:num>
  <w:num w:numId="5" w16cid:durableId="1906061916">
    <w:abstractNumId w:val="7"/>
  </w:num>
  <w:num w:numId="6" w16cid:durableId="981038977">
    <w:abstractNumId w:val="3"/>
  </w:num>
  <w:num w:numId="7" w16cid:durableId="1998729766">
    <w:abstractNumId w:val="2"/>
  </w:num>
  <w:num w:numId="8" w16cid:durableId="146477493">
    <w:abstractNumId w:val="1"/>
  </w:num>
  <w:num w:numId="9" w16cid:durableId="913665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703C"/>
    <w:rsid w:val="0029639D"/>
    <w:rsid w:val="00326F90"/>
    <w:rsid w:val="00AA1D8D"/>
    <w:rsid w:val="00B47730"/>
    <w:rsid w:val="00CB0664"/>
    <w:rsid w:val="00DE2F8F"/>
    <w:rsid w:val="00E275B2"/>
    <w:rsid w:val="00E32C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A77B8C"/>
  <w14:defaultImageDpi w14:val="300"/>
  <w15:docId w15:val="{12900C3D-4647-4004-9478-A2612D6F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480" w:lineRule="auto"/>
    </w:pPr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Childcare as Gender-Responsive Labor Infrastructure for Low-Wage Women: A Scoping Review</dc:title>
  <dc:subject>Scoping review manuscript</dc:subject>
  <dc:creator>Ahmad Hilmi</dc:creator>
  <cp:keywords>childcare, low-wage women, work-family reconciliation, decent work, scoping review</cp:keywords>
  <dc:description>generated by python-docx</dc:description>
  <cp:lastModifiedBy>Ahmad Hilmi</cp:lastModifiedBy>
  <cp:revision>2</cp:revision>
  <dcterms:created xsi:type="dcterms:W3CDTF">2026-06-16T14:08:00Z</dcterms:created>
  <dcterms:modified xsi:type="dcterms:W3CDTF">2026-06-16T14:08:00Z</dcterms:modified>
  <cp:category/>
</cp:coreProperties>
</file>