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Arial" w:cs="Arial" w:eastAsia="Arial" w:hAnsi="Arial"/>
          <w:b/>
          <w:bCs/>
          <w:color w:val="2E74B5"/>
          <w:sz w:val="32"/>
          <w:szCs w:val="32"/>
        </w:rPr>
        <w:t xml:space="preserve">Supplementary Material</w:t>
      </w:r>
    </w:p>
    <w:p>
      <w:pPr>
        <w:spacing w:after="60"/>
        <w:jc w:val="center"/>
      </w:pPr>
      <w:r>
        <w:rPr>
          <w:rFonts w:ascii="Arial" w:cs="Arial" w:eastAsia="Arial" w:hAnsi="Arial"/>
          <w:sz w:val="24"/>
          <w:szCs w:val="24"/>
        </w:rPr>
        <w:t xml:space="preserve">Cost-Effectiveness of Combined GnRHa and rhGH Therapy versus Monotherapy in Girls with Central Precocious Puberty Based on a Markov Model Integrating Real-World and Pooled Published Cohort Data</w:t>
      </w:r>
    </w:p>
    <w:p>
      <w:pPr>
        <w:spacing w:after="200"/>
        <w:jc w:val="center"/>
      </w:pPr>
      <w:r>
        <w:rPr>
          <w:rFonts w:ascii="Arial" w:cs="Arial" w:eastAsia="Arial" w:hAnsi="Arial"/>
          <w:color w:val="555555"/>
          <w:sz w:val="20"/>
          <w:szCs w:val="20"/>
        </w:rPr>
        <w:t xml:space="preserve">Frontiers in Endocrinology — Pediatric Endocrinology Section</w:t>
      </w:r>
    </w:p>
    <w:p>
      <w:pPr>
        <w:spacing w:after="80" w:before="140"/>
      </w:pPr>
      <w:r>
        <w:rPr>
          <w:rFonts w:ascii="Times New Roman" w:cs="Times New Roman" w:eastAsia="Times New Roman" w:hAnsi="Times New Roman"/>
          <w:b/>
          <w:bCs/>
          <w:sz w:val="22"/>
          <w:szCs w:val="22"/>
        </w:rPr>
        <w:t xml:space="preserve">Contents of Supplementary Material:</w:t>
      </w:r>
    </w:p>
    <w:p>
      <w:pPr>
        <w:spacing w:after="140" w:before="0"/>
      </w:pPr>
      <w:r>
        <w:rPr>
          <w:rFonts w:ascii="Times New Roman" w:cs="Times New Roman" w:eastAsia="Times New Roman" w:hAnsi="Times New Roman"/>
          <w:sz w:val="22"/>
          <w:szCs w:val="22"/>
        </w:rPr>
        <w:t xml:space="preserve">  •  Table S1: CHEERS 2022 Reporting Checklist (27 items)</w:t>
      </w:r>
    </w:p>
    <w:p>
      <w:pPr>
        <w:spacing w:after="140" w:before="0"/>
      </w:pPr>
      <w:r>
        <w:rPr>
          <w:rFonts w:ascii="Times New Roman" w:cs="Times New Roman" w:eastAsia="Times New Roman" w:hAnsi="Times New Roman"/>
          <w:sz w:val="22"/>
          <w:szCs w:val="22"/>
        </w:rPr>
        <w:t xml:space="preserve">  •  Table S2: Markov Model Health-State Transition Probabilities</w:t>
      </w:r>
    </w:p>
    <w:p>
      <w:pPr>
        <w:spacing w:after="140" w:before="0"/>
      </w:pPr>
      <w:r>
        <w:rPr>
          <w:rFonts w:ascii="Times New Roman" w:cs="Times New Roman" w:eastAsia="Times New Roman" w:hAnsi="Times New Roman"/>
          <w:sz w:val="22"/>
          <w:szCs w:val="22"/>
        </w:rPr>
        <w:t xml:space="preserve">  •  Table S3: Key Model Input Parameters and Distributional Assumptions for PSA</w:t>
      </w:r>
    </w:p>
    <w:p>
      <w:pPr>
        <w:spacing w:after="80"/>
      </w:pPr>
    </w:p>
    <w:p>
      <w:pPr>
        <w:spacing w:after="80" w:before="80"/>
      </w:pPr>
      <w:r>
        <w:rPr>
          <w:rFonts w:ascii="Arial" w:cs="Arial" w:eastAsia="Arial" w:hAnsi="Arial"/>
          <w:b/>
          <w:bCs/>
          <w:sz w:val="20"/>
          <w:szCs w:val="20"/>
        </w:rPr>
        <w:t xml:space="preserve">Table S1.</w:t>
      </w:r>
      <w:r>
        <w:rPr>
          <w:rFonts w:ascii="Arial" w:cs="Arial" w:eastAsia="Arial" w:hAnsi="Arial"/>
          <w:sz w:val="20"/>
          <w:szCs w:val="20"/>
        </w:rPr>
        <w:t xml:space="preserve"> CHEERS 2022 reporting checklist for this cost-effectiveness analysis. The Consolidated Health Economic Evaluation Reporting Standards (CHEERS) 2022 statement is the authoritative guideline for transparent economic evaluation reporting. All 27 items are addressed.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500"/>
        <w:gridCol w:w="1500"/>
        <w:gridCol w:w="3226"/>
        <w:gridCol w:w="2900"/>
      </w:tblGrid>
      <w:tr>
        <w:trPr>
          <w:tblHeader/>
        </w:trPr>
        <w:tc>
          <w:tcPr>
            <w:tcW w:type="dxa" w:w="9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Section</w:t>
            </w:r>
          </w:p>
        </w:tc>
        <w:tc>
          <w:tcPr>
            <w:tcW w:type="dxa" w:w="5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Item No.</w:t>
            </w:r>
          </w:p>
        </w:tc>
        <w:tc>
          <w:tcPr>
            <w:tcW w:type="dxa" w:w="15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Item Topic</w:t>
            </w:r>
          </w:p>
        </w:tc>
        <w:tc>
          <w:tcPr>
            <w:tcW w:type="dxa" w:w="3226"/>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Reporting Requirement</w:t>
            </w:r>
          </w:p>
        </w:tc>
        <w:tc>
          <w:tcPr>
            <w:tcW w:type="dxa" w:w="29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Location in MS</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Title</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Title</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Identify the study as an economic evaluation and specify the interventions being compared.</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Title page</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Abstract</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Abstract</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Provide a structured summary that includes background, methods, results, and conclusions of the economic evaluation.</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Abstract</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Introduction</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3</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Background and objectives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Give the context for the study, the study question, and its relevance to health-care policy or practice decisions.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Introduction</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4</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Health economic analysis plan</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Indicate whether a health economic analysis plan was developed prior to the analysis and if so, where available.</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5</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Study population</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characteristics of the study population for the base case analysis.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6</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Setting and location</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Provide relevant contextual information that may influence findings, including setting, location, and dates.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§2.1–2.2</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7</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Comparators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the interventions or strategies being compared and why chosen.</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8</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Perspective</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State the perspective(s) adopted by the study and why chosen.</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 (‘healthcare-system perspective’)</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9</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Time horizon</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State the time horizon for the study and why appropriate.</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 (‘from diagnosis to FAH attainment’)</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10</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Discount rate</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Report the discount rate(s) and rationale.</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 Discussion §4.1 (no discounting applied; short time horizon)</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11</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Selection of outcomes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what outcomes were used as the measure(s) of benefit and why.</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§2.3 (ΔBAHSDS; FAHSDS; QoL burden score)</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12</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Measurement of outcomes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the methods used to measure and value outcomes.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§2.2–2.3; Table 1</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13</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Valuation of outcomes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the population and methods used to measure and value preference-based outcomes.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§2.3 (investigator-constructed burden scale; no QALY)</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14</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Measurement and valuation of resources and costs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approaches used to capture resource use, costs, and their sources.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§2.4; Table 4</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15</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Currency, price date, and conversion</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Report the dates of the estimated resource quantities and unit costs, plus the currency and year of conversion.</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§2.4 (2023 ￥)</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16</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Rationale and description of model</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in sufficient detail the type of model used, its key input parameters, and assumptions.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§2.1, §2.3a; Table 1; Figure 1</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17</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Analytics and assumptions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methods for analysing or statistically transforming data and approaches for validating any model used.</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§2.7</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18</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Characterising heterogeneity</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any methods used for estimating how results vary for subgroups.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 §3.4 (body-weight and duration subgroups, Table 5)</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19</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Characterising distributional effects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how impacts on equity or fairness were considered.</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Discussion (policy implications; no formal equity analysis)</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Characterising uncertainty</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methods to characterise sources of uncertainty.</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§2.6; Table 5, 5a (OWSA); PSA, 10,000 MC iterations; Figure 2</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21</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Study parameters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Report all analytic inputs (values, ranges, references) including uncertainty/distributional assumptions.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Tables 1–6; Methods §2.2–2.6</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22</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Summary of main results</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Report mean values for main categories of costs and outcomes, and mean differences between comparator groups.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 §3.3; Table 4</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23</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Effect of uncertainty</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how uncertainty about analytic judgments, inputs, or projections affects findings.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 §3.4; Tables 5, 5a; Figure 2</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Results</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24</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Effect of engagement with patients and others affected by the study</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Report on any engagement with patients, the public, or professionals, and how they informed the study.</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Ethics statement; guardian consent obtained; no formal PPI panel</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Discussion</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25</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Study findings, limitations, inconsistencies and generalisability</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Summarise key findings, describe limitations and their potential impact, and discuss generalisability.</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Discussion §4, §4.1; Conclusions §5</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Discussion</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26</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Source of funding</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how the study was funded and the role of the funder.</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Declarations: Funding (‘no specific funding’)</w:t>
            </w:r>
          </w:p>
        </w:tc>
      </w:tr>
      <w:tr>
        <w:tc>
          <w:tcPr>
            <w:tcW w:type="dxa" w:w="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Discussion</w:t>
            </w:r>
          </w:p>
        </w:tc>
        <w:tc>
          <w:tcPr>
            <w:tcW w:type="dxa" w:w="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27</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bCs/>
                <w:sz w:val="18"/>
                <w:szCs w:val="18"/>
              </w:rPr>
              <w:t xml:space="preserve">Conflicts of interest</w:t>
            </w:r>
          </w:p>
        </w:tc>
        <w:tc>
          <w:tcPr>
            <w:tcW w:type="dxa" w:w="32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Describe any potential for conflict of interest among study contributors or funders.</w:t>
            </w:r>
          </w:p>
        </w:tc>
        <w:tc>
          <w:tcPr>
            <w:tcW w:type="dxa" w:w="2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Declarations: Competing interests (‘no competing interests’)</w:t>
            </w:r>
          </w:p>
        </w:tc>
      </w:tr>
    </w:tbl>
    <w:p>
      <w:pPr>
        <w:spacing w:after="60" w:before="60"/>
      </w:pPr>
      <w:r>
        <w:rPr>
          <w:rFonts w:ascii="Arial" w:cs="Arial" w:eastAsia="Arial" w:hAnsi="Arial"/>
          <w:sz w:val="16"/>
          <w:szCs w:val="16"/>
        </w:rPr>
        <w:t xml:space="preserve">CHEERS 2022 reference: Husereau D et al. Value Health. 2022;25(1):10–31 (main-manuscript reference 12). MS, manuscript; TH, target height; FAH, final adult height; ΔBAHSDS, change in bone-age-corrected height standard deviation score; QALY, quality-adjusted life year; OWSA, one-way sensitivity analysis; PSA, probabilistic sensitivity analysis; MC, Monte Carlo.</w:t>
      </w:r>
    </w:p>
    <w:p>
      <w:pPr>
        <w:spacing w:after="80"/>
      </w:pPr>
    </w:p>
    <w:p>
      <w:pPr>
        <w:spacing w:after="80" w:before="80"/>
      </w:pPr>
      <w:r>
        <w:rPr>
          <w:rFonts w:ascii="Arial" w:cs="Arial" w:eastAsia="Arial" w:hAnsi="Arial"/>
          <w:b/>
          <w:bCs/>
          <w:sz w:val="20"/>
          <w:szCs w:val="20"/>
        </w:rPr>
        <w:t xml:space="preserve">Table S2.</w:t>
      </w:r>
      <w:r>
        <w:rPr>
          <w:rFonts w:ascii="Arial" w:cs="Arial" w:eastAsia="Arial" w:hAnsi="Arial"/>
          <w:sz w:val="20"/>
          <w:szCs w:val="20"/>
        </w:rPr>
        <w:t xml:space="preserve"> Markov model health-state transition probabilities and parameter sources. Cycle length = 6 months. Mono, GnRHa monotherapy; Combo, GnRHa plus rhGH combination therapy; TH, genetic target height; On-Tx, on-treatment; Off-Tx, off-treatment. Values correspond directly to main-manuscript Table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1300"/>
        <w:gridCol w:w="1100"/>
        <w:gridCol w:w="1126"/>
        <w:gridCol w:w="1900"/>
        <w:gridCol w:w="1300"/>
      </w:tblGrid>
      <w:tr>
        <w:trPr>
          <w:tblHeader/>
        </w:trPr>
        <w:tc>
          <w:tcPr>
            <w:tcW w:type="dxa" w:w="23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Health-State Transition</w:t>
            </w:r>
          </w:p>
        </w:tc>
        <w:tc>
          <w:tcPr>
            <w:tcW w:type="dxa" w:w="13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Parameter Type</w:t>
            </w:r>
          </w:p>
        </w:tc>
        <w:tc>
          <w:tcPr>
            <w:tcW w:type="dxa" w:w="11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Mono (per cycle)</w:t>
            </w:r>
          </w:p>
        </w:tc>
        <w:tc>
          <w:tcPr>
            <w:tcW w:type="dxa" w:w="1126"/>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Combo (per cycle)</w:t>
            </w:r>
          </w:p>
        </w:tc>
        <w:tc>
          <w:tcPr>
            <w:tcW w:type="dxa" w:w="19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Data Source</w:t>
            </w:r>
          </w:p>
        </w:tc>
        <w:tc>
          <w:tcPr>
            <w:tcW w:type="dxa" w:w="13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Reference</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On-Tx Adequate → Off-Tx, TH reached</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Probability</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0.60</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0.76</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Pooled published cohorts (effect-size derived)</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§2.3, §2.3a; refs. 6–9</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On-Tx Adequate → On-Tx Inadequate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Probability</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0.10</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0.07</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cohort, bone-age re-assessment</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On-Tx Inadequate → On-Tx Adequate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Probability</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0.30</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0.40</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cohort, bone-age re-assessment</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Any On-Tx → Withdrawal/non-adherence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Probability</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0.035</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0.045</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Pooled published cohorts</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 refs. 6–9</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Off-Tx, TH reached → inadequate-response pathway</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Probability</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0.25</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0.40</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Pooled published cohorts</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Methods §2.2; refs. 6–9</w:t>
            </w:r>
          </w:p>
        </w:tc>
      </w:tr>
      <w:tr>
        <w:tc>
          <w:tcPr>
            <w:tcW w:type="dxa" w:w="2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Off-Tx terminal state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Absorbing state</w:t>
            </w:r>
          </w:p>
        </w:tc>
        <w:tc>
          <w:tcPr>
            <w:tcW w:type="dxa" w:w="11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1.00</w:t>
            </w:r>
          </w:p>
        </w:tc>
        <w:tc>
          <w:tcPr>
            <w:tcW w:type="dxa" w:w="11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1.00</w:t>
            </w:r>
          </w:p>
        </w:tc>
        <w:tc>
          <w:tcPr>
            <w:tcW w:type="dxa" w:w="19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Model definition</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Absorbing state by construction</w:t>
            </w:r>
          </w:p>
        </w:tc>
      </w:tr>
    </w:tbl>
    <w:p>
      <w:pPr>
        <w:spacing w:after="60" w:before="60"/>
      </w:pPr>
      <w:r>
        <w:rPr>
          <w:rFonts w:ascii="Arial" w:cs="Arial" w:eastAsia="Arial" w:hAnsi="Arial"/>
          <w:sz w:val="16"/>
          <w:szCs w:val="16"/>
        </w:rPr>
        <w:t xml:space="preserve">Transition probabilities for adequate/inadequate response reversibility were estimated from local cohort bone-age re-assessment data (Methods §2.2). The withdrawal/non-adherence probability is modestly higher in the combination arm, reflecting the added burden of daily subcutaneous injection (Methods §2.3a; main-text Table 1).</w:t>
      </w:r>
    </w:p>
    <w:p>
      <w:pPr>
        <w:spacing w:after="80"/>
      </w:pPr>
    </w:p>
    <w:p>
      <w:pPr>
        <w:spacing w:after="80" w:before="80"/>
      </w:pPr>
      <w:r>
        <w:rPr>
          <w:rFonts w:ascii="Arial" w:cs="Arial" w:eastAsia="Arial" w:hAnsi="Arial"/>
          <w:b/>
          <w:bCs/>
          <w:sz w:val="20"/>
          <w:szCs w:val="20"/>
        </w:rPr>
        <w:t xml:space="preserve">Table S3.</w:t>
      </w:r>
      <w:r>
        <w:rPr>
          <w:rFonts w:ascii="Arial" w:cs="Arial" w:eastAsia="Arial" w:hAnsi="Arial"/>
          <w:sz w:val="20"/>
          <w:szCs w:val="20"/>
        </w:rPr>
        <w:t xml:space="preserve"> Key model input parameters, base-case values, deterministic sensitivity analysis (DSA) ranges, probabilistic sensitivity analysis (PSA) distributional assumptions, and data sources. ΔBAHSDS, change in bone-age-corrected height standard deviation score; GnRHa, gonadotropin-releasing hormone agonist; rhGH, recombinant human growth hormone; WTP, willingness-to-pay; DSA, deterministic sensitivity analysis; PSA, probabilistic sensitivity analysis.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1500"/>
        <w:gridCol w:w="1700"/>
        <w:gridCol w:w="2026"/>
        <w:gridCol w:w="1300"/>
      </w:tblGrid>
      <w:tr>
        <w:trPr>
          <w:tblHeader/>
        </w:trPr>
        <w:tc>
          <w:tcPr>
            <w:tcW w:type="dxa" w:w="25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Parameter</w:t>
            </w:r>
          </w:p>
        </w:tc>
        <w:tc>
          <w:tcPr>
            <w:tcW w:type="dxa" w:w="15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Base-Case Value</w:t>
            </w:r>
          </w:p>
        </w:tc>
        <w:tc>
          <w:tcPr>
            <w:tcW w:type="dxa" w:w="17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Range (DSA)</w:t>
            </w:r>
          </w:p>
        </w:tc>
        <w:tc>
          <w:tcPr>
            <w:tcW w:type="dxa" w:w="2026"/>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Distribution (PSA) / Treatment in analysis</w:t>
            </w:r>
          </w:p>
        </w:tc>
        <w:tc>
          <w:tcPr>
            <w:tcW w:type="dxa" w:w="1300"/>
            <w:tcBorders>
              <w:top w:val="single" w:color="AAAAAA" w:sz="1"/>
              <w:left w:val="single" w:color="AAAAAA" w:sz="1"/>
              <w:bottom w:val="single" w:color="AAAAAA" w:sz="1"/>
              <w:right w:val="single" w:color="AAAAAA" w:sz="1"/>
            </w:tcBorders>
            <w:shd w:fill="2E74B5" w:val="clear"/>
            <w:tcMar>
              <w:top w:type="dxa" w:w="60"/>
              <w:left w:type="dxa" w:w="90"/>
              <w:bottom w:type="dxa" w:w="60"/>
              <w:right w:type="dxa" w:w="90"/>
            </w:tcMar>
            <w:vAlign w:val="center"/>
          </w:tcPr>
          <w:p>
            <w:pPr>
              <w:jc w:val="center"/>
            </w:pPr>
            <w:r>
              <w:rPr>
                <w:rFonts w:ascii="Arial" w:cs="Arial" w:eastAsia="Arial" w:hAnsi="Arial"/>
                <w:b/>
                <w:bCs/>
                <w:color w:val="FFFFFF"/>
                <w:sz w:val="18"/>
                <w:szCs w:val="18"/>
              </w:rPr>
              <w:t xml:space="preserve">Source</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ΔBAHSDS effect difference</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0.44 SDS</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0.30–0.58 (95% CI)</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Normal (μ=0.44, σ=0.071)</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Pooled cohorts 6–9</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Body weight (reference)</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30 kg</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20–45 kg</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Trunc. Normal (μ=30, σ=6, 15–50)</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cohort</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Treatment duration</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3 years</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1.5–4.0 years</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Trunc. Normal (μ=3, σ=0.5, 1–5)</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cohort</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GnRHa unit cost</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￥1,272/month</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Normal (SD = 10% of mean)</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2023 procurement</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rhGH cost</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￥100/kg/month</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Normal (SD = 10% of mean)</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2023 procurement</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Monitoring cost (mono)</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￥276/3-mo cycle</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Fixed in PSA base case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tariff data</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Monitoring cost (combo)</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￥892/3-mo cycle</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Fixed in PSA base case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Local tariff data</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Withdrawal/non-adherence probability (combo)</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0.045/cycle</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Fixed in PSA base case</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Pooled cohorts 6–9</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Adherence to prescribed rhGH dosing (scenario analysis)</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100% (trial-level)</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70–85% (illustrative)</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Scenario analysis (Table 5a), not formally distributed in PSA</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Illustrative; not derived from cohort dose-response data</w:t>
            </w:r>
          </w:p>
        </w:tc>
      </w:tr>
      <w:tr>
        <w:tc>
          <w:tcPr>
            <w:tcW w:type="dxa" w:w="2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WTP threshold</w:t>
            </w:r>
          </w:p>
        </w:tc>
        <w:tc>
          <w:tcPr>
            <w:tcW w:type="dxa" w:w="15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￥300,000</w:t>
            </w:r>
          </w:p>
        </w:tc>
        <w:tc>
          <w:tcPr>
            <w:tcW w:type="dxa" w:w="17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w:t>
            </w:r>
          </w:p>
        </w:tc>
        <w:tc>
          <w:tcPr>
            <w:tcW w:type="dxa" w:w="2026"/>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Fixed (threshold analysis; CEAC, Figure 2)</w:t>
            </w:r>
          </w:p>
        </w:tc>
        <w:tc>
          <w:tcPr>
            <w:tcW w:type="dxa" w:w="1300"/>
            <w:tcBorders>
              <w:top w:val="single" w:color="AAAAAA" w:sz="1"/>
              <w:left w:val="single" w:color="AAAAAA" w:sz="1"/>
              <w:bottom w:val="single" w:color="AAAAAA" w:sz="1"/>
              <w:right w:val="single" w:color="AAAAAA" w:sz="1"/>
            </w:tcBorders>
            <w:tcMar>
              <w:top w:type="dxa" w:w="60"/>
              <w:left w:type="dxa" w:w="90"/>
              <w:bottom w:type="dxa" w:w="60"/>
              <w:right w:type="dxa" w:w="90"/>
            </w:tcMar>
            <w:vAlign w:val="center"/>
          </w:tcPr>
          <w:p>
            <w:pPr>
              <w:jc w:val="left"/>
            </w:pPr>
            <w:r>
              <w:rPr>
                <w:rFonts w:ascii="Arial" w:cs="Arial" w:eastAsia="Arial" w:hAnsi="Arial"/>
                <w:b w:val="false"/>
                <w:bCs w:val="false"/>
                <w:sz w:val="18"/>
                <w:szCs w:val="18"/>
              </w:rPr>
              <w:t xml:space="preserve">3× 2023 China per-capita GDP</w:t>
            </w:r>
          </w:p>
        </w:tc>
      </w:tr>
    </w:tbl>
    <w:p>
      <w:pPr>
        <w:spacing w:after="60" w:before="60"/>
      </w:pPr>
      <w:r>
        <w:rPr>
          <w:rFonts w:ascii="Arial" w:cs="Arial" w:eastAsia="Arial" w:hAnsi="Arial"/>
          <w:sz w:val="16"/>
          <w:szCs w:val="16"/>
        </w:rPr>
        <w:t xml:space="preserve">PSA implemented in Python 3.12 (NumPy, SciPy); 10,000 Monte Carlo iterations jointly varying body weight, treatment duration, GnRHa price, and the ΔBAHSDS effect-size estimate (Methods §2.6). The illustrative adherence-scaling scenario (70–85%) was evaluated separately (Table 5a) and was not propagated into the joint PSA distribution.</w:t>
      </w:r>
    </w:p>
    <w:p>
      <w:pPr>
        <w:spacing w:after="80"/>
      </w:pPr>
    </w:p>
    <w:p>
      <w:pPr>
        <w:spacing w:after="80"/>
      </w:pPr>
    </w:p>
    <w:p>
      <w:pPr>
        <w:spacing w:after="120" w:before="280"/>
      </w:pPr>
      <w:r>
        <w:rPr>
          <w:rFonts w:ascii="Arial" w:cs="Arial" w:eastAsia="Arial" w:hAnsi="Arial"/>
          <w:b/>
          <w:bCs/>
          <w:caps/>
          <w:color w:val="2E74B5"/>
          <w:sz w:val="28"/>
          <w:szCs w:val="28"/>
        </w:rPr>
        <w:t xml:space="preserve">Supplementary Methodological Notes</w:t>
      </w:r>
    </w:p>
    <w:p>
      <w:pPr>
        <w:spacing w:after="80" w:before="140"/>
      </w:pPr>
      <w:r>
        <w:rPr>
          <w:rFonts w:ascii="Times New Roman" w:cs="Times New Roman" w:eastAsia="Times New Roman" w:hAnsi="Times New Roman"/>
          <w:b/>
          <w:bCs/>
          <w:sz w:val="22"/>
          <w:szCs w:val="22"/>
        </w:rPr>
        <w:t xml:space="preserve">S.1 Pooled effect-size derivation</w:t>
      </w:r>
    </w:p>
    <w:p>
      <w:pPr>
        <w:spacing w:after="140" w:before="0"/>
      </w:pPr>
      <w:r>
        <w:rPr>
          <w:rFonts w:ascii="Times New Roman" w:cs="Times New Roman" w:eastAsia="Times New Roman" w:hAnsi="Times New Roman"/>
          <w:sz w:val="22"/>
          <w:szCs w:val="22"/>
        </w:rPr>
        <w:t xml:space="preserve">The primary effectiveness input (ΔBAHSDS difference: 0.44 [95% CI 0.30–0.58]) was derived by sample-size-weighted averaging across four published cohorts with completed final-height or near-final-height data: Pasquino et al. (1999, combined N = 20), Mul et al. (2005, combined N = 26), Proos et al. (2010, combined N = 46), and Liang et al. (2015, combined N = 40), contributing a combined total of 61 monotherapy and 71 combination-therapy patients (N = 132) (main-manuscript Table 3). Because not all source studies reported variance estimates in a directly poolable form, a formal inverse-variance random-effects meta-analysis was not conducted; sample-size-weighted point estimates were used as a pragmatic synthesis instead (Methods §2.7). The pooled estimate was numerically consistent with the local cohort's interim, descriptive observation (0.80 vs. 0.36, difference 0.44), which is reported as supportive triangulation rather than as a pooled component of the formal effect-size estimate (Methods §2.2). The 95% CI bounds (0.30 and 0.58) were used directly as the one-way sensitivity-analysis range for the effect-size parameter (main-text Table 5).</w:t>
      </w:r>
    </w:p>
    <w:p>
      <w:pPr>
        <w:spacing w:after="80"/>
      </w:pPr>
    </w:p>
    <w:p>
      <w:pPr>
        <w:spacing w:after="80" w:before="140"/>
      </w:pPr>
      <w:r>
        <w:rPr>
          <w:rFonts w:ascii="Times New Roman" w:cs="Times New Roman" w:eastAsia="Times New Roman" w:hAnsi="Times New Roman"/>
          <w:b/>
          <w:bCs/>
          <w:sz w:val="22"/>
          <w:szCs w:val="22"/>
        </w:rPr>
        <w:t xml:space="preserve">S.2 Cost calculation transparency</w:t>
      </w:r>
    </w:p>
    <w:p>
      <w:pPr>
        <w:spacing w:after="140" w:before="0"/>
      </w:pPr>
      <w:r>
        <w:rPr>
          <w:rFonts w:ascii="Times New Roman" w:cs="Times New Roman" w:eastAsia="Times New Roman" w:hAnsi="Times New Roman"/>
          <w:sz w:val="22"/>
          <w:szCs w:val="22"/>
        </w:rPr>
        <w:t xml:space="preserve">All drug unit costs reflect 2023 pricing used in the base-case model: leuprolide acetate 3.75 mg, ￥1,272 per month (￥3,816 per 3-month cycle), administered in both arms; biosimilar rhGH, ￥100 per kilogram of body weight per month, administered only in the combination arm via daily subcutaneous injection. Routine monitoring (bone-age radiograph, LH/FSH, height/weight) cost ￥276 per 3-month cycle in the monotherapy arm; the combination arm incurred an additional cost for IGF-1 and safety monitoring, totaling ￥892 per 3-month cycle (Methods §2.4). Using a 30-kg reference body weight and a 3-year treatment course, total 3-year direct cost was ￥49,104 for monotherapy and ￥164,496 for combination therapy, an incremental cost of ￥115,392 driven almost entirely by rhGH acquisition cost (main-text Table 4). Indirect costs (caregiver productivity loss, transportation, time costs) were not included, consistent with the healthcare-system payer perspective stated in Methods §2.1 (Limitations, §4.1).</w:t>
      </w:r>
    </w:p>
    <w:p>
      <w:pPr>
        <w:spacing w:after="80"/>
      </w:pPr>
    </w:p>
    <w:p>
      <w:pPr>
        <w:spacing w:after="80" w:before="140"/>
      </w:pPr>
      <w:r>
        <w:rPr>
          <w:rFonts w:ascii="Times New Roman" w:cs="Times New Roman" w:eastAsia="Times New Roman" w:hAnsi="Times New Roman"/>
          <w:b/>
          <w:bCs/>
          <w:sz w:val="22"/>
          <w:szCs w:val="22"/>
        </w:rPr>
        <w:t xml:space="preserve">S.3 QoL burden scoring scale calibration</w:t>
      </w:r>
    </w:p>
    <w:p>
      <w:pPr>
        <w:spacing w:after="140" w:before="0"/>
      </w:pPr>
      <w:r>
        <w:rPr>
          <w:rFonts w:ascii="Times New Roman" w:cs="Times New Roman" w:eastAsia="Times New Roman" w:hAnsi="Times New Roman"/>
          <w:sz w:val="22"/>
          <w:szCs w:val="22"/>
        </w:rPr>
        <w:t xml:space="preserve">The 100-point per-3-month-cycle baseline (main-text Table 6) was chosen as a round reference value representing a notionally healthy, treatment-free child. Deduction magnitudes were informed qualitatively by the relative frequency and invasiveness of each procedure (daily injections scored more heavily than monthly injections; blood draws scored more heavily than non-invasive imaging) and by prior pediatric growth-hormone quality-of-life literature describing injection burden as a material determinant of family treatment satisfaction (main-manuscript reference 10). The scoring system is investigator-constructed and ordinal, intended to illustrate relative treatment burden directionally rather than to provide a calibrated utility measure, and was not incorporated into the primary ICER calculation for this reason (Methods §2.3; Limitations §4.1). Future studies should administer a validated pediatric health-related quality-of-life instrument (e.g., PedsQL, EQ-5D-Y) at baseline and at each treatment-cycle visit to generate preference-based utilities suitable for formal QALY estimation.</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2026-06-27T08:56:40.858Z</dcterms:created>
  <dcterms:modified xsi:type="dcterms:W3CDTF">2026-06-27T08:56:40.858Z</dcterms:modified>
</cp:coreProperties>
</file>

<file path=docProps/custom.xml><?xml version="1.0" encoding="utf-8"?>
<Properties xmlns="http://schemas.openxmlformats.org/officeDocument/2006/custom-properties" xmlns:vt="http://schemas.openxmlformats.org/officeDocument/2006/docPropsVTypes"/>
</file>