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6DEF5">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jc w:val="center"/>
        <w:textAlignment w:val="auto"/>
      </w:pPr>
      <w:r>
        <w:rPr>
          <w:rFonts w:hint="default" w:ascii="Times New Roman" w:hAnsi="Times New Roman" w:eastAsia="宋体" w:cs="Times New Roman"/>
          <w:b/>
          <w:bCs/>
          <w:color w:val="000000"/>
          <w:kern w:val="0"/>
          <w:sz w:val="28"/>
          <w:szCs w:val="28"/>
          <w:lang w:val="en-US" w:eastAsia="zh-CN" w:bidi="ar"/>
        </w:rPr>
        <w:t>Supporting Information</w:t>
      </w:r>
    </w:p>
    <w:p w14:paraId="16965EF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Asymmetric Surface Charge Engineering of MXene Electrodes for Self-Discharge Suppression</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in Supercapacitors</w:t>
      </w:r>
    </w:p>
    <w:p w14:paraId="1688B8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i/>
          <w:iCs/>
          <w:sz w:val="24"/>
          <w:szCs w:val="24"/>
          <w:vertAlign w:val="superscript"/>
          <w:lang w:val="en-US" w:eastAsia="zh-CN"/>
        </w:rPr>
      </w:pPr>
      <w:r>
        <w:rPr>
          <w:rFonts w:hint="default" w:ascii="Times New Roman" w:hAnsi="Times New Roman" w:eastAsia="宋体" w:cs="Times New Roman"/>
          <w:b w:val="0"/>
          <w:bCs w:val="0"/>
          <w:i/>
          <w:iCs/>
          <w:sz w:val="24"/>
          <w:szCs w:val="24"/>
          <w:lang w:val="en-US" w:eastAsia="zh-CN"/>
        </w:rPr>
        <w:t>Yanan Liu</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lang w:val="en-US" w:eastAsia="zh-CN"/>
        </w:rPr>
        <w:t>*, Zhijian Liu</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lang w:val="en-US" w:eastAsia="zh-CN"/>
        </w:rPr>
        <w:t>, Tingting Li</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lang w:val="en-US" w:eastAsia="zh-CN"/>
        </w:rPr>
        <w:t>,</w:t>
      </w:r>
      <w:r>
        <w:rPr>
          <w:rFonts w:hint="eastAsia" w:ascii="Times New Roman" w:hAnsi="Times New Roman" w:eastAsia="宋体" w:cs="Times New Roman"/>
          <w:b w:val="0"/>
          <w:bCs w:val="0"/>
          <w:i/>
          <w:iCs/>
          <w:sz w:val="24"/>
          <w:szCs w:val="24"/>
          <w:vertAlign w:val="baseline"/>
          <w:lang w:val="en-US" w:eastAsia="zh-CN"/>
        </w:rPr>
        <w:t xml:space="preserve"> Xiuping Ju</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Yueyang Huo</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Guanyu Wang</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Jingyan Zhang</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Yinglin Wen</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Qing Lu</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Jiaojiao Li</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Yang Yuan</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Jinghui Zhang</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Xiaolei Jin</w:t>
      </w:r>
      <w:r>
        <w:rPr>
          <w:rFonts w:hint="eastAsia" w:ascii="Times New Roman" w:hAnsi="Times New Roman" w:eastAsia="宋体" w:cs="Times New Roman"/>
          <w:b w:val="0"/>
          <w:bCs w:val="0"/>
          <w:i/>
          <w:iCs/>
          <w:sz w:val="24"/>
          <w:szCs w:val="24"/>
          <w:vertAlign w:val="superscript"/>
          <w:lang w:val="en-US" w:eastAsia="zh-CN"/>
        </w:rPr>
        <w:t>1</w:t>
      </w:r>
      <w:r>
        <w:rPr>
          <w:rFonts w:hint="eastAsia" w:ascii="Times New Roman" w:hAnsi="Times New Roman" w:eastAsia="宋体" w:cs="Times New Roman"/>
          <w:b w:val="0"/>
          <w:bCs w:val="0"/>
          <w:i/>
          <w:iCs/>
          <w:sz w:val="24"/>
          <w:szCs w:val="24"/>
          <w:vertAlign w:val="baseline"/>
          <w:lang w:val="en-US" w:eastAsia="zh-CN"/>
        </w:rPr>
        <w:t>, Tao Chen</w:t>
      </w:r>
      <w:r>
        <w:rPr>
          <w:rFonts w:hint="eastAsia" w:ascii="Times New Roman" w:hAnsi="Times New Roman" w:eastAsia="宋体" w:cs="Times New Roman"/>
          <w:b w:val="0"/>
          <w:bCs w:val="0"/>
          <w:i/>
          <w:iCs/>
          <w:sz w:val="24"/>
          <w:szCs w:val="24"/>
          <w:vertAlign w:val="superscript"/>
          <w:lang w:val="en-US" w:eastAsia="zh-CN"/>
        </w:rPr>
        <w:t>3,</w:t>
      </w:r>
      <w:r>
        <w:rPr>
          <w:rFonts w:hint="eastAsia" w:ascii="Times New Roman" w:hAnsi="Times New Roman" w:eastAsia="宋体" w:cs="Times New Roman"/>
          <w:b w:val="0"/>
          <w:bCs w:val="0"/>
          <w:i/>
          <w:iCs/>
          <w:sz w:val="24"/>
          <w:szCs w:val="24"/>
          <w:lang w:val="en-US" w:eastAsia="zh-CN"/>
        </w:rPr>
        <w:t>*</w:t>
      </w:r>
      <w:r>
        <w:rPr>
          <w:rFonts w:hint="eastAsia" w:ascii="Times New Roman" w:hAnsi="Times New Roman" w:eastAsia="宋体" w:cs="Times New Roman"/>
          <w:b w:val="0"/>
          <w:bCs w:val="0"/>
          <w:i/>
          <w:iCs/>
          <w:sz w:val="24"/>
          <w:szCs w:val="24"/>
          <w:vertAlign w:val="baseline"/>
          <w:lang w:val="en-US" w:eastAsia="zh-CN"/>
        </w:rPr>
        <w:t>,</w:t>
      </w:r>
      <w:r>
        <w:rPr>
          <w:rFonts w:hint="eastAsia" w:ascii="Times New Roman" w:hAnsi="Times New Roman" w:eastAsia="宋体" w:cs="Times New Roman"/>
          <w:b w:val="0"/>
          <w:bCs w:val="0"/>
          <w:i/>
          <w:iCs/>
          <w:sz w:val="24"/>
          <w:szCs w:val="24"/>
          <w:lang w:val="en-US" w:eastAsia="zh-CN"/>
        </w:rPr>
        <w:t xml:space="preserve"> Zongge Li</w:t>
      </w:r>
      <w:r>
        <w:rPr>
          <w:rFonts w:hint="eastAsia" w:ascii="Times New Roman" w:hAnsi="Times New Roman" w:eastAsia="宋体" w:cs="Times New Roman"/>
          <w:b w:val="0"/>
          <w:bCs w:val="0"/>
          <w:i/>
          <w:iCs/>
          <w:sz w:val="24"/>
          <w:szCs w:val="24"/>
          <w:vertAlign w:val="superscript"/>
          <w:lang w:val="en-US" w:eastAsia="zh-CN"/>
        </w:rPr>
        <w:t>2,</w:t>
      </w:r>
      <w:r>
        <w:rPr>
          <w:rFonts w:hint="eastAsia" w:ascii="Times New Roman" w:hAnsi="Times New Roman" w:eastAsia="宋体" w:cs="Times New Roman"/>
          <w:b w:val="0"/>
          <w:bCs w:val="0"/>
          <w:i/>
          <w:iCs/>
          <w:sz w:val="24"/>
          <w:szCs w:val="24"/>
          <w:vertAlign w:val="baseline"/>
          <w:lang w:val="en-US" w:eastAsia="zh-CN"/>
        </w:rPr>
        <w:t>*</w:t>
      </w:r>
      <w:r>
        <w:rPr>
          <w:rFonts w:hint="eastAsia" w:ascii="Times New Roman" w:hAnsi="Times New Roman" w:eastAsia="宋体" w:cs="Times New Roman"/>
          <w:b w:val="0"/>
          <w:bCs w:val="0"/>
          <w:i/>
          <w:iCs/>
          <w:sz w:val="24"/>
          <w:szCs w:val="24"/>
          <w:lang w:val="en-US" w:eastAsia="zh-CN"/>
        </w:rPr>
        <w:t>, Jinsheng Zhao</w:t>
      </w:r>
      <w:r>
        <w:rPr>
          <w:rFonts w:hint="eastAsia" w:ascii="Times New Roman" w:hAnsi="Times New Roman" w:eastAsia="宋体" w:cs="Times New Roman"/>
          <w:b w:val="0"/>
          <w:bCs w:val="0"/>
          <w:i/>
          <w:iCs/>
          <w:sz w:val="24"/>
          <w:szCs w:val="24"/>
          <w:vertAlign w:val="superscript"/>
          <w:lang w:val="en-US" w:eastAsia="zh-CN"/>
        </w:rPr>
        <w:t>2,</w:t>
      </w:r>
      <w:r>
        <w:rPr>
          <w:rFonts w:hint="eastAsia" w:ascii="Times New Roman" w:hAnsi="Times New Roman" w:eastAsia="宋体" w:cs="Times New Roman"/>
          <w:b w:val="0"/>
          <w:bCs w:val="0"/>
          <w:i/>
          <w:iCs/>
          <w:sz w:val="24"/>
          <w:szCs w:val="24"/>
          <w:vertAlign w:val="baseline"/>
          <w:lang w:val="en-US" w:eastAsia="zh-CN"/>
        </w:rPr>
        <w:t>*</w:t>
      </w:r>
      <w:bookmarkStart w:id="0" w:name="_GoBack"/>
      <w:bookmarkEnd w:id="0"/>
    </w:p>
    <w:p w14:paraId="641CF8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lang w:val="en-US" w:eastAsia="zh-CN"/>
        </w:rPr>
      </w:pPr>
      <w:r>
        <w:rPr>
          <w:rFonts w:hint="eastAsia" w:ascii="Times New Roman" w:hAnsi="Times New Roman" w:eastAsia="宋体" w:cs="Times New Roman"/>
          <w:b w:val="0"/>
          <w:bCs w:val="0"/>
          <w:i w:val="0"/>
          <w:iCs w:val="0"/>
          <w:sz w:val="24"/>
          <w:szCs w:val="24"/>
          <w:vertAlign w:val="superscript"/>
          <w:lang w:val="en-US" w:eastAsia="zh-CN"/>
        </w:rPr>
        <w:t xml:space="preserve">1 </w:t>
      </w:r>
      <w:r>
        <w:rPr>
          <w:rFonts w:hint="default" w:ascii="Times New Roman" w:hAnsi="Times New Roman" w:eastAsia="宋体" w:cs="Times New Roman"/>
          <w:b w:val="0"/>
          <w:bCs w:val="0"/>
          <w:i w:val="0"/>
          <w:iCs w:val="0"/>
          <w:sz w:val="24"/>
          <w:szCs w:val="24"/>
          <w:lang w:val="en-US" w:eastAsia="zh-CN"/>
        </w:rPr>
        <w:t xml:space="preserve">Department of Chemistry and Biology, Liaocheng University Dongchang College, Liaocheng, 252001, Shandong, China </w:t>
      </w:r>
    </w:p>
    <w:p w14:paraId="51B853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lang w:val="en-US" w:eastAsia="zh-CN"/>
        </w:rPr>
      </w:pPr>
      <w:r>
        <w:rPr>
          <w:rFonts w:hint="eastAsia" w:ascii="Times New Roman" w:hAnsi="Times New Roman" w:eastAsia="宋体" w:cs="Times New Roman"/>
          <w:b w:val="0"/>
          <w:bCs w:val="0"/>
          <w:i w:val="0"/>
          <w:iCs w:val="0"/>
          <w:sz w:val="24"/>
          <w:szCs w:val="24"/>
          <w:vertAlign w:val="superscript"/>
          <w:lang w:val="en-US" w:eastAsia="zh-CN"/>
        </w:rPr>
        <w:t xml:space="preserve">2 </w:t>
      </w:r>
      <w:r>
        <w:rPr>
          <w:rFonts w:hint="default" w:ascii="Times New Roman" w:hAnsi="Times New Roman" w:eastAsia="宋体" w:cs="Times New Roman"/>
          <w:b w:val="0"/>
          <w:bCs w:val="0"/>
          <w:i w:val="0"/>
          <w:iCs w:val="0"/>
          <w:sz w:val="24"/>
          <w:szCs w:val="24"/>
          <w:lang w:val="en-US" w:eastAsia="zh-CN"/>
        </w:rPr>
        <w:t>School of Chemistry and Chemical Engineering, Liaocheng University, Liaocheng, 252059, Shandong, China</w:t>
      </w:r>
    </w:p>
    <w:p w14:paraId="5A2CDA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lang w:val="en-US" w:eastAsia="zh-CN"/>
        </w:rPr>
      </w:pPr>
      <w:r>
        <w:rPr>
          <w:rFonts w:hint="eastAsia" w:ascii="Times New Roman" w:hAnsi="Times New Roman" w:eastAsia="宋体" w:cs="Times New Roman"/>
          <w:b w:val="0"/>
          <w:bCs w:val="0"/>
          <w:i w:val="0"/>
          <w:iCs w:val="0"/>
          <w:sz w:val="24"/>
          <w:szCs w:val="24"/>
          <w:vertAlign w:val="superscript"/>
          <w:lang w:val="en-US" w:eastAsia="zh-CN"/>
        </w:rPr>
        <w:t xml:space="preserve">4 </w:t>
      </w:r>
      <w:r>
        <w:rPr>
          <w:rFonts w:hint="default" w:ascii="Times New Roman" w:hAnsi="Times New Roman" w:eastAsia="宋体" w:cs="Times New Roman"/>
          <w:b w:val="0"/>
          <w:bCs w:val="0"/>
          <w:i w:val="0"/>
          <w:iCs w:val="0"/>
          <w:sz w:val="24"/>
          <w:szCs w:val="24"/>
          <w:lang w:val="en-US" w:eastAsia="zh-CN"/>
        </w:rPr>
        <w:t>Shanghai Key Lab of Chemical Assessment and Sustainability</w:t>
      </w:r>
      <w:r>
        <w:rPr>
          <w:rFonts w:hint="eastAsia" w:ascii="Times New Roman" w:hAnsi="Times New Roman" w:eastAsia="宋体" w:cs="Times New Roman"/>
          <w:b w:val="0"/>
          <w:bCs w:val="0"/>
          <w:i w:val="0"/>
          <w:iCs w:val="0"/>
          <w:sz w:val="24"/>
          <w:szCs w:val="24"/>
          <w:lang w:val="en-US" w:eastAsia="zh-CN"/>
        </w:rPr>
        <w:t xml:space="preserve">, </w:t>
      </w:r>
      <w:r>
        <w:rPr>
          <w:rFonts w:hint="default" w:ascii="Times New Roman" w:hAnsi="Times New Roman" w:eastAsia="宋体" w:cs="Times New Roman"/>
          <w:b w:val="0"/>
          <w:bCs w:val="0"/>
          <w:i w:val="0"/>
          <w:iCs w:val="0"/>
          <w:sz w:val="24"/>
          <w:szCs w:val="24"/>
          <w:lang w:val="en-US" w:eastAsia="zh-CN"/>
        </w:rPr>
        <w:t>School of Chemical Science and Engineering</w:t>
      </w:r>
      <w:r>
        <w:rPr>
          <w:rFonts w:hint="eastAsia" w:ascii="Times New Roman" w:hAnsi="Times New Roman" w:eastAsia="宋体" w:cs="Times New Roman"/>
          <w:b w:val="0"/>
          <w:bCs w:val="0"/>
          <w:i w:val="0"/>
          <w:iCs w:val="0"/>
          <w:sz w:val="24"/>
          <w:szCs w:val="24"/>
          <w:lang w:val="en-US" w:eastAsia="zh-CN"/>
        </w:rPr>
        <w:t xml:space="preserve">, </w:t>
      </w:r>
      <w:r>
        <w:rPr>
          <w:rFonts w:hint="default" w:ascii="Times New Roman" w:hAnsi="Times New Roman" w:eastAsia="宋体" w:cs="Times New Roman"/>
          <w:b w:val="0"/>
          <w:bCs w:val="0"/>
          <w:i w:val="0"/>
          <w:iCs w:val="0"/>
          <w:sz w:val="24"/>
          <w:szCs w:val="24"/>
          <w:lang w:val="en-US" w:eastAsia="zh-CN"/>
        </w:rPr>
        <w:t>Tongji University</w:t>
      </w:r>
      <w:r>
        <w:rPr>
          <w:rFonts w:hint="eastAsia" w:ascii="Times New Roman" w:hAnsi="Times New Roman" w:eastAsia="宋体" w:cs="Times New Roman"/>
          <w:b w:val="0"/>
          <w:bCs w:val="0"/>
          <w:i w:val="0"/>
          <w:iCs w:val="0"/>
          <w:sz w:val="24"/>
          <w:szCs w:val="24"/>
          <w:lang w:val="en-US" w:eastAsia="zh-CN"/>
        </w:rPr>
        <w:t xml:space="preserve">, </w:t>
      </w:r>
      <w:r>
        <w:rPr>
          <w:rFonts w:hint="default" w:ascii="Times New Roman" w:hAnsi="Times New Roman" w:eastAsia="宋体" w:cs="Times New Roman"/>
          <w:b w:val="0"/>
          <w:bCs w:val="0"/>
          <w:i w:val="0"/>
          <w:iCs w:val="0"/>
          <w:sz w:val="24"/>
          <w:szCs w:val="24"/>
          <w:lang w:val="en-US" w:eastAsia="zh-CN"/>
        </w:rPr>
        <w:t>200092, Shanghai</w:t>
      </w:r>
      <w:r>
        <w:rPr>
          <w:rFonts w:hint="eastAsia" w:ascii="Times New Roman" w:hAnsi="Times New Roman" w:eastAsia="宋体" w:cs="Times New Roman"/>
          <w:b w:val="0"/>
          <w:bCs w:val="0"/>
          <w:i w:val="0"/>
          <w:iCs w:val="0"/>
          <w:sz w:val="24"/>
          <w:szCs w:val="24"/>
          <w:lang w:val="en-US" w:eastAsia="zh-CN"/>
        </w:rPr>
        <w:t>,</w:t>
      </w:r>
      <w:r>
        <w:rPr>
          <w:rFonts w:hint="default" w:ascii="Times New Roman" w:hAnsi="Times New Roman" w:eastAsia="宋体" w:cs="Times New Roman"/>
          <w:b w:val="0"/>
          <w:bCs w:val="0"/>
          <w:i w:val="0"/>
          <w:iCs w:val="0"/>
          <w:sz w:val="24"/>
          <w:szCs w:val="24"/>
          <w:lang w:val="en-US" w:eastAsia="zh-CN"/>
        </w:rPr>
        <w:t xml:space="preserve"> China</w:t>
      </w:r>
    </w:p>
    <w:p w14:paraId="7036B7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lang w:val="en-US" w:eastAsia="zh-CN"/>
        </w:rPr>
      </w:pPr>
      <w:r>
        <w:rPr>
          <w:rFonts w:hint="eastAsia" w:ascii="Times New Roman" w:hAnsi="Times New Roman" w:eastAsia="宋体" w:cs="Times New Roman"/>
          <w:b w:val="0"/>
          <w:bCs w:val="0"/>
          <w:i w:val="0"/>
          <w:iCs w:val="0"/>
          <w:sz w:val="24"/>
          <w:szCs w:val="24"/>
          <w:lang w:val="en-US" w:eastAsia="zh-CN"/>
        </w:rPr>
        <w:t>*Corresponding author. E-</w:t>
      </w:r>
      <w:r>
        <w:rPr>
          <w:rFonts w:hint="default" w:ascii="Times New Roman" w:hAnsi="Times New Roman" w:eastAsia="宋体" w:cs="Times New Roman"/>
          <w:b w:val="0"/>
          <w:bCs w:val="0"/>
          <w:i w:val="0"/>
          <w:iCs w:val="0"/>
          <w:sz w:val="24"/>
          <w:szCs w:val="24"/>
          <w:lang w:val="en-US" w:eastAsia="zh-CN"/>
        </w:rPr>
        <w:t xml:space="preserve">mail addresses: liuyanan@lcudcc.edu.cn (Y. </w:t>
      </w:r>
      <w:r>
        <w:rPr>
          <w:rFonts w:hint="eastAsia" w:ascii="Times New Roman" w:hAnsi="Times New Roman" w:eastAsia="宋体" w:cs="Times New Roman"/>
          <w:b w:val="0"/>
          <w:bCs w:val="0"/>
          <w:i w:val="0"/>
          <w:iCs w:val="0"/>
          <w:sz w:val="24"/>
          <w:szCs w:val="24"/>
          <w:lang w:val="en-US" w:eastAsia="zh-CN"/>
        </w:rPr>
        <w:t>Liu</w:t>
      </w:r>
      <w:r>
        <w:rPr>
          <w:rFonts w:hint="default" w:ascii="Times New Roman" w:hAnsi="Times New Roman" w:eastAsia="宋体" w:cs="Times New Roman"/>
          <w:b w:val="0"/>
          <w:bCs w:val="0"/>
          <w:i w:val="0"/>
          <w:iCs w:val="0"/>
          <w:sz w:val="24"/>
          <w:szCs w:val="24"/>
          <w:lang w:val="en-US" w:eastAsia="zh-CN"/>
        </w:rPr>
        <w:t>), tchen@tongji.edu.cn (</w:t>
      </w:r>
      <w:r>
        <w:rPr>
          <w:rFonts w:hint="eastAsia" w:ascii="Times New Roman" w:hAnsi="Times New Roman" w:eastAsia="宋体" w:cs="Times New Roman"/>
          <w:b w:val="0"/>
          <w:bCs w:val="0"/>
          <w:i w:val="0"/>
          <w:iCs w:val="0"/>
          <w:sz w:val="24"/>
          <w:szCs w:val="24"/>
          <w:lang w:val="en-US" w:eastAsia="zh-CN"/>
        </w:rPr>
        <w:t>T</w:t>
      </w:r>
      <w:r>
        <w:rPr>
          <w:rFonts w:hint="default" w:ascii="Times New Roman" w:hAnsi="Times New Roman" w:eastAsia="宋体" w:cs="Times New Roman"/>
          <w:b w:val="0"/>
          <w:bCs w:val="0"/>
          <w:i w:val="0"/>
          <w:iCs w:val="0"/>
          <w:sz w:val="24"/>
          <w:szCs w:val="24"/>
          <w:lang w:val="en-US" w:eastAsia="zh-CN"/>
        </w:rPr>
        <w:t xml:space="preserve">. </w:t>
      </w:r>
      <w:r>
        <w:rPr>
          <w:rFonts w:hint="eastAsia" w:ascii="Times New Roman" w:hAnsi="Times New Roman" w:eastAsia="宋体" w:cs="Times New Roman"/>
          <w:b w:val="0"/>
          <w:bCs w:val="0"/>
          <w:i w:val="0"/>
          <w:iCs w:val="0"/>
          <w:sz w:val="24"/>
          <w:szCs w:val="24"/>
          <w:lang w:val="en-US" w:eastAsia="zh-CN"/>
        </w:rPr>
        <w:t>Chen</w:t>
      </w:r>
      <w:r>
        <w:rPr>
          <w:rFonts w:hint="default" w:ascii="Times New Roman" w:hAnsi="Times New Roman" w:eastAsia="宋体" w:cs="Times New Roman"/>
          <w:b w:val="0"/>
          <w:bCs w:val="0"/>
          <w:i w:val="0"/>
          <w:iCs w:val="0"/>
          <w:sz w:val="24"/>
          <w:szCs w:val="24"/>
          <w:lang w:val="en-US" w:eastAsia="zh-CN"/>
        </w:rPr>
        <w:t>), lizongge@lcu.edu.cn (Z. Li), j.s.zhao@163.com (</w:t>
      </w:r>
      <w:r>
        <w:rPr>
          <w:rFonts w:hint="eastAsia" w:ascii="Times New Roman" w:hAnsi="Times New Roman" w:eastAsia="宋体" w:cs="Times New Roman"/>
          <w:b w:val="0"/>
          <w:bCs w:val="0"/>
          <w:i w:val="0"/>
          <w:iCs w:val="0"/>
          <w:sz w:val="24"/>
          <w:szCs w:val="24"/>
          <w:lang w:val="en-US" w:eastAsia="zh-CN"/>
        </w:rPr>
        <w:t>J</w:t>
      </w:r>
      <w:r>
        <w:rPr>
          <w:rFonts w:hint="default" w:ascii="Times New Roman" w:hAnsi="Times New Roman" w:eastAsia="宋体" w:cs="Times New Roman"/>
          <w:b w:val="0"/>
          <w:bCs w:val="0"/>
          <w:i w:val="0"/>
          <w:iCs w:val="0"/>
          <w:sz w:val="24"/>
          <w:szCs w:val="24"/>
          <w:lang w:val="en-US" w:eastAsia="zh-CN"/>
        </w:rPr>
        <w:t xml:space="preserve">. </w:t>
      </w:r>
      <w:r>
        <w:rPr>
          <w:rFonts w:hint="eastAsia" w:ascii="Times New Roman" w:hAnsi="Times New Roman" w:eastAsia="宋体" w:cs="Times New Roman"/>
          <w:b w:val="0"/>
          <w:bCs w:val="0"/>
          <w:i w:val="0"/>
          <w:iCs w:val="0"/>
          <w:sz w:val="24"/>
          <w:szCs w:val="24"/>
          <w:lang w:val="en-US" w:eastAsia="zh-CN"/>
        </w:rPr>
        <w:t>Zhao</w:t>
      </w:r>
      <w:r>
        <w:rPr>
          <w:rFonts w:hint="default" w:ascii="Times New Roman" w:hAnsi="Times New Roman" w:eastAsia="宋体" w:cs="Times New Roman"/>
          <w:b w:val="0"/>
          <w:bCs w:val="0"/>
          <w:i w:val="0"/>
          <w:iCs w:val="0"/>
          <w:sz w:val="24"/>
          <w:szCs w:val="24"/>
          <w:lang w:val="en-US" w:eastAsia="zh-CN"/>
        </w:rPr>
        <w:t>).</w:t>
      </w:r>
    </w:p>
    <w:p w14:paraId="46928D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i w:val="0"/>
          <w:iCs w:val="0"/>
          <w:sz w:val="24"/>
          <w:szCs w:val="24"/>
          <w:lang w:val="en-US" w:eastAsia="zh-CN"/>
        </w:rPr>
      </w:pPr>
    </w:p>
    <w:p w14:paraId="42C64A1C">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4789805" cy="1973580"/>
            <wp:effectExtent l="0" t="0" r="1079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789805" cy="1973580"/>
                    </a:xfrm>
                    <a:prstGeom prst="rect">
                      <a:avLst/>
                    </a:prstGeom>
                    <a:noFill/>
                    <a:ln>
                      <a:noFill/>
                    </a:ln>
                  </pic:spPr>
                </pic:pic>
              </a:graphicData>
            </a:graphic>
          </wp:inline>
        </w:drawing>
      </w:r>
    </w:p>
    <w:p w14:paraId="57EE41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Fig</w:t>
      </w:r>
      <w:r>
        <w:rPr>
          <w:rFonts w:hint="eastAsia" w:ascii="Times New Roman" w:hAnsi="Times New Roman" w:eastAsia="宋体"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 xml:space="preserve"> S1</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a</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Tahoma" w:cs="Times New Roman"/>
          <w:color w:val="231F20"/>
          <w:kern w:val="0"/>
          <w:sz w:val="16"/>
          <w:szCs w:val="16"/>
          <w:lang w:val="en-US" w:eastAsia="zh-CN" w:bidi="ar"/>
        </w:rPr>
        <w:t xml:space="preserve"> </w:t>
      </w:r>
      <w:r>
        <w:rPr>
          <w:rFonts w:hint="default" w:ascii="Times New Roman" w:hAnsi="Times New Roman" w:eastAsia="宋体" w:cs="Times New Roman"/>
          <w:color w:val="000000"/>
          <w:kern w:val="0"/>
          <w:sz w:val="24"/>
          <w:szCs w:val="24"/>
          <w:lang w:val="en-US" w:eastAsia="zh-CN" w:bidi="ar"/>
        </w:rPr>
        <w:t>High</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resolution N 1s XPS spectrum deconvoluted into two peaks for free (400.</w:t>
      </w:r>
      <w:r>
        <w:rPr>
          <w:rFonts w:hint="eastAsia" w:ascii="Times New Roman" w:hAnsi="Times New Roman" w:eastAsia="宋体"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 xml:space="preserve"> eV) and protonated amines (402.</w:t>
      </w:r>
      <w:r>
        <w:rPr>
          <w:rFonts w:hint="eastAsia" w:ascii="Times New Roman" w:hAnsi="Times New Roman" w:eastAsia="宋体" w:cs="Times New Roman"/>
          <w:color w:val="000000"/>
          <w:kern w:val="0"/>
          <w:sz w:val="24"/>
          <w:szCs w:val="24"/>
          <w:lang w:val="en-US" w:eastAsia="zh-CN" w:bidi="ar"/>
        </w:rPr>
        <w:t>3</w:t>
      </w:r>
      <w:r>
        <w:rPr>
          <w:rFonts w:hint="default" w:ascii="Times New Roman" w:hAnsi="Times New Roman" w:eastAsia="宋体" w:cs="Times New Roman"/>
          <w:color w:val="000000"/>
          <w:kern w:val="0"/>
          <w:sz w:val="24"/>
          <w:szCs w:val="24"/>
          <w:lang w:val="en-US" w:eastAsia="zh-CN" w:bidi="ar"/>
        </w:rPr>
        <w:t xml:space="preserve"> eV).</w:t>
      </w:r>
      <w:r>
        <w:rPr>
          <w:rFonts w:hint="eastAsia" w:ascii="Times New Roman" w:hAnsi="Times New Roman" w:eastAsia="宋体" w:cs="Times New Roman"/>
          <w:color w:val="000000"/>
          <w:kern w:val="0"/>
          <w:sz w:val="24"/>
          <w:szCs w:val="24"/>
          <w:lang w:val="en-US" w:eastAsia="zh-CN" w:bidi="ar"/>
        </w:rPr>
        <w:t xml:space="preserve"> (b) </w:t>
      </w:r>
      <w:r>
        <w:rPr>
          <w:rFonts w:hint="default" w:ascii="Times New Roman" w:hAnsi="Times New Roman" w:eastAsia="宋体" w:cs="Times New Roman"/>
          <w:color w:val="000000"/>
          <w:kern w:val="0"/>
          <w:sz w:val="24"/>
          <w:szCs w:val="24"/>
          <w:lang w:val="en-US" w:eastAsia="zh-CN" w:bidi="ar"/>
        </w:rPr>
        <w:t>High resolution XPS spectra of Si2p survey spectrum of EAPTMS-Ti</w:t>
      </w:r>
      <w:r>
        <w:rPr>
          <w:rFonts w:hint="default" w:ascii="Times New Roman" w:hAnsi="Times New Roman" w:eastAsia="宋体" w:cs="Times New Roman"/>
          <w:color w:val="000000"/>
          <w:kern w:val="0"/>
          <w:sz w:val="24"/>
          <w:szCs w:val="24"/>
          <w:vertAlign w:val="subscript"/>
          <w:lang w:val="en-US" w:eastAsia="zh-CN" w:bidi="ar"/>
        </w:rPr>
        <w:t>3</w:t>
      </w:r>
      <w:r>
        <w:rPr>
          <w:rFonts w:hint="default" w:ascii="Times New Roman" w:hAnsi="Times New Roman" w:eastAsia="宋体" w:cs="Times New Roman"/>
          <w:color w:val="000000"/>
          <w:kern w:val="0"/>
          <w:sz w:val="24"/>
          <w:szCs w:val="24"/>
          <w:lang w:val="en-US" w:eastAsia="zh-CN" w:bidi="ar"/>
        </w:rPr>
        <w:t>C</w:t>
      </w:r>
      <w:r>
        <w:rPr>
          <w:rFonts w:hint="default" w:ascii="Times New Roman" w:hAnsi="Times New Roman" w:eastAsia="宋体" w:cs="Times New Roman"/>
          <w:color w:val="000000"/>
          <w:kern w:val="0"/>
          <w:sz w:val="24"/>
          <w:szCs w:val="24"/>
          <w:vertAlign w:val="subscript"/>
          <w:lang w:val="en-US" w:eastAsia="zh-CN" w:bidi="ar"/>
        </w:rPr>
        <w:t>2</w:t>
      </w:r>
      <w:r>
        <w:rPr>
          <w:rFonts w:hint="default" w:ascii="Times New Roman" w:hAnsi="Times New Roman" w:eastAsia="宋体" w:cs="Times New Roman"/>
          <w:color w:val="000000"/>
          <w:kern w:val="0"/>
          <w:sz w:val="24"/>
          <w:szCs w:val="24"/>
          <w:lang w:val="en-US" w:eastAsia="zh-CN" w:bidi="ar"/>
        </w:rPr>
        <w:t>T</w:t>
      </w:r>
      <w:r>
        <w:rPr>
          <w:rFonts w:hint="default" w:ascii="Times New Roman" w:hAnsi="Times New Roman" w:eastAsia="宋体" w:cs="Times New Roman"/>
          <w:color w:val="000000"/>
          <w:kern w:val="0"/>
          <w:sz w:val="24"/>
          <w:szCs w:val="24"/>
          <w:vertAlign w:val="subscript"/>
          <w:lang w:val="en-US" w:eastAsia="zh-CN" w:bidi="ar"/>
        </w:rPr>
        <w:t>x</w:t>
      </w:r>
      <w:r>
        <w:rPr>
          <w:rFonts w:hint="default" w:ascii="Times New Roman" w:hAnsi="Times New Roman" w:eastAsia="宋体" w:cs="Times New Roman"/>
          <w:color w:val="000000"/>
          <w:kern w:val="0"/>
          <w:sz w:val="24"/>
          <w:szCs w:val="24"/>
          <w:lang w:val="en-US" w:eastAsia="zh-CN" w:bidi="ar"/>
        </w:rPr>
        <w:t>.</w:t>
      </w:r>
    </w:p>
    <w:p w14:paraId="279ADAB5">
      <w:pPr>
        <w:keepNext w:val="0"/>
        <w:keepLines w:val="0"/>
        <w:widowControl/>
        <w:suppressLineNumbers w:val="0"/>
        <w:jc w:val="left"/>
        <w:rPr>
          <w:rFonts w:hint="default" w:ascii="Times New Roman" w:hAnsi="Times New Roman" w:cs="Times New Roman"/>
        </w:rPr>
      </w:pPr>
    </w:p>
    <w:p w14:paraId="033996FD">
      <w:pPr>
        <w:keepNext w:val="0"/>
        <w:keepLines w:val="0"/>
        <w:widowControl/>
        <w:suppressLineNumbers w:val="0"/>
        <w:jc w:val="center"/>
      </w:pPr>
      <w:r>
        <w:drawing>
          <wp:inline distT="0" distB="0" distL="114300" distR="114300">
            <wp:extent cx="4739005" cy="1842770"/>
            <wp:effectExtent l="0" t="0" r="10795"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739005" cy="1842770"/>
                    </a:xfrm>
                    <a:prstGeom prst="rect">
                      <a:avLst/>
                    </a:prstGeom>
                    <a:noFill/>
                    <a:ln>
                      <a:noFill/>
                    </a:ln>
                  </pic:spPr>
                </pic:pic>
              </a:graphicData>
            </a:graphic>
          </wp:inline>
        </w:drawing>
      </w:r>
    </w:p>
    <w:p w14:paraId="4E8709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rPr>
      </w:pPr>
      <w:r>
        <w:rPr>
          <w:rFonts w:hint="default" w:ascii="Times New Roman" w:hAnsi="Times New Roman" w:eastAsia="宋体" w:cs="Times New Roman"/>
          <w:b/>
          <w:bCs/>
          <w:color w:val="000000"/>
          <w:kern w:val="0"/>
          <w:sz w:val="24"/>
          <w:szCs w:val="24"/>
          <w:lang w:val="en-US" w:eastAsia="zh-CN" w:bidi="ar"/>
        </w:rPr>
        <w:t>Fig</w:t>
      </w:r>
      <w:r>
        <w:rPr>
          <w:rFonts w:hint="eastAsia" w:ascii="Times New Roman" w:hAnsi="Times New Roman" w:eastAsia="宋体"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 xml:space="preserve"> S</w:t>
      </w:r>
      <w:r>
        <w:rPr>
          <w:rFonts w:hint="eastAsia" w:ascii="Times New Roman" w:hAnsi="Times New Roman" w:eastAsia="宋体" w:cs="Times New Roman"/>
          <w:b/>
          <w:bCs/>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kern w:val="2"/>
          <w:sz w:val="24"/>
          <w:szCs w:val="24"/>
          <w:lang w:val="en-US" w:eastAsia="zh-CN" w:bidi="ar-SA"/>
        </w:rPr>
        <w:t>Mean square displacement (MSD) curves of Na⁺ and Cl⁻ under</w:t>
      </w:r>
      <w:r>
        <w:rPr>
          <w:rFonts w:hint="eastAsia" w:ascii="宋体" w:hAnsi="宋体" w:eastAsia="宋体" w:cs="宋体"/>
          <w:sz w:val="24"/>
          <w:szCs w:val="24"/>
          <w:lang w:val="en-US" w:eastAsia="zh-CN"/>
        </w:rPr>
        <w:t xml:space="preserve"> </w:t>
      </w:r>
      <w:r>
        <w:rPr>
          <w:rFonts w:hint="default" w:ascii="Times New Roman" w:hAnsi="Times New Roman" w:eastAsia="宋体" w:cs="Times New Roman"/>
          <w:kern w:val="2"/>
          <w:sz w:val="24"/>
          <w:szCs w:val="24"/>
          <w:lang w:val="en-US" w:eastAsia="zh-CN" w:bidi="ar-SA"/>
        </w:rPr>
        <w:t>forward connection</w:t>
      </w:r>
      <w:r>
        <w:rPr>
          <w:rFonts w:hint="eastAsia" w:ascii="Times New Roman" w:hAnsi="Times New Roman" w:eastAsia="宋体" w:cs="Times New Roman"/>
          <w:kern w:val="2"/>
          <w:sz w:val="24"/>
          <w:szCs w:val="24"/>
          <w:lang w:val="en-US" w:eastAsia="zh-CN" w:bidi="ar-SA"/>
        </w:rPr>
        <w:t xml:space="preserve"> </w:t>
      </w:r>
      <w:r>
        <w:rPr>
          <w:rFonts w:hint="eastAsia" w:ascii="Times New Roman" w:hAnsi="Times New Roman" w:eastAsia="宋体" w:cs="Times New Roman"/>
          <w:color w:val="000000"/>
          <w:kern w:val="0"/>
          <w:sz w:val="24"/>
          <w:szCs w:val="24"/>
          <w:lang w:val="en-US" w:eastAsia="zh-CN" w:bidi="ar"/>
        </w:rPr>
        <w:t>(a)</w:t>
      </w:r>
      <w:r>
        <w:rPr>
          <w:rFonts w:hint="default" w:ascii="Times New Roman" w:hAnsi="Times New Roman" w:eastAsia="宋体"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 xml:space="preserve">and </w:t>
      </w:r>
      <w:r>
        <w:rPr>
          <w:rFonts w:hint="default" w:ascii="Times New Roman" w:hAnsi="Times New Roman" w:eastAsia="宋体" w:cs="Times New Roman"/>
          <w:kern w:val="2"/>
          <w:sz w:val="24"/>
          <w:szCs w:val="24"/>
          <w:lang w:val="en-US" w:eastAsia="zh-CN" w:bidi="ar-SA"/>
        </w:rPr>
        <w:t>reverse connection</w:t>
      </w:r>
      <w:r>
        <w:rPr>
          <w:rFonts w:hint="eastAsia" w:ascii="Times New Roman" w:hAnsi="Times New Roman" w:eastAsia="宋体" w:cs="Times New Roman"/>
          <w:kern w:val="2"/>
          <w:sz w:val="24"/>
          <w:szCs w:val="24"/>
          <w:lang w:val="en-US" w:eastAsia="zh-CN" w:bidi="ar-SA"/>
        </w:rPr>
        <w:t xml:space="preserve"> (b) </w:t>
      </w:r>
      <w:r>
        <w:rPr>
          <w:rFonts w:hint="default" w:ascii="Times New Roman" w:hAnsi="Times New Roman" w:eastAsia="宋体" w:cs="Times New Roman"/>
          <w:kern w:val="2"/>
          <w:sz w:val="24"/>
          <w:szCs w:val="24"/>
          <w:lang w:val="en-US" w:eastAsia="zh-CN" w:bidi="ar-SA"/>
        </w:rPr>
        <w:t>of the supercapacitor</w:t>
      </w:r>
      <w:r>
        <w:rPr>
          <w:rFonts w:hint="default" w:ascii="Times New Roman" w:hAnsi="Times New Roman" w:eastAsia="宋体" w:cs="Times New Roman"/>
          <w:kern w:val="2"/>
          <w:sz w:val="24"/>
          <w:szCs w:val="24"/>
          <w:lang w:eastAsia="zh-CN" w:bidi="ar-SA"/>
        </w:rPr>
        <w:t>.</w:t>
      </w:r>
    </w:p>
    <w:p w14:paraId="34676C3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p>
    <w:p w14:paraId="49543A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b/>
          <w:bCs/>
          <w:sz w:val="24"/>
          <w:szCs w:val="24"/>
          <w:lang w:val="en-US" w:eastAsia="zh-CN"/>
        </w:rPr>
        <w:t>Table S1</w:t>
      </w:r>
      <w:r>
        <w:rPr>
          <w:rFonts w:hint="default" w:ascii="Times New Roman" w:hAnsi="Times New Roman" w:eastAsia="宋体" w:cs="Times New Roman"/>
          <w:b/>
          <w:bCs/>
          <w:sz w:val="24"/>
          <w:szCs w:val="24"/>
          <w:lang w:eastAsia="zh-CN"/>
        </w:rPr>
        <w:t xml:space="preserve"> </w:t>
      </w:r>
      <w:r>
        <w:rPr>
          <w:rFonts w:hint="default" w:ascii="Times New Roman" w:hAnsi="Times New Roman" w:eastAsia="宋体" w:cs="Times New Roman"/>
          <w:kern w:val="2"/>
          <w:sz w:val="24"/>
          <w:szCs w:val="24"/>
          <w:lang w:val="en-US" w:eastAsia="zh-CN" w:bidi="ar-SA"/>
        </w:rPr>
        <w:t>Diffusion coefficients of Na⁺ and Cl⁻ under forward and reverse connection configurations of the supercapacitor.</w:t>
      </w:r>
    </w:p>
    <w:p w14:paraId="4D24E670">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7325" cy="731520"/>
            <wp:effectExtent l="0" t="0" r="3175"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67325" cy="731520"/>
                    </a:xfrm>
                    <a:prstGeom prst="rect">
                      <a:avLst/>
                    </a:prstGeom>
                    <a:noFill/>
                    <a:ln>
                      <a:noFill/>
                    </a:ln>
                  </pic:spPr>
                </pic:pic>
              </a:graphicData>
            </a:graphic>
          </wp:inline>
        </w:drawing>
      </w:r>
    </w:p>
    <w:p w14:paraId="5B4E89ED">
      <w:pPr>
        <w:keepNext w:val="0"/>
        <w:keepLines w:val="0"/>
        <w:pageBreakBefore w:val="0"/>
        <w:widowControl w:val="0"/>
        <w:kinsoku/>
        <w:wordWrap/>
        <w:overflowPunct/>
        <w:topLinePunct w:val="0"/>
        <w:autoSpaceDE/>
        <w:autoSpaceDN/>
        <w:bidi w:val="0"/>
        <w:adjustRightInd/>
        <w:snapToGrid/>
        <w:spacing w:line="360" w:lineRule="auto"/>
        <w:textAlignment w:val="auto"/>
      </w:pPr>
    </w:p>
    <w:p w14:paraId="69EA4E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rPr>
      </w:pPr>
      <w:r>
        <w:drawing>
          <wp:inline distT="0" distB="0" distL="114300" distR="114300">
            <wp:extent cx="5438140" cy="1543050"/>
            <wp:effectExtent l="0" t="0" r="1016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7"/>
                    <a:srcRect r="3200"/>
                    <a:stretch>
                      <a:fillRect/>
                    </a:stretch>
                  </pic:blipFill>
                  <pic:spPr>
                    <a:xfrm>
                      <a:off x="0" y="0"/>
                      <a:ext cx="5438140" cy="1543050"/>
                    </a:xfrm>
                    <a:prstGeom prst="rect">
                      <a:avLst/>
                    </a:prstGeom>
                    <a:noFill/>
                    <a:ln>
                      <a:noFill/>
                    </a:ln>
                  </pic:spPr>
                </pic:pic>
              </a:graphicData>
            </a:graphic>
          </wp:inline>
        </w:drawing>
      </w:r>
    </w:p>
    <w:p w14:paraId="13D3BDA5">
      <w:pPr>
        <w:pStyle w:val="3"/>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Fig</w:t>
      </w:r>
      <w:r>
        <w:rPr>
          <w:rFonts w:hint="eastAsia"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kern w:val="2"/>
          <w:sz w:val="24"/>
          <w:szCs w:val="24"/>
          <w:lang w:val="en-US" w:eastAsia="zh-CN" w:bidi="ar-SA"/>
        </w:rPr>
        <w:t xml:space="preserve"> S</w:t>
      </w:r>
      <w:r>
        <w:rPr>
          <w:rFonts w:hint="eastAsia" w:ascii="Times New Roman" w:hAnsi="Times New Roman" w:eastAsia="宋体" w:cs="Times New Roman"/>
          <w:b/>
          <w:bCs/>
          <w:kern w:val="2"/>
          <w:sz w:val="24"/>
          <w:szCs w:val="24"/>
          <w:lang w:val="en-US" w:eastAsia="zh-CN" w:bidi="ar-SA"/>
        </w:rPr>
        <w:t>3</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Cyclic voltammetry (CV) curves (a), galvanostatic charge</w:t>
      </w:r>
      <w:r>
        <w:rPr>
          <w:rFonts w:hint="eastAsia" w:ascii="Times New Roman" w:hAnsi="Times New Roman" w:eastAsia="宋体" w:cs="Times New Roman"/>
          <w:kern w:val="2"/>
          <w:sz w:val="24"/>
          <w:szCs w:val="24"/>
          <w:lang w:val="en-US" w:eastAsia="zh-CN" w:bidi="ar-SA"/>
        </w:rPr>
        <w:t>-</w:t>
      </w:r>
      <w:r>
        <w:rPr>
          <w:rFonts w:hint="default" w:ascii="Times New Roman" w:hAnsi="Times New Roman" w:eastAsia="宋体" w:cs="Times New Roman"/>
          <w:kern w:val="2"/>
          <w:sz w:val="24"/>
          <w:szCs w:val="24"/>
          <w:lang w:val="en-US" w:eastAsia="zh-CN" w:bidi="ar-SA"/>
        </w:rPr>
        <w:t>discharge (GCD) curves (b), and electrochemical impedance spectra (c) of the charge-symmetric MXene//MXene device without chemical modification.</w:t>
      </w:r>
    </w:p>
    <w:p w14:paraId="391B3A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SA"/>
        </w:rPr>
      </w:pPr>
      <w:r>
        <w:drawing>
          <wp:inline distT="0" distB="0" distL="114300" distR="114300">
            <wp:extent cx="5395595" cy="1609090"/>
            <wp:effectExtent l="0" t="0" r="1905" b="381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8"/>
                    <a:srcRect r="4147"/>
                    <a:stretch>
                      <a:fillRect/>
                    </a:stretch>
                  </pic:blipFill>
                  <pic:spPr>
                    <a:xfrm>
                      <a:off x="0" y="0"/>
                      <a:ext cx="5395595" cy="1609090"/>
                    </a:xfrm>
                    <a:prstGeom prst="rect">
                      <a:avLst/>
                    </a:prstGeom>
                    <a:noFill/>
                    <a:ln>
                      <a:noFill/>
                    </a:ln>
                  </pic:spPr>
                </pic:pic>
              </a:graphicData>
            </a:graphic>
          </wp:inline>
        </w:drawing>
      </w:r>
      <w:r>
        <w:rPr>
          <w:rFonts w:hint="default" w:ascii="Times New Roman" w:hAnsi="Times New Roman" w:eastAsia="宋体" w:cs="Times New Roman"/>
          <w:b/>
          <w:bCs/>
          <w:kern w:val="2"/>
          <w:sz w:val="24"/>
          <w:szCs w:val="24"/>
          <w:lang w:val="en-US" w:eastAsia="zh-CN" w:bidi="ar-SA"/>
        </w:rPr>
        <w:t>Fig</w:t>
      </w:r>
      <w:r>
        <w:rPr>
          <w:rFonts w:hint="eastAsia"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kern w:val="2"/>
          <w:sz w:val="24"/>
          <w:szCs w:val="24"/>
          <w:lang w:val="en-US" w:eastAsia="zh-CN" w:bidi="ar-SA"/>
        </w:rPr>
        <w:t xml:space="preserve"> S</w:t>
      </w:r>
      <w:r>
        <w:rPr>
          <w:rFonts w:hint="eastAsia" w:ascii="Times New Roman" w:hAnsi="Times New Roman" w:eastAsia="宋体"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GCD curves (</w:t>
      </w:r>
      <w:r>
        <w:rPr>
          <w:rFonts w:hint="eastAsia" w:ascii="Times New Roman" w:hAnsi="Times New Roman" w:eastAsia="宋体" w:cs="Times New Roman"/>
          <w:kern w:val="2"/>
          <w:sz w:val="24"/>
          <w:szCs w:val="24"/>
          <w:lang w:val="en-US" w:eastAsia="zh-CN" w:bidi="ar-SA"/>
        </w:rPr>
        <w:t>a</w:t>
      </w:r>
      <w:r>
        <w:rPr>
          <w:rFonts w:hint="default" w:ascii="Times New Roman" w:hAnsi="Times New Roman" w:eastAsia="宋体" w:cs="Times New Roman"/>
          <w:kern w:val="2"/>
          <w:sz w:val="24"/>
          <w:szCs w:val="24"/>
          <w:lang w:val="en-US" w:eastAsia="zh-CN" w:bidi="ar-SA"/>
        </w:rPr>
        <w:t>), areal capacitances (</w:t>
      </w:r>
      <w:r>
        <w:rPr>
          <w:rFonts w:hint="eastAsia" w:ascii="Times New Roman" w:hAnsi="Times New Roman" w:eastAsia="宋体" w:cs="Times New Roman"/>
          <w:kern w:val="2"/>
          <w:sz w:val="24"/>
          <w:szCs w:val="24"/>
          <w:lang w:val="en-US" w:eastAsia="zh-CN" w:bidi="ar-SA"/>
        </w:rPr>
        <w:t>b</w:t>
      </w:r>
      <w:r>
        <w:rPr>
          <w:rFonts w:hint="default" w:ascii="Times New Roman" w:hAnsi="Times New Roman" w:eastAsia="宋体" w:cs="Times New Roman"/>
          <w:kern w:val="2"/>
          <w:sz w:val="24"/>
          <w:szCs w:val="24"/>
          <w:lang w:val="en-US" w:eastAsia="zh-CN" w:bidi="ar-SA"/>
        </w:rPr>
        <w:t>), and electrochemical impedance spectra (</w:t>
      </w:r>
      <w:r>
        <w:rPr>
          <w:rFonts w:hint="eastAsia" w:ascii="Times New Roman" w:hAnsi="Times New Roman" w:eastAsia="宋体" w:cs="Times New Roman"/>
          <w:kern w:val="2"/>
          <w:sz w:val="24"/>
          <w:szCs w:val="24"/>
          <w:lang w:val="en-US" w:eastAsia="zh-CN" w:bidi="ar-SA"/>
        </w:rPr>
        <w:t>c</w:t>
      </w:r>
      <w:r>
        <w:rPr>
          <w:rFonts w:hint="default" w:ascii="Times New Roman" w:hAnsi="Times New Roman" w:eastAsia="宋体" w:cs="Times New Roman"/>
          <w:kern w:val="2"/>
          <w:sz w:val="24"/>
          <w:szCs w:val="24"/>
          <w:lang w:val="en-US" w:eastAsia="zh-CN" w:bidi="ar-SA"/>
        </w:rPr>
        <w:t>) of the charge-asymmetric P-MXene//N-MXene devices with different electrode thicknesses.</w:t>
      </w:r>
    </w:p>
    <w:p w14:paraId="72981A7D">
      <w:pPr>
        <w:pStyle w:val="3"/>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pPr>
      <w:r>
        <w:drawing>
          <wp:inline distT="0" distB="0" distL="114300" distR="114300">
            <wp:extent cx="5270500" cy="2035810"/>
            <wp:effectExtent l="0" t="0" r="0"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5270500" cy="2035810"/>
                    </a:xfrm>
                    <a:prstGeom prst="rect">
                      <a:avLst/>
                    </a:prstGeom>
                    <a:noFill/>
                    <a:ln>
                      <a:noFill/>
                    </a:ln>
                  </pic:spPr>
                </pic:pic>
              </a:graphicData>
            </a:graphic>
          </wp:inline>
        </w:drawing>
      </w:r>
    </w:p>
    <w:p w14:paraId="3ECE2929">
      <w:pPr>
        <w:pStyle w:val="3"/>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ascii="Times New Roman" w:hAnsi="Times New Roman" w:eastAsia="宋体" w:cs="Times New Roman"/>
          <w:b/>
          <w:bCs/>
          <w:kern w:val="2"/>
          <w:sz w:val="24"/>
          <w:szCs w:val="24"/>
          <w:lang w:val="en-US" w:eastAsia="zh-CN" w:bidi="ar-SA"/>
        </w:rPr>
        <w:t>Fig</w:t>
      </w:r>
      <w:r>
        <w:rPr>
          <w:rFonts w:hint="eastAsia"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kern w:val="2"/>
          <w:sz w:val="24"/>
          <w:szCs w:val="24"/>
          <w:lang w:val="en-US" w:eastAsia="zh-CN" w:bidi="ar-SA"/>
        </w:rPr>
        <w:t xml:space="preserve"> S</w:t>
      </w:r>
      <w:r>
        <w:rPr>
          <w:rFonts w:hint="eastAsia" w:ascii="Times New Roman" w:hAnsi="Times New Roman" w:eastAsia="宋体" w:cs="Times New Roman"/>
          <w:b/>
          <w:bCs/>
          <w:kern w:val="2"/>
          <w:sz w:val="24"/>
          <w:szCs w:val="24"/>
          <w:lang w:val="en-US" w:eastAsia="zh-CN" w:bidi="ar-SA"/>
        </w:rPr>
        <w:t>5</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 xml:space="preserve"> </w:t>
      </w:r>
      <w:r>
        <w:rPr>
          <w:rFonts w:hint="eastAsia" w:ascii="Times New Roman" w:hAnsi="Times New Roman" w:eastAsia="宋体" w:cs="Times New Roman"/>
          <w:b w:val="0"/>
          <w:bCs w:val="0"/>
          <w:kern w:val="2"/>
          <w:sz w:val="24"/>
          <w:szCs w:val="24"/>
          <w:lang w:val="en-US" w:eastAsia="zh-CN" w:bidi="ar-SA"/>
        </w:rPr>
        <w:t>E</w:t>
      </w:r>
      <w:r>
        <w:rPr>
          <w:rFonts w:hint="default" w:ascii="Times New Roman" w:hAnsi="Times New Roman" w:eastAsia="宋体" w:cs="Times New Roman"/>
          <w:kern w:val="2"/>
          <w:sz w:val="24"/>
          <w:szCs w:val="24"/>
          <w:lang w:val="en-US" w:eastAsia="zh-CN" w:bidi="ar-SA"/>
        </w:rPr>
        <w:t>lectrochemical impedance spectra (</w:t>
      </w:r>
      <w:r>
        <w:rPr>
          <w:rFonts w:hint="eastAsia" w:ascii="Times New Roman" w:hAnsi="Times New Roman" w:eastAsia="宋体" w:cs="Times New Roman"/>
          <w:kern w:val="2"/>
          <w:sz w:val="24"/>
          <w:szCs w:val="24"/>
          <w:lang w:val="en-US" w:eastAsia="zh-CN" w:bidi="ar-SA"/>
        </w:rPr>
        <w:t>a</w:t>
      </w:r>
      <w:r>
        <w:rPr>
          <w:rFonts w:hint="default" w:ascii="Times New Roman" w:hAnsi="Times New Roman" w:eastAsia="宋体"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 xml:space="preserve">and </w:t>
      </w:r>
      <w:r>
        <w:rPr>
          <w:rFonts w:ascii="Times New Roman" w:hAnsi="Times New Roman" w:eastAsia="宋体" w:cs="Times New Roman"/>
          <w:sz w:val="24"/>
        </w:rPr>
        <w:t>Bode plot</w:t>
      </w:r>
      <w:r>
        <w:rPr>
          <w:rFonts w:hint="eastAsia" w:ascii="Times New Roman" w:hAnsi="Times New Roman" w:eastAsia="宋体" w:cs="Times New Roman"/>
          <w:sz w:val="24"/>
          <w:lang w:val="en-US" w:eastAsia="zh-CN"/>
        </w:rPr>
        <w:t xml:space="preserve"> (b) </w:t>
      </w:r>
      <w:r>
        <w:rPr>
          <w:rFonts w:hint="default" w:ascii="Times New Roman" w:hAnsi="Times New Roman" w:eastAsia="宋体" w:cs="Times New Roman"/>
          <w:kern w:val="2"/>
          <w:sz w:val="24"/>
          <w:szCs w:val="24"/>
          <w:lang w:val="en-US" w:eastAsia="zh-CN" w:bidi="ar-SA"/>
        </w:rPr>
        <w:t xml:space="preserve">of the charge-asymmetric P-MXene//N-MXene </w:t>
      </w:r>
      <w:r>
        <w:rPr>
          <w:rFonts w:ascii="Times New Roman" w:hAnsi="Times New Roman" w:eastAsia="宋体" w:cs="Times New Roman"/>
          <w:sz w:val="24"/>
        </w:rPr>
        <w:t>supercapacitor</w:t>
      </w:r>
      <w:r>
        <w:rPr>
          <w:rFonts w:hint="default" w:ascii="Times New Roman" w:hAnsi="Times New Roman" w:eastAsia="宋体" w:cs="Times New Roman"/>
          <w:kern w:val="2"/>
          <w:sz w:val="24"/>
          <w:szCs w:val="24"/>
          <w:lang w:val="en-US" w:eastAsia="zh-CN" w:bidi="ar-SA"/>
        </w:rPr>
        <w:t>.</w:t>
      </w:r>
    </w:p>
    <w:p w14:paraId="34D723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bCs/>
          <w:sz w:val="24"/>
          <w:szCs w:val="24"/>
          <w:lang w:val="en-US" w:eastAsia="zh-CN"/>
        </w:rPr>
        <w:t>Table S2</w:t>
      </w:r>
      <w:r>
        <w:rPr>
          <w:rFonts w:hint="default" w:ascii="Times New Roman" w:hAnsi="Times New Roman" w:eastAsia="宋体" w:cs="Times New Roman"/>
          <w:b/>
          <w:bCs/>
          <w:sz w:val="24"/>
          <w:szCs w:val="24"/>
          <w:lang w:eastAsia="zh-CN"/>
        </w:rPr>
        <w:t xml:space="preserve"> </w:t>
      </w:r>
      <w:r>
        <w:rPr>
          <w:rFonts w:hint="default" w:ascii="Times New Roman" w:hAnsi="Times New Roman" w:eastAsia="宋体" w:cs="Times New Roman"/>
          <w:b w:val="0"/>
          <w:bCs w:val="0"/>
          <w:kern w:val="2"/>
          <w:sz w:val="24"/>
          <w:szCs w:val="24"/>
          <w:lang w:val="en-US" w:eastAsia="zh-CN" w:bidi="ar-SA"/>
        </w:rPr>
        <w:t>Comparison of fitting parameters in the diffusion-controlled and activation-controlled models</w:t>
      </w:r>
      <w:r>
        <w:rPr>
          <w:rFonts w:hint="eastAsia" w:ascii="Times New Roman" w:hAnsi="Times New Roman" w:eastAsia="宋体" w:cs="Times New Roman"/>
          <w:b w:val="0"/>
          <w:bCs w:val="0"/>
          <w:kern w:val="2"/>
          <w:sz w:val="24"/>
          <w:szCs w:val="24"/>
          <w:lang w:val="en-US" w:eastAsia="zh-CN" w:bidi="ar-SA"/>
        </w:rPr>
        <w:t>.</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09"/>
        <w:gridCol w:w="1362"/>
        <w:gridCol w:w="1361"/>
        <w:gridCol w:w="1361"/>
        <w:gridCol w:w="1361"/>
        <w:gridCol w:w="1362"/>
      </w:tblGrid>
      <w:tr w14:paraId="12885E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0" w:type="dxa"/>
            <w:vMerge w:val="restart"/>
            <w:tcBorders>
              <w:top w:val="single" w:color="auto" w:sz="12" w:space="0"/>
            </w:tcBorders>
          </w:tcPr>
          <w:p w14:paraId="15B49F69">
            <w:pPr>
              <w:spacing w:line="360" w:lineRule="auto"/>
              <w:jc w:val="center"/>
              <w:rPr>
                <w:rFonts w:hint="default" w:ascii="Times New Roman" w:hAnsi="Times New Roman" w:cs="Times New Roman" w:eastAsiaTheme="minorEastAsia"/>
                <w:sz w:val="24"/>
                <w:szCs w:val="28"/>
                <w:lang w:val="en-US"/>
              </w:rPr>
            </w:pPr>
            <w:r>
              <w:rPr>
                <w:rFonts w:hint="default" w:ascii="Times New Roman" w:hAnsi="Times New Roman" w:eastAsia="宋体" w:cs="Times New Roman"/>
                <w:color w:val="auto"/>
                <w:kern w:val="2"/>
                <w:sz w:val="24"/>
                <w:szCs w:val="24"/>
                <w:lang w:val="en-US" w:eastAsia="zh-CN" w:bidi="ar-SA"/>
              </w:rPr>
              <w:t>Model</w:t>
            </w:r>
            <w:r>
              <w:rPr>
                <w:rFonts w:hint="eastAsia" w:ascii="Times New Roman" w:hAnsi="Times New Roman" w:eastAsia="宋体" w:cs="Times New Roman"/>
                <w:color w:val="auto"/>
                <w:kern w:val="2"/>
                <w:sz w:val="24"/>
                <w:szCs w:val="24"/>
                <w:lang w:val="en-US" w:eastAsia="zh-CN" w:bidi="ar-SA"/>
              </w:rPr>
              <w:t>/</w:t>
            </w:r>
          </w:p>
          <w:p w14:paraId="3FBC1A40">
            <w:pPr>
              <w:spacing w:line="360" w:lineRule="auto"/>
              <w:jc w:val="center"/>
              <w:rPr>
                <w:rFonts w:hint="eastAsia" w:ascii="Times New Roman" w:hAnsi="Times New Roman" w:cs="Times New Roman" w:eastAsiaTheme="minorEastAsia"/>
                <w:sz w:val="24"/>
                <w:szCs w:val="28"/>
              </w:rPr>
            </w:pPr>
            <w:r>
              <w:rPr>
                <w:rFonts w:hint="default" w:ascii="Times New Roman" w:hAnsi="Times New Roman" w:eastAsia="宋体" w:cs="Times New Roman"/>
                <w:color w:val="auto"/>
                <w:kern w:val="2"/>
                <w:sz w:val="24"/>
                <w:szCs w:val="24"/>
                <w:lang w:val="en-US" w:eastAsia="zh-CN" w:bidi="ar-SA"/>
              </w:rPr>
              <w:t>fitting parameter</w:t>
            </w:r>
          </w:p>
        </w:tc>
        <w:tc>
          <w:tcPr>
            <w:tcW w:w="4084" w:type="dxa"/>
            <w:gridSpan w:val="3"/>
            <w:tcBorders>
              <w:top w:val="single" w:color="auto" w:sz="12" w:space="0"/>
              <w:bottom w:val="single" w:color="auto" w:sz="4" w:space="0"/>
            </w:tcBorders>
          </w:tcPr>
          <w:p w14:paraId="756539A2">
            <w:pPr>
              <w:spacing w:line="360" w:lineRule="auto"/>
              <w:jc w:val="center"/>
              <w:rPr>
                <w:rFonts w:hint="eastAsia" w:ascii="Times New Roman" w:hAnsi="Times New Roman" w:cs="Times New Roman" w:eastAsiaTheme="minorEastAsia"/>
                <w:sz w:val="24"/>
                <w:szCs w:val="28"/>
              </w:rPr>
            </w:pPr>
            <w:r>
              <w:rPr>
                <w:rFonts w:ascii="Times New Roman" w:hAnsi="Times New Roman" w:cs="Times New Roman" w:eastAsiaTheme="minorEastAsia"/>
                <w:kern w:val="0"/>
                <w:sz w:val="24"/>
                <w:szCs w:val="24"/>
              </w:rPr>
              <w:t>-a*log(t+b)+c</w:t>
            </w:r>
          </w:p>
        </w:tc>
        <w:tc>
          <w:tcPr>
            <w:tcW w:w="2722" w:type="dxa"/>
            <w:gridSpan w:val="2"/>
            <w:tcBorders>
              <w:top w:val="single" w:color="auto" w:sz="12" w:space="0"/>
              <w:bottom w:val="single" w:color="auto" w:sz="4" w:space="0"/>
            </w:tcBorders>
          </w:tcPr>
          <w:p w14:paraId="15810ACF">
            <w:pPr>
              <w:spacing w:line="360" w:lineRule="auto"/>
              <w:jc w:val="center"/>
              <w:rPr>
                <w:rFonts w:hint="eastAsia" w:ascii="Times New Roman" w:hAnsi="Times New Roman" w:cs="Times New Roman" w:eastAsiaTheme="minorEastAsia"/>
                <w:sz w:val="24"/>
                <w:szCs w:val="28"/>
              </w:rPr>
            </w:pPr>
            <w:r>
              <w:rPr>
                <w:rFonts w:ascii="Times New Roman" w:hAnsi="Times New Roman" w:cs="Times New Roman" w:eastAsiaTheme="minorEastAsia"/>
                <w:kern w:val="0"/>
                <w:sz w:val="24"/>
                <w:szCs w:val="24"/>
              </w:rPr>
              <w:t>-a*sqrt(t)+b</w:t>
            </w:r>
          </w:p>
        </w:tc>
      </w:tr>
      <w:tr w14:paraId="7DC26C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0" w:type="dxa"/>
            <w:vMerge w:val="continue"/>
            <w:tcBorders>
              <w:bottom w:val="single" w:color="auto" w:sz="4" w:space="0"/>
            </w:tcBorders>
          </w:tcPr>
          <w:p w14:paraId="757CC878">
            <w:pPr>
              <w:spacing w:line="360" w:lineRule="auto"/>
              <w:jc w:val="center"/>
              <w:rPr>
                <w:rFonts w:hint="eastAsia" w:ascii="Times New Roman" w:hAnsi="Times New Roman" w:cs="Times New Roman" w:eastAsiaTheme="minorEastAsia"/>
                <w:sz w:val="24"/>
                <w:szCs w:val="28"/>
              </w:rPr>
            </w:pPr>
          </w:p>
        </w:tc>
        <w:tc>
          <w:tcPr>
            <w:tcW w:w="1361" w:type="dxa"/>
            <w:tcBorders>
              <w:top w:val="single" w:color="auto" w:sz="4" w:space="0"/>
              <w:bottom w:val="single" w:color="auto" w:sz="4" w:space="0"/>
            </w:tcBorders>
            <w:vAlign w:val="center"/>
          </w:tcPr>
          <w:p w14:paraId="55DAF108">
            <w:pPr>
              <w:spacing w:line="360" w:lineRule="auto"/>
              <w:jc w:val="center"/>
              <w:rPr>
                <w:rFonts w:ascii="Times New Roman" w:hAnsi="Times New Roman" w:cs="Times New Roman" w:eastAsiaTheme="minorEastAsia"/>
                <w:kern w:val="0"/>
                <w:sz w:val="24"/>
                <w:szCs w:val="24"/>
              </w:rPr>
            </w:pPr>
            <w:r>
              <w:rPr>
                <w:rFonts w:hint="eastAsia" w:ascii="Times New Roman" w:hAnsi="Times New Roman" w:cs="Times New Roman" w:eastAsiaTheme="minorEastAsia"/>
                <w:kern w:val="0"/>
                <w:sz w:val="24"/>
                <w:szCs w:val="24"/>
              </w:rPr>
              <w:t>a</w:t>
            </w:r>
          </w:p>
        </w:tc>
        <w:tc>
          <w:tcPr>
            <w:tcW w:w="1361" w:type="dxa"/>
            <w:tcBorders>
              <w:top w:val="single" w:color="auto" w:sz="4" w:space="0"/>
              <w:bottom w:val="single" w:color="auto" w:sz="4" w:space="0"/>
            </w:tcBorders>
            <w:vAlign w:val="center"/>
          </w:tcPr>
          <w:p w14:paraId="4B5D9D6B">
            <w:pPr>
              <w:spacing w:line="360" w:lineRule="auto"/>
              <w:jc w:val="center"/>
              <w:rPr>
                <w:rFonts w:ascii="Times New Roman" w:hAnsi="Times New Roman" w:cs="Times New Roman" w:eastAsiaTheme="minorEastAsia"/>
                <w:kern w:val="0"/>
                <w:sz w:val="24"/>
                <w:szCs w:val="24"/>
              </w:rPr>
            </w:pPr>
            <w:r>
              <w:rPr>
                <w:rFonts w:hint="eastAsia" w:ascii="Times New Roman" w:hAnsi="Times New Roman" w:cs="Times New Roman" w:eastAsiaTheme="minorEastAsia"/>
                <w:kern w:val="0"/>
                <w:sz w:val="24"/>
                <w:szCs w:val="24"/>
              </w:rPr>
              <w:t>b</w:t>
            </w:r>
          </w:p>
        </w:tc>
        <w:tc>
          <w:tcPr>
            <w:tcW w:w="1361" w:type="dxa"/>
            <w:tcBorders>
              <w:top w:val="single" w:color="auto" w:sz="4" w:space="0"/>
              <w:bottom w:val="single" w:color="auto" w:sz="4" w:space="0"/>
            </w:tcBorders>
            <w:vAlign w:val="center"/>
          </w:tcPr>
          <w:p w14:paraId="616CDFB8">
            <w:pPr>
              <w:spacing w:line="360" w:lineRule="auto"/>
              <w:jc w:val="center"/>
              <w:rPr>
                <w:rFonts w:ascii="Times New Roman" w:hAnsi="Times New Roman" w:cs="Times New Roman" w:eastAsiaTheme="minorEastAsia"/>
                <w:kern w:val="0"/>
                <w:sz w:val="24"/>
                <w:szCs w:val="24"/>
              </w:rPr>
            </w:pPr>
            <w:r>
              <w:rPr>
                <w:rFonts w:hint="eastAsia" w:ascii="Times New Roman" w:hAnsi="Times New Roman" w:cs="Times New Roman" w:eastAsiaTheme="minorEastAsia"/>
                <w:kern w:val="0"/>
                <w:sz w:val="24"/>
                <w:szCs w:val="24"/>
              </w:rPr>
              <w:t>c</w:t>
            </w:r>
          </w:p>
        </w:tc>
        <w:tc>
          <w:tcPr>
            <w:tcW w:w="1361" w:type="dxa"/>
            <w:tcBorders>
              <w:top w:val="single" w:color="auto" w:sz="4" w:space="0"/>
              <w:bottom w:val="single" w:color="auto" w:sz="4" w:space="0"/>
            </w:tcBorders>
            <w:vAlign w:val="center"/>
          </w:tcPr>
          <w:p w14:paraId="28CF8B7C">
            <w:pPr>
              <w:spacing w:line="360" w:lineRule="auto"/>
              <w:jc w:val="center"/>
              <w:rPr>
                <w:rFonts w:ascii="Times New Roman" w:hAnsi="Times New Roman" w:cs="Times New Roman" w:eastAsiaTheme="minorEastAsia"/>
                <w:kern w:val="0"/>
                <w:sz w:val="24"/>
                <w:szCs w:val="24"/>
              </w:rPr>
            </w:pPr>
            <w:r>
              <w:rPr>
                <w:rFonts w:hint="eastAsia" w:ascii="Times New Roman" w:hAnsi="Times New Roman" w:cs="Times New Roman" w:eastAsiaTheme="minorEastAsia"/>
                <w:kern w:val="0"/>
                <w:sz w:val="24"/>
                <w:szCs w:val="24"/>
              </w:rPr>
              <w:t>a</w:t>
            </w:r>
          </w:p>
        </w:tc>
        <w:tc>
          <w:tcPr>
            <w:tcW w:w="1362" w:type="dxa"/>
            <w:tcBorders>
              <w:top w:val="single" w:color="auto" w:sz="4" w:space="0"/>
              <w:bottom w:val="single" w:color="auto" w:sz="4" w:space="0"/>
            </w:tcBorders>
            <w:vAlign w:val="center"/>
          </w:tcPr>
          <w:p w14:paraId="261E918C">
            <w:pPr>
              <w:spacing w:line="360" w:lineRule="auto"/>
              <w:jc w:val="center"/>
              <w:rPr>
                <w:rFonts w:ascii="Times New Roman" w:hAnsi="Times New Roman" w:cs="Times New Roman" w:eastAsiaTheme="minorEastAsia"/>
                <w:kern w:val="0"/>
                <w:sz w:val="24"/>
                <w:szCs w:val="24"/>
              </w:rPr>
            </w:pPr>
            <w:r>
              <w:rPr>
                <w:rFonts w:hint="eastAsia" w:ascii="Times New Roman" w:hAnsi="Times New Roman" w:cs="Times New Roman" w:eastAsiaTheme="minorEastAsia"/>
                <w:kern w:val="0"/>
                <w:sz w:val="24"/>
                <w:szCs w:val="24"/>
              </w:rPr>
              <w:t>b</w:t>
            </w:r>
          </w:p>
        </w:tc>
      </w:tr>
      <w:tr w14:paraId="406A52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0" w:type="dxa"/>
            <w:tcBorders>
              <w:top w:val="single" w:color="auto" w:sz="4" w:space="0"/>
            </w:tcBorders>
          </w:tcPr>
          <w:p w14:paraId="14956A51">
            <w:pPr>
              <w:spacing w:line="360" w:lineRule="auto"/>
              <w:jc w:val="center"/>
              <w:rPr>
                <w:rFonts w:hint="eastAsia" w:ascii="Times New Roman" w:hAnsi="Times New Roman" w:cs="Times New Roman" w:eastAsiaTheme="minorEastAsia"/>
                <w:sz w:val="24"/>
                <w:szCs w:val="28"/>
              </w:rPr>
            </w:pPr>
            <w:r>
              <w:rPr>
                <w:rFonts w:hint="default" w:ascii="Times New Roman" w:hAnsi="Times New Roman" w:eastAsia="宋体" w:cs="Times New Roman"/>
                <w:color w:val="auto"/>
                <w:kern w:val="2"/>
                <w:sz w:val="24"/>
                <w:szCs w:val="24"/>
                <w:lang w:val="en-US" w:eastAsia="zh-CN" w:bidi="ar-SA"/>
              </w:rPr>
              <w:t>forward configuration</w:t>
            </w:r>
          </w:p>
        </w:tc>
        <w:tc>
          <w:tcPr>
            <w:tcW w:w="1362" w:type="dxa"/>
            <w:tcBorders>
              <w:top w:val="single" w:color="auto" w:sz="4" w:space="0"/>
            </w:tcBorders>
            <w:vAlign w:val="center"/>
          </w:tcPr>
          <w:p w14:paraId="431C5275">
            <w:pPr>
              <w:spacing w:line="360" w:lineRule="auto"/>
              <w:jc w:val="center"/>
              <w:rPr>
                <w:rFonts w:hint="eastAsia" w:ascii="Times New Roman" w:hAnsi="Times New Roman" w:cs="Times New Roman" w:eastAsiaTheme="minorEastAsia"/>
                <w:sz w:val="24"/>
                <w:szCs w:val="24"/>
              </w:rPr>
            </w:pPr>
            <w:r>
              <w:rPr>
                <w:rFonts w:ascii="Times New Roman" w:hAnsi="Times New Roman" w:eastAsia="宋体" w:cs="Times New Roman"/>
                <w:color w:val="000000"/>
                <w:kern w:val="0"/>
                <w:sz w:val="24"/>
                <w:szCs w:val="24"/>
              </w:rPr>
              <w:t>0.2116</w:t>
            </w:r>
          </w:p>
        </w:tc>
        <w:tc>
          <w:tcPr>
            <w:tcW w:w="1361" w:type="dxa"/>
            <w:tcBorders>
              <w:top w:val="single" w:color="auto" w:sz="4" w:space="0"/>
            </w:tcBorders>
            <w:vAlign w:val="center"/>
          </w:tcPr>
          <w:p w14:paraId="0D97307C">
            <w:pPr>
              <w:spacing w:line="360" w:lineRule="auto"/>
              <w:jc w:val="center"/>
              <w:rPr>
                <w:rFonts w:hint="eastAsia" w:ascii="Times New Roman" w:hAnsi="Times New Roman" w:cs="Times New Roman" w:eastAsiaTheme="minorEastAsia"/>
                <w:sz w:val="24"/>
                <w:szCs w:val="24"/>
              </w:rPr>
            </w:pPr>
            <w:r>
              <w:rPr>
                <w:rFonts w:ascii="Times New Roman" w:hAnsi="Times New Roman" w:eastAsia="宋体" w:cs="Times New Roman"/>
                <w:color w:val="000000"/>
                <w:kern w:val="0"/>
                <w:sz w:val="24"/>
                <w:szCs w:val="24"/>
              </w:rPr>
              <w:t>1599</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8</w:t>
            </w:r>
            <w:r>
              <w:rPr>
                <w:rFonts w:hint="eastAsia" w:ascii="Times New Roman" w:hAnsi="Times New Roman" w:eastAsia="宋体" w:cs="Times New Roman"/>
                <w:color w:val="000000"/>
                <w:kern w:val="0"/>
                <w:sz w:val="24"/>
                <w:szCs w:val="24"/>
              </w:rPr>
              <w:t>2</w:t>
            </w:r>
          </w:p>
        </w:tc>
        <w:tc>
          <w:tcPr>
            <w:tcW w:w="1361" w:type="dxa"/>
            <w:tcBorders>
              <w:top w:val="single" w:color="auto" w:sz="4" w:space="0"/>
            </w:tcBorders>
            <w:vAlign w:val="center"/>
          </w:tcPr>
          <w:p w14:paraId="6DF79F50">
            <w:pPr>
              <w:spacing w:line="360" w:lineRule="auto"/>
              <w:jc w:val="center"/>
              <w:rPr>
                <w:rFonts w:hint="eastAsia" w:ascii="Times New Roman" w:hAnsi="Times New Roman" w:cs="Times New Roman" w:eastAsiaTheme="minorEastAsia"/>
                <w:sz w:val="24"/>
                <w:szCs w:val="24"/>
              </w:rPr>
            </w:pPr>
            <w:r>
              <w:rPr>
                <w:rFonts w:hint="eastAsia" w:ascii="Times New Roman" w:hAnsi="Times New Roman" w:eastAsia="宋体" w:cs="Times New Roman"/>
                <w:color w:val="000000"/>
                <w:kern w:val="0"/>
                <w:sz w:val="24"/>
                <w:szCs w:val="24"/>
              </w:rPr>
              <w:t>2.3441</w:t>
            </w:r>
          </w:p>
        </w:tc>
        <w:tc>
          <w:tcPr>
            <w:tcW w:w="1361" w:type="dxa"/>
            <w:tcBorders>
              <w:top w:val="single" w:color="auto" w:sz="4" w:space="0"/>
            </w:tcBorders>
            <w:vAlign w:val="center"/>
          </w:tcPr>
          <w:p w14:paraId="6127E21D">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4.7813E-3</w:t>
            </w:r>
          </w:p>
        </w:tc>
        <w:tc>
          <w:tcPr>
            <w:tcW w:w="1361" w:type="dxa"/>
            <w:tcBorders>
              <w:top w:val="single" w:color="auto" w:sz="4" w:space="0"/>
            </w:tcBorders>
            <w:vAlign w:val="center"/>
          </w:tcPr>
          <w:p w14:paraId="309432B7">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0.8254</w:t>
            </w:r>
          </w:p>
        </w:tc>
      </w:tr>
      <w:tr w14:paraId="2CDDD9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0" w:type="dxa"/>
            <w:tcBorders>
              <w:bottom w:val="single" w:color="auto" w:sz="12" w:space="0"/>
            </w:tcBorders>
          </w:tcPr>
          <w:p w14:paraId="49F17EAC">
            <w:pPr>
              <w:spacing w:line="360" w:lineRule="auto"/>
              <w:jc w:val="center"/>
              <w:rPr>
                <w:rFonts w:hint="eastAsia" w:ascii="Times New Roman" w:hAnsi="Times New Roman" w:cs="Times New Roman" w:eastAsiaTheme="minorEastAsia"/>
                <w:sz w:val="24"/>
                <w:szCs w:val="28"/>
              </w:rPr>
            </w:pPr>
            <w:r>
              <w:rPr>
                <w:rFonts w:hint="default" w:ascii="Times New Roman" w:hAnsi="Times New Roman" w:eastAsia="宋体" w:cs="Times New Roman"/>
                <w:color w:val="auto"/>
                <w:kern w:val="2"/>
                <w:sz w:val="24"/>
                <w:szCs w:val="24"/>
                <w:lang w:val="en-US" w:eastAsia="zh-CN" w:bidi="ar-SA"/>
              </w:rPr>
              <w:t>reverse configuration</w:t>
            </w:r>
          </w:p>
        </w:tc>
        <w:tc>
          <w:tcPr>
            <w:tcW w:w="1362" w:type="dxa"/>
            <w:tcBorders>
              <w:bottom w:val="single" w:color="auto" w:sz="12" w:space="0"/>
            </w:tcBorders>
            <w:vAlign w:val="center"/>
          </w:tcPr>
          <w:p w14:paraId="50957A8E">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0.1318</w:t>
            </w:r>
          </w:p>
        </w:tc>
        <w:tc>
          <w:tcPr>
            <w:tcW w:w="1361" w:type="dxa"/>
            <w:tcBorders>
              <w:bottom w:val="single" w:color="auto" w:sz="12" w:space="0"/>
            </w:tcBorders>
            <w:vAlign w:val="center"/>
          </w:tcPr>
          <w:p w14:paraId="33E86323">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115.38</w:t>
            </w:r>
          </w:p>
        </w:tc>
        <w:tc>
          <w:tcPr>
            <w:tcW w:w="1361" w:type="dxa"/>
            <w:tcBorders>
              <w:bottom w:val="single" w:color="auto" w:sz="12" w:space="0"/>
            </w:tcBorders>
            <w:vAlign w:val="center"/>
          </w:tcPr>
          <w:p w14:paraId="6DB38E9F">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1.4146</w:t>
            </w:r>
          </w:p>
        </w:tc>
        <w:tc>
          <w:tcPr>
            <w:tcW w:w="1361" w:type="dxa"/>
            <w:tcBorders>
              <w:bottom w:val="single" w:color="auto" w:sz="12" w:space="0"/>
            </w:tcBorders>
            <w:vAlign w:val="center"/>
          </w:tcPr>
          <w:p w14:paraId="55D9D195">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8.3705E-3</w:t>
            </w:r>
          </w:p>
        </w:tc>
        <w:tc>
          <w:tcPr>
            <w:tcW w:w="1361" w:type="dxa"/>
            <w:tcBorders>
              <w:bottom w:val="single" w:color="auto" w:sz="12" w:space="0"/>
            </w:tcBorders>
            <w:vAlign w:val="center"/>
          </w:tcPr>
          <w:p w14:paraId="118B6CE9">
            <w:pPr>
              <w:spacing w:line="360" w:lineRule="auto"/>
              <w:jc w:val="center"/>
              <w:rPr>
                <w:rFonts w:hint="eastAsia" w:ascii="Times New Roman" w:hAnsi="Times New Roman" w:cs="Times New Roman" w:eastAsiaTheme="minorEastAsia"/>
                <w:sz w:val="24"/>
                <w:szCs w:val="28"/>
              </w:rPr>
            </w:pPr>
            <w:r>
              <w:rPr>
                <w:rFonts w:hint="eastAsia" w:ascii="Times New Roman" w:hAnsi="Times New Roman" w:cs="Times New Roman" w:eastAsiaTheme="minorEastAsia"/>
                <w:sz w:val="24"/>
                <w:szCs w:val="28"/>
              </w:rPr>
              <w:t>0.7670</w:t>
            </w:r>
          </w:p>
        </w:tc>
      </w:tr>
    </w:tbl>
    <w:p w14:paraId="60F34FE2">
      <w:pPr>
        <w:keepNext w:val="0"/>
        <w:keepLines w:val="0"/>
        <w:widowControl/>
        <w:suppressLineNumbers w:val="0"/>
        <w:jc w:val="left"/>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Supporting Note. Computational Methodology</w:t>
      </w:r>
    </w:p>
    <w:p w14:paraId="365D48EA">
      <w:pPr>
        <w:pStyle w:val="2"/>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jc w:val="both"/>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1. Molecular Modeling and Geometric Refinement</w:t>
      </w:r>
    </w:p>
    <w:p w14:paraId="5F3721A4">
      <w:pPr>
        <w:pStyle w:val="3"/>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ind w:firstLine="480" w:firstLineChars="2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Fully atomistic simulations were executed using the Materials Studio suite (BIOVIA, France), employing an integrated workflow that bridges Forcite molecular mechanics with CASTEP first-principles frameworks. Preliminary geometric optimization was conducted for discrete components, including water molecules, a poly(vinyl alcohol) (PVA) chain (</w:t>
      </w:r>
      <w:r>
        <w:rPr>
          <w:rFonts w:hint="eastAsia" w:ascii="Times New Roman" w:hAnsi="Times New Roman" w:eastAsia="宋体" w:cs="Times New Roman"/>
          <w:b w:val="0"/>
          <w:bCs w:val="0"/>
          <w:i/>
          <w:iCs/>
          <w:kern w:val="2"/>
          <w:sz w:val="24"/>
          <w:szCs w:val="24"/>
          <w:lang w:val="en-US" w:eastAsia="zh-CN" w:bidi="ar-SA"/>
        </w:rPr>
        <w:t>n</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 xml:space="preserve">20), a silane coupling agent, and an ethylenediaminetetraacetic acid (EDTA) molecule. These optimizations were performed within the Forcite module under the Born-Oppenheimer approximation. The SMART algorithm was utilized for structural relaxation over a maximum of 50,000 iterations, adhering to stringent convergence criteria: an energy tolerance of 1 </w:t>
      </w:r>
      <w:r>
        <w:rPr>
          <w:rFonts w:hint="default" w:ascii="Arial" w:hAnsi="Arial" w:eastAsia="宋体" w:cs="Arial"/>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10</w:t>
      </w:r>
      <w:r>
        <w:rPr>
          <w:rFonts w:hint="default" w:ascii="Times New Roman" w:hAnsi="Times New Roman" w:eastAsia="宋体" w:cs="Times New Roman"/>
          <w:b w:val="0"/>
          <w:bCs w:val="0"/>
          <w:kern w:val="2"/>
          <w:sz w:val="24"/>
          <w:szCs w:val="24"/>
          <w:vertAlign w:val="superscript"/>
          <w:lang w:val="en-US" w:eastAsia="zh-CN" w:bidi="ar-SA"/>
        </w:rPr>
        <w:t>-7</w:t>
      </w:r>
      <w:r>
        <w:rPr>
          <w:rFonts w:hint="default" w:ascii="Times New Roman" w:hAnsi="Times New Roman" w:eastAsia="宋体" w:cs="Times New Roman"/>
          <w:b w:val="0"/>
          <w:bCs w:val="0"/>
          <w:kern w:val="2"/>
          <w:sz w:val="24"/>
          <w:szCs w:val="24"/>
          <w:lang w:val="en-US" w:eastAsia="zh-CN" w:bidi="ar-SA"/>
        </w:rPr>
        <w:t xml:space="preserve"> kcal/mol, a force threshold of 5</w:t>
      </w:r>
      <w:r>
        <w:rPr>
          <w:rFonts w:hint="default" w:ascii="Arial" w:hAnsi="Arial" w:eastAsia="宋体" w:cs="Arial"/>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10</w:t>
      </w:r>
      <w:r>
        <w:rPr>
          <w:rFonts w:hint="default" w:ascii="Times New Roman" w:hAnsi="Times New Roman" w:eastAsia="宋体" w:cs="Times New Roman"/>
          <w:b w:val="0"/>
          <w:bCs w:val="0"/>
          <w:kern w:val="2"/>
          <w:sz w:val="24"/>
          <w:szCs w:val="24"/>
          <w:vertAlign w:val="superscript"/>
          <w:lang w:val="en-US" w:eastAsia="zh-CN" w:bidi="ar-SA"/>
        </w:rPr>
        <w:t>-5</w:t>
      </w:r>
      <w:r>
        <w:rPr>
          <w:rFonts w:hint="default" w:ascii="Times New Roman" w:hAnsi="Times New Roman" w:eastAsia="宋体" w:cs="Times New Roman"/>
          <w:b w:val="0"/>
          <w:bCs w:val="0"/>
          <w:kern w:val="2"/>
          <w:sz w:val="24"/>
          <w:szCs w:val="24"/>
          <w:lang w:val="en-US" w:eastAsia="zh-CN" w:bidi="ar-SA"/>
        </w:rPr>
        <w:t xml:space="preserve"> kcal/(mol·Å), and an atomic displacement limit of 5 </w:t>
      </w:r>
      <w:r>
        <w:rPr>
          <w:rFonts w:hint="default" w:ascii="Arial" w:hAnsi="Arial" w:eastAsia="宋体" w:cs="Arial"/>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10</w:t>
      </w:r>
      <w:r>
        <w:rPr>
          <w:rFonts w:hint="default" w:ascii="Times New Roman" w:hAnsi="Times New Roman" w:eastAsia="宋体" w:cs="Times New Roman"/>
          <w:b w:val="0"/>
          <w:bCs w:val="0"/>
          <w:kern w:val="2"/>
          <w:sz w:val="24"/>
          <w:szCs w:val="24"/>
          <w:vertAlign w:val="superscript"/>
          <w:lang w:val="en-US" w:eastAsia="zh-CN" w:bidi="ar-SA"/>
        </w:rPr>
        <w:t>-5</w:t>
      </w:r>
      <w:r>
        <w:rPr>
          <w:rFonts w:hint="default" w:ascii="Times New Roman" w:hAnsi="Times New Roman" w:eastAsia="宋体" w:cs="Times New Roman"/>
          <w:b w:val="0"/>
          <w:bCs w:val="0"/>
          <w:kern w:val="2"/>
          <w:sz w:val="24"/>
          <w:szCs w:val="24"/>
          <w:lang w:val="en-US" w:eastAsia="zh-CN" w:bidi="ar-SA"/>
        </w:rPr>
        <w:t xml:space="preserve"> Å. For monatomic species (Na</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and Cl</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formal charges were assigned via CASTEP to ensure electronic configurations consistent with their isolated ionic states.</w:t>
      </w:r>
    </w:p>
    <w:p w14:paraId="18614218">
      <w:pPr>
        <w:pStyle w:val="2"/>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jc w:val="both"/>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2. Surface Functionalization and Electrode Construction</w:t>
      </w:r>
    </w:p>
    <w:p w14:paraId="2FF3F5CA">
      <w:pPr>
        <w:pStyle w:val="3"/>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ind w:firstLine="480" w:firstLineChars="2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A Ti</w:t>
      </w:r>
      <w:r>
        <w:rPr>
          <w:rFonts w:hint="default" w:ascii="Times New Roman" w:hAnsi="Times New Roman" w:eastAsia="宋体" w:cs="Times New Roman"/>
          <w:b w:val="0"/>
          <w:bCs w:val="0"/>
          <w:kern w:val="2"/>
          <w:sz w:val="24"/>
          <w:szCs w:val="24"/>
          <w:vertAlign w:val="subscript"/>
          <w:lang w:val="en-US" w:eastAsia="zh-CN" w:bidi="ar-SA"/>
        </w:rPr>
        <w:t>3</w:t>
      </w:r>
      <w:r>
        <w:rPr>
          <w:rFonts w:hint="default" w:ascii="Times New Roman" w:hAnsi="Times New Roman" w:eastAsia="宋体" w:cs="Times New Roman"/>
          <w:b w:val="0"/>
          <w:bCs w:val="0"/>
          <w:kern w:val="2"/>
          <w:sz w:val="24"/>
          <w:szCs w:val="24"/>
          <w:lang w:val="en-US" w:eastAsia="zh-CN" w:bidi="ar-SA"/>
        </w:rPr>
        <w:t>C</w:t>
      </w:r>
      <w:r>
        <w:rPr>
          <w:rFonts w:hint="default" w:ascii="Times New Roman" w:hAnsi="Times New Roman" w:eastAsia="宋体" w:cs="Times New Roman"/>
          <w:b w:val="0"/>
          <w:bCs w:val="0"/>
          <w:kern w:val="2"/>
          <w:sz w:val="24"/>
          <w:szCs w:val="24"/>
          <w:vertAlign w:val="subscript"/>
          <w:lang w:val="en-US" w:eastAsia="zh-CN" w:bidi="ar-SA"/>
        </w:rPr>
        <w:t>2</w:t>
      </w:r>
      <w:r>
        <w:rPr>
          <w:rFonts w:hint="default" w:ascii="Times New Roman" w:hAnsi="Times New Roman" w:eastAsia="宋体" w:cs="Times New Roman"/>
          <w:b w:val="0"/>
          <w:bCs w:val="0"/>
          <w:kern w:val="2"/>
          <w:sz w:val="24"/>
          <w:szCs w:val="24"/>
          <w:lang w:val="en-US" w:eastAsia="zh-CN" w:bidi="ar-SA"/>
        </w:rPr>
        <w:t>-MXene monolayer was generated in the Visualizer, with surface terminations represented by a mixed distribution of -OH, =O, and -F groups to replicate the complex chemical environment of Ti</w:t>
      </w:r>
      <w:r>
        <w:rPr>
          <w:rFonts w:hint="default" w:ascii="Times New Roman" w:hAnsi="Times New Roman" w:eastAsia="宋体" w:cs="Times New Roman"/>
          <w:b w:val="0"/>
          <w:bCs w:val="0"/>
          <w:kern w:val="2"/>
          <w:sz w:val="24"/>
          <w:szCs w:val="24"/>
          <w:vertAlign w:val="subscript"/>
          <w:lang w:val="en-US" w:eastAsia="zh-CN" w:bidi="ar-SA"/>
        </w:rPr>
        <w:t>3</w:t>
      </w:r>
      <w:r>
        <w:rPr>
          <w:rFonts w:hint="default" w:ascii="Times New Roman" w:hAnsi="Times New Roman" w:eastAsia="宋体" w:cs="Times New Roman"/>
          <w:b w:val="0"/>
          <w:bCs w:val="0"/>
          <w:kern w:val="2"/>
          <w:sz w:val="24"/>
          <w:szCs w:val="24"/>
          <w:lang w:val="en-US" w:eastAsia="zh-CN" w:bidi="ar-SA"/>
        </w:rPr>
        <w:t>C</w:t>
      </w:r>
      <w:r>
        <w:rPr>
          <w:rFonts w:hint="default" w:ascii="Times New Roman" w:hAnsi="Times New Roman" w:eastAsia="宋体" w:cs="Times New Roman"/>
          <w:b w:val="0"/>
          <w:bCs w:val="0"/>
          <w:kern w:val="2"/>
          <w:sz w:val="24"/>
          <w:szCs w:val="24"/>
          <w:vertAlign w:val="subscript"/>
          <w:lang w:val="en-US" w:eastAsia="zh-CN" w:bidi="ar-SA"/>
        </w:rPr>
        <w:t>2</w:t>
      </w:r>
      <w:r>
        <w:rPr>
          <w:rFonts w:hint="default" w:ascii="Times New Roman" w:hAnsi="Times New Roman" w:eastAsia="宋体" w:cs="Times New Roman"/>
          <w:b w:val="0"/>
          <w:bCs w:val="0"/>
          <w:kern w:val="2"/>
          <w:sz w:val="24"/>
          <w:szCs w:val="24"/>
          <w:lang w:val="en-US" w:eastAsia="zh-CN" w:bidi="ar-SA"/>
        </w:rPr>
        <w:t>T</w:t>
      </w:r>
      <w:r>
        <w:rPr>
          <w:rFonts w:hint="default" w:ascii="Times New Roman" w:hAnsi="Times New Roman" w:eastAsia="宋体" w:cs="Times New Roman"/>
          <w:b w:val="0"/>
          <w:bCs w:val="0"/>
          <w:kern w:val="2"/>
          <w:sz w:val="24"/>
          <w:szCs w:val="24"/>
          <w:vertAlign w:val="subscript"/>
          <w:lang w:val="en-US" w:eastAsia="zh-CN" w:bidi="ar-SA"/>
        </w:rPr>
        <w:t>x</w:t>
      </w:r>
      <w:r>
        <w:rPr>
          <w:rFonts w:hint="default" w:ascii="Times New Roman" w:hAnsi="Times New Roman" w:eastAsia="宋体" w:cs="Times New Roman"/>
          <w:b w:val="0"/>
          <w:bCs w:val="0"/>
          <w:kern w:val="2"/>
          <w:sz w:val="24"/>
          <w:szCs w:val="24"/>
          <w:lang w:val="en-US" w:eastAsia="zh-CN" w:bidi="ar-SA"/>
        </w:rPr>
        <w:t>.</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The silane coupling agent was covalently tethered to the MXene surface via Si-O-Ti linkages at the silanol terminus. The distal amine group was maintained in a protonated state and electrostatically anchored to the functionalized MXene, resulting in a positively charged electrode.</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Simultaneously, EDTA molecules were immobilized on a secondary Ti</w:t>
      </w:r>
      <w:r>
        <w:rPr>
          <w:rFonts w:hint="default" w:ascii="Times New Roman" w:hAnsi="Times New Roman" w:eastAsia="宋体" w:cs="Times New Roman"/>
          <w:b w:val="0"/>
          <w:bCs w:val="0"/>
          <w:kern w:val="2"/>
          <w:sz w:val="24"/>
          <w:szCs w:val="24"/>
          <w:vertAlign w:val="subscript"/>
          <w:lang w:val="en-US" w:eastAsia="zh-CN" w:bidi="ar-SA"/>
        </w:rPr>
        <w:t>3</w:t>
      </w:r>
      <w:r>
        <w:rPr>
          <w:rFonts w:hint="default" w:ascii="Times New Roman" w:hAnsi="Times New Roman" w:eastAsia="宋体" w:cs="Times New Roman"/>
          <w:b w:val="0"/>
          <w:bCs w:val="0"/>
          <w:kern w:val="2"/>
          <w:sz w:val="24"/>
          <w:szCs w:val="24"/>
          <w:lang w:val="en-US" w:eastAsia="zh-CN" w:bidi="ar-SA"/>
        </w:rPr>
        <w:t>C</w:t>
      </w:r>
      <w:r>
        <w:rPr>
          <w:rFonts w:hint="default" w:ascii="Times New Roman" w:hAnsi="Times New Roman" w:eastAsia="宋体" w:cs="Times New Roman"/>
          <w:b w:val="0"/>
          <w:bCs w:val="0"/>
          <w:kern w:val="2"/>
          <w:sz w:val="24"/>
          <w:szCs w:val="24"/>
          <w:vertAlign w:val="subscript"/>
          <w:lang w:val="en-US" w:eastAsia="zh-CN" w:bidi="ar-SA"/>
        </w:rPr>
        <w:t>2</w:t>
      </w:r>
      <w:r>
        <w:rPr>
          <w:rFonts w:hint="default" w:ascii="Times New Roman" w:hAnsi="Times New Roman" w:eastAsia="宋体" w:cs="Times New Roman"/>
          <w:b w:val="0"/>
          <w:bCs w:val="0"/>
          <w:kern w:val="2"/>
          <w:sz w:val="24"/>
          <w:szCs w:val="24"/>
          <w:lang w:val="en-US" w:eastAsia="zh-CN" w:bidi="ar-SA"/>
        </w:rPr>
        <w:t>Tx sheet through a synergy of Ti-COO</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coordination, -COOH···OH hydrogen bonding, and -COOH···O intermolecular interactions, yielding a negatively charged electrode surface.</w:t>
      </w:r>
    </w:p>
    <w:p w14:paraId="40CFBA32">
      <w:pPr>
        <w:pStyle w:val="2"/>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jc w:val="both"/>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3. Nanochannel Assembly and Electrolyte Loading</w:t>
      </w:r>
    </w:p>
    <w:p w14:paraId="18FCB021">
      <w:pPr>
        <w:pStyle w:val="3"/>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ind w:firstLine="480" w:firstLineChars="2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The modified Ti</w:t>
      </w:r>
      <w:r>
        <w:rPr>
          <w:rFonts w:hint="default" w:ascii="Times New Roman" w:hAnsi="Times New Roman" w:eastAsia="宋体" w:cs="Times New Roman"/>
          <w:b w:val="0"/>
          <w:bCs w:val="0"/>
          <w:kern w:val="2"/>
          <w:sz w:val="24"/>
          <w:szCs w:val="24"/>
          <w:vertAlign w:val="subscript"/>
          <w:lang w:val="en-US" w:eastAsia="zh-CN" w:bidi="ar-SA"/>
        </w:rPr>
        <w:t>3</w:t>
      </w:r>
      <w:r>
        <w:rPr>
          <w:rFonts w:hint="default" w:ascii="Times New Roman" w:hAnsi="Times New Roman" w:eastAsia="宋体" w:cs="Times New Roman"/>
          <w:b w:val="0"/>
          <w:bCs w:val="0"/>
          <w:kern w:val="2"/>
          <w:sz w:val="24"/>
          <w:szCs w:val="24"/>
          <w:lang w:val="en-US" w:eastAsia="zh-CN" w:bidi="ar-SA"/>
        </w:rPr>
        <w:t>C</w:t>
      </w:r>
      <w:r>
        <w:rPr>
          <w:rFonts w:hint="default" w:ascii="Times New Roman" w:hAnsi="Times New Roman" w:eastAsia="宋体" w:cs="Times New Roman"/>
          <w:b w:val="0"/>
          <w:bCs w:val="0"/>
          <w:kern w:val="2"/>
          <w:sz w:val="24"/>
          <w:szCs w:val="24"/>
          <w:vertAlign w:val="subscript"/>
          <w:lang w:val="en-US" w:eastAsia="zh-CN" w:bidi="ar-SA"/>
        </w:rPr>
        <w:t>2</w:t>
      </w:r>
      <w:r>
        <w:rPr>
          <w:rFonts w:hint="default" w:ascii="Times New Roman" w:hAnsi="Times New Roman" w:eastAsia="宋体" w:cs="Times New Roman"/>
          <w:b w:val="0"/>
          <w:bCs w:val="0"/>
          <w:kern w:val="2"/>
          <w:sz w:val="24"/>
          <w:szCs w:val="24"/>
          <w:lang w:val="en-US" w:eastAsia="zh-CN" w:bidi="ar-SA"/>
        </w:rPr>
        <w:t>T</w:t>
      </w:r>
      <w:r>
        <w:rPr>
          <w:rFonts w:hint="default" w:ascii="Times New Roman" w:hAnsi="Times New Roman" w:eastAsia="宋体" w:cs="Times New Roman"/>
          <w:b w:val="0"/>
          <w:bCs w:val="0"/>
          <w:kern w:val="2"/>
          <w:sz w:val="24"/>
          <w:szCs w:val="24"/>
          <w:vertAlign w:val="subscript"/>
          <w:lang w:val="en-US" w:eastAsia="zh-CN" w:bidi="ar-SA"/>
        </w:rPr>
        <w:t>x</w:t>
      </w:r>
      <w:r>
        <w:rPr>
          <w:rFonts w:hint="default" w:ascii="Times New Roman" w:hAnsi="Times New Roman" w:eastAsia="宋体" w:cs="Times New Roman"/>
          <w:b w:val="0"/>
          <w:bCs w:val="0"/>
          <w:kern w:val="2"/>
          <w:sz w:val="24"/>
          <w:szCs w:val="24"/>
          <w:lang w:val="en-US" w:eastAsia="zh-CN" w:bidi="ar-SA"/>
        </w:rPr>
        <w:t xml:space="preserve"> plates were oriented in a parallel configuration separated by a 40 Å vacuum gap, defining a confined nanochannel for electrolyte confinement. Electrolyte constituents</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comprising water, PVA chains, and pre-optimized Na</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and Cl</w:t>
      </w:r>
      <w:r>
        <w:rPr>
          <w:rFonts w:hint="default" w:ascii="Times New Roman" w:hAnsi="Times New Roman" w:eastAsia="宋体" w:cs="Times New Roman"/>
          <w:b w:val="0"/>
          <w:bCs w:val="0"/>
          <w:kern w:val="2"/>
          <w:sz w:val="24"/>
          <w:szCs w:val="24"/>
          <w:vertAlign w:val="superscript"/>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ions</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were introduced into the interlayer region using the Packing function within the Amorphous Cell module. The number density and species ratios were carefully calibrated to mirror experimental composition. The assembled system underwent a secondary geometric optimization in Forcite to alleviate steric hindrances and packing artifacts, utilizing the same high-precision Born-Oppenheimer protocol.</w:t>
      </w:r>
    </w:p>
    <w:p w14:paraId="7830A133">
      <w:pPr>
        <w:pStyle w:val="2"/>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jc w:val="both"/>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4. Molecular Dynamics (MD) Protocols</w:t>
      </w:r>
    </w:p>
    <w:p w14:paraId="1F4B1896">
      <w:pPr>
        <w:pStyle w:val="3"/>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ind w:firstLine="480" w:firstLineChars="2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Following structural relaxation, MD simulations were performed using Forcite with fully atomistic force fields.</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The system was first equilibrated in the NVT ensemble at 298 K for 1000 ps to stabilize atomic velocities and dissipate internal stresses.</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 xml:space="preserve">Temperature was regulated via a Nosé-Hoover thermostat with a fluctuation tolerance of </w:t>
      </w:r>
      <w:r>
        <w:rPr>
          <w:rFonts w:hint="eastAsia" w:ascii="微软雅黑" w:hAnsi="微软雅黑" w:eastAsia="微软雅黑" w:cs="微软雅黑"/>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5%. Long-range nonbonded interactions (van der Waals and Coulombic) were computed using the Ewald summation method with an accuracy of 1 </w:t>
      </w:r>
      <w:r>
        <w:rPr>
          <w:rFonts w:hint="default" w:ascii="Arial" w:hAnsi="Arial" w:eastAsia="宋体" w:cs="Arial"/>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10</w:t>
      </w:r>
      <w:r>
        <w:rPr>
          <w:rFonts w:hint="default" w:ascii="Times New Roman" w:hAnsi="Times New Roman" w:eastAsia="宋体" w:cs="Times New Roman"/>
          <w:b w:val="0"/>
          <w:bCs w:val="0"/>
          <w:kern w:val="2"/>
          <w:sz w:val="24"/>
          <w:szCs w:val="24"/>
          <w:vertAlign w:val="superscript"/>
          <w:lang w:val="en-US" w:eastAsia="zh-CN" w:bidi="ar-SA"/>
        </w:rPr>
        <w:t>-3</w:t>
      </w:r>
      <w:r>
        <w:rPr>
          <w:rFonts w:hint="default" w:ascii="Times New Roman" w:hAnsi="Times New Roman" w:eastAsia="宋体" w:cs="Times New Roman"/>
          <w:b w:val="0"/>
          <w:bCs w:val="0"/>
          <w:kern w:val="2"/>
          <w:sz w:val="24"/>
          <w:szCs w:val="24"/>
          <w:lang w:val="en-US" w:eastAsia="zh-CN" w:bidi="ar-SA"/>
        </w:rPr>
        <w:t xml:space="preserve"> kcal/mol. Subsequently, the system transitioned to the NPT ensemble at 298 K and 1 atm for an additional 1000 ps, utilizing a Berendsen barostat to equilibrate the cell volume. All trajectories were propagated using the Velocity Verlet algorithm with a 1 fs time step; initial velocities were assigned based on a Boltzmann distribution corresponding to the target temperature.</w:t>
      </w:r>
    </w:p>
    <w:p w14:paraId="3D9518AC">
      <w:pPr>
        <w:pStyle w:val="2"/>
        <w:keepNext w:val="0"/>
        <w:keepLines w:val="0"/>
        <w:pageBreakBefore w:val="0"/>
        <w:widowControl/>
        <w:suppressLineNumbers w:val="0"/>
        <w:kinsoku/>
        <w:wordWrap/>
        <w:overflowPunct/>
        <w:topLinePunct w:val="0"/>
        <w:autoSpaceDE/>
        <w:autoSpaceDN/>
        <w:bidi w:val="0"/>
        <w:adjustRightInd/>
        <w:snapToGrid/>
        <w:spacing w:before="0" w:beforeAutospacing="0" w:line="360" w:lineRule="auto"/>
        <w:jc w:val="both"/>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5. Transport Property Analysis</w:t>
      </w:r>
    </w:p>
    <w:p w14:paraId="30E37CF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ind w:firstLine="480" w:firstLineChars="2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The diffusion kinetics of Na</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and Cl</w:t>
      </w:r>
      <w:r>
        <w:rPr>
          <w:rFonts w:hint="default" w:ascii="Times New Roman" w:hAnsi="Times New Roman" w:eastAsia="宋体" w:cs="Times New Roman"/>
          <w:b w:val="0"/>
          <w:bCs w:val="0"/>
          <w:kern w:val="2"/>
          <w:sz w:val="24"/>
          <w:szCs w:val="24"/>
          <w:vertAlign w:val="superscript"/>
          <w:lang w:val="en-US" w:eastAsia="zh-CN" w:bidi="ar-SA"/>
        </w:rPr>
        <w:t>-</w:t>
      </w:r>
      <w:r>
        <w:rPr>
          <w:rFonts w:hint="default" w:ascii="Times New Roman" w:hAnsi="Times New Roman" w:eastAsia="宋体" w:cs="Times New Roman"/>
          <w:b w:val="0"/>
          <w:bCs w:val="0"/>
          <w:kern w:val="2"/>
          <w:sz w:val="24"/>
          <w:szCs w:val="24"/>
          <w:lang w:val="en-US" w:eastAsia="zh-CN" w:bidi="ar-SA"/>
        </w:rPr>
        <w:t xml:space="preserve"> ions were quantified using trajectory data from the production phase. For each ionic species, the mean square displacement (MSD) was calculated as a function of time and fitted within the linear diffusive regime:</w:t>
      </w:r>
    </w:p>
    <w:p w14:paraId="38BBE26C">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Times New Roman" w:hAnsi="Times New Roman" w:cs="Times New Roman"/>
          <w:sz w:val="24"/>
          <w:szCs w:val="24"/>
        </w:rPr>
      </w:pPr>
      <m:oMath>
        <m:r>
          <m:rPr>
            <m:nor/>
            <m:sty m:val="p"/>
          </m:rPr>
          <w:rPr>
            <w:rFonts w:hint="eastAsia" w:ascii="Cambria Math" w:hAnsi="Cambria Math" w:cs="Times New Roman"/>
            <w:b w:val="0"/>
            <w:i w:val="0"/>
            <w:sz w:val="24"/>
            <w:szCs w:val="24"/>
          </w:rPr>
          <m:t>MSD</m:t>
        </m:r>
        <m:d>
          <m:dPr>
            <m:ctrlPr>
              <w:rPr>
                <w:rFonts w:ascii="Cambria Math" w:hAnsi="Cambria Math" w:cs="Times New Roman"/>
                <w:i/>
                <w:sz w:val="24"/>
                <w:szCs w:val="24"/>
              </w:rPr>
            </m:ctrlPr>
          </m:dPr>
          <m:e>
            <m:r>
              <m:rPr/>
              <w:rPr>
                <w:rFonts w:hint="eastAsia" w:ascii="Cambria Math" w:hAnsi="Cambria Math" w:cs="Times New Roman"/>
                <w:sz w:val="24"/>
                <w:szCs w:val="24"/>
              </w:rPr>
              <m:t>t</m:t>
            </m:r>
            <m:ctrlPr>
              <w:rPr>
                <w:rFonts w:ascii="Cambria Math" w:hAnsi="Cambria Math" w:cs="Times New Roman"/>
                <w:i/>
                <w:sz w:val="24"/>
                <w:szCs w:val="24"/>
              </w:rPr>
            </m:ctrlPr>
          </m:e>
        </m:d>
        <m:r>
          <m:rPr/>
          <w:rPr>
            <w:rFonts w:hint="eastAsia" w:ascii="Cambria Math" w:hAnsi="Cambria Math" w:cs="Times New Roman"/>
            <w:sz w:val="24"/>
            <w:szCs w:val="24"/>
          </w:rPr>
          <m:t>=</m:t>
        </m:r>
        <m:f>
          <m:fPr>
            <m:ctrlPr>
              <w:rPr>
                <w:rFonts w:ascii="Cambria Math" w:hAnsi="Cambria Math" w:cs="Times New Roman"/>
                <w:sz w:val="24"/>
                <w:szCs w:val="24"/>
              </w:rPr>
            </m:ctrlPr>
          </m:fPr>
          <m:num>
            <m:r>
              <m:rPr/>
              <w:rPr>
                <w:rFonts w:hint="eastAsia" w:ascii="Cambria Math" w:hAnsi="Cambria Math" w:cs="Times New Roman"/>
                <w:sz w:val="24"/>
                <w:szCs w:val="24"/>
              </w:rPr>
              <m:t>1</m:t>
            </m:r>
            <m:ctrlPr>
              <w:rPr>
                <w:rFonts w:ascii="Cambria Math" w:hAnsi="Cambria Math" w:cs="Times New Roman"/>
                <w:i/>
                <w:sz w:val="24"/>
                <w:szCs w:val="24"/>
              </w:rPr>
            </m:ctrlPr>
          </m:num>
          <m:den>
            <m:r>
              <m:rPr/>
              <w:rPr>
                <w:rFonts w:hint="eastAsia" w:ascii="Cambria Math" w:hAnsi="Cambria Math" w:cs="Times New Roman"/>
                <w:sz w:val="24"/>
                <w:szCs w:val="24"/>
              </w:rPr>
              <m:t>N</m:t>
            </m:r>
            <m:ctrlPr>
              <w:rPr>
                <w:rFonts w:ascii="Cambria Math" w:hAnsi="Cambria Math" w:cs="Times New Roman"/>
                <w:i/>
                <w:sz w:val="24"/>
                <w:szCs w:val="24"/>
              </w:rPr>
            </m:ctrlPr>
          </m:den>
        </m:f>
        <m:nary>
          <m:naryPr>
            <m:chr m:val="∑"/>
            <m:ctrlPr>
              <w:rPr>
                <w:rFonts w:ascii="Cambria Math" w:hAnsi="Cambria Math" w:cs="Times New Roman"/>
                <w:sz w:val="24"/>
                <w:szCs w:val="24"/>
              </w:rPr>
            </m:ctrlPr>
          </m:naryPr>
          <m:sub>
            <m:r>
              <m:rPr/>
              <w:rPr>
                <w:rFonts w:hint="eastAsia" w:ascii="Cambria Math" w:hAnsi="Cambria Math" w:cs="Times New Roman"/>
                <w:sz w:val="24"/>
                <w:szCs w:val="24"/>
              </w:rPr>
              <m:t>i=1</m:t>
            </m:r>
            <m:ctrlPr>
              <w:rPr>
                <w:rFonts w:ascii="Cambria Math" w:hAnsi="Cambria Math" w:cs="Times New Roman"/>
                <w:i/>
                <w:sz w:val="24"/>
                <w:szCs w:val="24"/>
              </w:rPr>
            </m:ctrlPr>
          </m:sub>
          <m:sup>
            <m:r>
              <m:rPr/>
              <w:rPr>
                <w:rFonts w:hint="eastAsia" w:ascii="Cambria Math" w:hAnsi="Cambria Math" w:cs="Times New Roman"/>
                <w:sz w:val="24"/>
                <w:szCs w:val="24"/>
              </w:rPr>
              <m:t>N</m:t>
            </m:r>
            <m:ctrlPr>
              <w:rPr>
                <w:rFonts w:ascii="Cambria Math" w:hAnsi="Cambria Math" w:cs="Times New Roman"/>
                <w:i/>
                <w:sz w:val="24"/>
                <w:szCs w:val="24"/>
              </w:rPr>
            </m:ctrlPr>
          </m:sup>
          <m:e>
            <m:d>
              <m:dPr>
                <m:begChr m:val="⟨"/>
                <m:endChr m:val=""/>
                <m:ctrlPr>
                  <w:rPr>
                    <w:rFonts w:ascii="Cambria Math" w:hAnsi="Cambria Math" w:cs="Times New Roman"/>
                    <w:sz w:val="24"/>
                    <w:szCs w:val="24"/>
                  </w:rPr>
                </m:ctrlPr>
              </m:dPr>
              <m:e>
                <m:sSup>
                  <m:sSupPr>
                    <m:ctrlPr>
                      <w:rPr>
                        <w:rFonts w:ascii="Cambria Math" w:hAnsi="Cambria Math" w:cs="Times New Roman"/>
                        <w:i/>
                        <w:sz w:val="24"/>
                        <w:szCs w:val="24"/>
                      </w:rPr>
                    </m:ctrlPr>
                  </m:sSupPr>
                  <m:e>
                    <m:d>
                      <m:dPr>
                        <m:begChr m:val="["/>
                        <m:endChr m:val="]"/>
                        <m:ctrlPr>
                          <w:rPr>
                            <w:rFonts w:ascii="Cambria Math" w:hAnsi="Cambria Math" w:cs="Times New Roman"/>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d>
                          <m:dPr>
                            <m:ctrlPr>
                              <w:rPr>
                                <w:rFonts w:ascii="Cambria Math" w:hAnsi="Cambria Math" w:cs="Times New Roman"/>
                                <w:i/>
                                <w:sz w:val="24"/>
                                <w:szCs w:val="24"/>
                              </w:rPr>
                            </m:ctrlPr>
                          </m:dPr>
                          <m:e>
                            <m:r>
                              <m:rPr/>
                              <w:rPr>
                                <w:rFonts w:hint="eastAsia" w:ascii="Cambria Math" w:hAnsi="Cambria Math" w:cs="Times New Roman"/>
                                <w:sz w:val="24"/>
                                <w:szCs w:val="24"/>
                              </w:rPr>
                              <m:t>t</m:t>
                            </m:r>
                            <m:ctrlPr>
                              <w:rPr>
                                <w:rFonts w:ascii="Cambria Math" w:hAnsi="Cambria Math" w:cs="Times New Roman"/>
                                <w:i/>
                                <w:sz w:val="24"/>
                                <w:szCs w:val="24"/>
                              </w:rPr>
                            </m:ctrlPr>
                          </m:e>
                        </m:d>
                        <m:r>
                          <m:rPr/>
                          <w:rPr>
                            <w:rFonts w:ascii="Cambria Math" w:hAnsi="Cambria Math" w:cs="Cambria Math"/>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d>
                          <m:dPr>
                            <m:ctrlPr>
                              <w:rPr>
                                <w:rFonts w:ascii="Cambria Math" w:hAnsi="Cambria Math" w:cs="Times New Roman"/>
                                <w:i/>
                                <w:sz w:val="24"/>
                                <w:szCs w:val="24"/>
                              </w:rPr>
                            </m:ctrlPr>
                          </m:dPr>
                          <m:e>
                            <m:r>
                              <m:rPr/>
                              <w:rPr>
                                <w:rFonts w:hint="eastAsia" w:ascii="Cambria Math" w:hAnsi="Cambria Math" w:cs="Times New Roman"/>
                                <w:sz w:val="24"/>
                                <w:szCs w:val="24"/>
                              </w:rPr>
                              <m:t>0</m:t>
                            </m:r>
                            <m:ctrlPr>
                              <w:rPr>
                                <w:rFonts w:ascii="Cambria Math" w:hAnsi="Cambria Math" w:cs="Times New Roman"/>
                                <w:i/>
                                <w:sz w:val="24"/>
                                <w:szCs w:val="24"/>
                              </w:rPr>
                            </m:ctrlPr>
                          </m:e>
                        </m:d>
                        <m:ctrlPr>
                          <w:rPr>
                            <w:rFonts w:ascii="Cambria Math" w:hAnsi="Cambria Math" w:cs="Times New Roman"/>
                            <w:i/>
                            <w:sz w:val="24"/>
                            <w:szCs w:val="24"/>
                          </w:rPr>
                        </m:ctrlPr>
                      </m:e>
                    </m:d>
                    <m:ctrlPr>
                      <w:rPr>
                        <w:rFonts w:ascii="Cambria Math" w:hAnsi="Cambria Math" w:cs="Times New Roman"/>
                        <w:sz w:val="24"/>
                        <w:szCs w:val="24"/>
                      </w:rPr>
                    </m:ctrlPr>
                  </m:e>
                  <m:sup>
                    <m:r>
                      <m:rPr/>
                      <w:rPr>
                        <w:rFonts w:hint="eastAsia"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sz w:val="24"/>
                    <w:szCs w:val="24"/>
                  </w:rPr>
                </m:ctrlPr>
              </m:e>
            </m:d>
            <m:ctrlPr>
              <w:rPr>
                <w:rFonts w:ascii="Cambria Math" w:hAnsi="Cambria Math" w:cs="Times New Roman"/>
                <w:i/>
                <w:sz w:val="24"/>
                <w:szCs w:val="24"/>
              </w:rPr>
            </m:ctrlPr>
          </m:e>
        </m:nary>
        <m:r>
          <m:rPr>
            <m:sty m:val="p"/>
          </m:rPr>
          <w:rPr>
            <w:rFonts w:ascii="Cambria Math" w:hAnsi="Cambria Math" w:cs="Cambria Math"/>
            <w:sz w:val="24"/>
            <w:szCs w:val="24"/>
          </w:rPr>
          <m:t>⟩</m:t>
        </m:r>
      </m:oMath>
      <w:r>
        <w:rPr>
          <w:rFonts w:hint="eastAsia" w:hAnsi="Cambria Math" w:cs="Cambria Math"/>
          <w:b w:val="0"/>
          <w:i w:val="0"/>
          <w:sz w:val="24"/>
          <w:szCs w:val="24"/>
          <w:lang w:val="en-US" w:eastAsia="zh-CN"/>
        </w:rPr>
        <w:t xml:space="preserve">    </w:t>
      </w:r>
      <w:r>
        <w:rPr>
          <w:rFonts w:hint="eastAsia" w:ascii="Times New Roman" w:hAnsi="Times New Roman" w:cs="Times New Roman"/>
          <w:sz w:val="24"/>
          <w:szCs w:val="24"/>
        </w:rPr>
        <w:t>(1)</w:t>
      </w:r>
    </w:p>
    <w:p w14:paraId="01238910">
      <w:pPr>
        <w:keepNext w:val="0"/>
        <w:keepLines w:val="0"/>
        <w:widowControl/>
        <w:suppressLineNumbers w:val="0"/>
        <w:jc w:val="left"/>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The diffusion coefficient (D) was subsequently extracted via the Einstein relation:</w:t>
      </w:r>
    </w:p>
    <w:p w14:paraId="60FF7F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val="0"/>
          <w:bCs w:val="0"/>
          <w:kern w:val="2"/>
          <w:sz w:val="24"/>
          <w:szCs w:val="24"/>
          <w:lang w:val="en-US" w:eastAsia="zh-CN" w:bidi="ar-SA"/>
        </w:rPr>
      </w:pPr>
      <m:oMath>
        <m:r>
          <m:rPr/>
          <w:rPr>
            <w:rFonts w:hint="eastAsia" w:ascii="Cambria Math" w:hAnsi="Cambria Math" w:cs="Times New Roman"/>
            <w:sz w:val="24"/>
            <w:szCs w:val="24"/>
          </w:rPr>
          <m:t>D=</m:t>
        </m:r>
        <m:f>
          <m:fPr>
            <m:ctrlPr>
              <w:rPr>
                <w:rFonts w:ascii="Cambria Math" w:hAnsi="Cambria Math" w:cs="Times New Roman"/>
                <w:sz w:val="24"/>
                <w:szCs w:val="24"/>
              </w:rPr>
            </m:ctrlPr>
          </m:fPr>
          <m:num>
            <m:r>
              <m:rPr/>
              <w:rPr>
                <w:rFonts w:hint="eastAsia" w:ascii="Cambria Math" w:hAnsi="Cambria Math" w:cs="Times New Roman"/>
                <w:sz w:val="24"/>
                <w:szCs w:val="24"/>
              </w:rPr>
              <m:t>1</m:t>
            </m:r>
            <m:ctrlPr>
              <w:rPr>
                <w:rFonts w:ascii="Cambria Math" w:hAnsi="Cambria Math" w:cs="Times New Roman"/>
                <w:i/>
                <w:sz w:val="24"/>
                <w:szCs w:val="24"/>
              </w:rPr>
            </m:ctrlPr>
          </m:num>
          <m:den>
            <m:r>
              <m:rPr/>
              <w:rPr>
                <w:rFonts w:hint="eastAsia" w:ascii="Cambria Math" w:hAnsi="Cambria Math" w:cs="Times New Roman"/>
                <w:sz w:val="24"/>
                <w:szCs w:val="24"/>
              </w:rPr>
              <m:t>6</m:t>
            </m:r>
            <m:ctrlPr>
              <w:rPr>
                <w:rFonts w:ascii="Cambria Math" w:hAnsi="Cambria Math" w:cs="Times New Roman"/>
                <w:i/>
                <w:sz w:val="24"/>
                <w:szCs w:val="24"/>
              </w:rPr>
            </m:ctrlPr>
          </m:den>
        </m:f>
        <m:f>
          <m:fPr>
            <m:ctrlPr>
              <w:rPr>
                <w:rFonts w:ascii="Cambria Math" w:hAnsi="Cambria Math" w:cs="Times New Roman"/>
                <w:sz w:val="24"/>
                <w:szCs w:val="24"/>
              </w:rPr>
            </m:ctrlPr>
          </m:fPr>
          <m:num>
            <m:r>
              <m:rPr/>
              <w:rPr>
                <w:rFonts w:hint="eastAsia" w:ascii="Cambria Math" w:hAnsi="Cambria Math" w:cs="Times New Roman"/>
                <w:sz w:val="24"/>
                <w:szCs w:val="24"/>
              </w:rPr>
              <m:t>d</m:t>
            </m:r>
            <m:ctrlPr>
              <w:rPr>
                <w:rFonts w:ascii="Cambria Math" w:hAnsi="Cambria Math" w:cs="Times New Roman"/>
                <w:i/>
                <w:sz w:val="24"/>
                <w:szCs w:val="24"/>
              </w:rPr>
            </m:ctrlPr>
          </m:num>
          <m:den>
            <m:r>
              <m:rPr/>
              <w:rPr>
                <w:rFonts w:hint="eastAsia" w:ascii="Cambria Math" w:hAnsi="Cambria Math" w:cs="Times New Roman"/>
                <w:sz w:val="24"/>
                <w:szCs w:val="24"/>
              </w:rPr>
              <m:t>dt</m:t>
            </m:r>
            <m:ctrlPr>
              <w:rPr>
                <w:rFonts w:ascii="Cambria Math" w:hAnsi="Cambria Math" w:cs="Times New Roman"/>
                <w:i/>
                <w:sz w:val="24"/>
                <w:szCs w:val="24"/>
              </w:rPr>
            </m:ctrlPr>
          </m:den>
        </m:f>
        <m:r>
          <m:rPr>
            <m:nor/>
            <m:sty m:val="p"/>
          </m:rPr>
          <w:rPr>
            <w:rFonts w:hint="eastAsia" w:ascii="Cambria Math" w:hAnsi="Cambria Math" w:cs="Times New Roman"/>
            <w:b w:val="0"/>
            <w:i w:val="0"/>
            <w:sz w:val="24"/>
            <w:szCs w:val="24"/>
          </w:rPr>
          <m:t>MSD</m:t>
        </m:r>
        <m:d>
          <m:dPr>
            <m:ctrlPr>
              <w:rPr>
                <w:rFonts w:ascii="Cambria Math" w:hAnsi="Cambria Math" w:cs="Times New Roman"/>
                <w:i/>
                <w:sz w:val="24"/>
                <w:szCs w:val="24"/>
              </w:rPr>
            </m:ctrlPr>
          </m:dPr>
          <m:e>
            <m:r>
              <m:rPr/>
              <w:rPr>
                <w:rFonts w:hint="eastAsia" w:ascii="Cambria Math" w:hAnsi="Cambria Math" w:cs="Times New Roman"/>
                <w:sz w:val="24"/>
                <w:szCs w:val="24"/>
              </w:rPr>
              <m:t>t</m:t>
            </m:r>
            <m:ctrlPr>
              <w:rPr>
                <w:rFonts w:ascii="Cambria Math" w:hAnsi="Cambria Math" w:cs="Times New Roman"/>
                <w:i/>
                <w:sz w:val="24"/>
                <w:szCs w:val="24"/>
              </w:rPr>
            </m:ctrlPr>
          </m:e>
        </m:d>
      </m:oMath>
      <w:r>
        <w:rPr>
          <w:rFonts w:hint="eastAsia" w:hAnsi="Cambria Math" w:cs="Times New Roman"/>
          <w:i w:val="0"/>
          <w:sz w:val="24"/>
          <w:szCs w:val="24"/>
          <w:lang w:val="en-US" w:eastAsia="zh-CN"/>
        </w:rPr>
        <w:t xml:space="preserve">   </w:t>
      </w:r>
      <w:r>
        <w:rPr>
          <w:rFonts w:hint="eastAsia" w:ascii="Times New Roman" w:hAnsi="Times New Roman" w:eastAsia="宋体" w:cs="Times New Roman"/>
          <w:b w:val="0"/>
          <w:bCs w:val="0"/>
          <w:kern w:val="2"/>
          <w:sz w:val="24"/>
          <w:szCs w:val="24"/>
          <w:lang w:val="en-US" w:eastAsia="zh-CN" w:bidi="ar-SA"/>
        </w:rPr>
        <w:t>(2)</w:t>
      </w:r>
    </w:p>
    <w:p w14:paraId="6A49E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Statistical reliability was ensured by ensemble-averaging the MSD profiles over the entire MD trajectory and across multiple independent ions to minimize uncertainties.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F5384"/>
    <w:rsid w:val="00881965"/>
    <w:rsid w:val="00D0495C"/>
    <w:rsid w:val="07577BA6"/>
    <w:rsid w:val="16487917"/>
    <w:rsid w:val="17831BCF"/>
    <w:rsid w:val="2B5C7BE4"/>
    <w:rsid w:val="2F7E0A6A"/>
    <w:rsid w:val="3C3411D3"/>
    <w:rsid w:val="3FBF5384"/>
    <w:rsid w:val="42A524A9"/>
    <w:rsid w:val="47CB4154"/>
    <w:rsid w:val="4AA633E8"/>
    <w:rsid w:val="5E8C5D8E"/>
    <w:rsid w:val="61F31AE0"/>
    <w:rsid w:val="64F670CC"/>
    <w:rsid w:val="6D9859E0"/>
    <w:rsid w:val="6E1C7812"/>
    <w:rsid w:val="7091562C"/>
    <w:rsid w:val="78622ED3"/>
    <w:rsid w:val="7D296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852</Words>
  <Characters>5327</Characters>
  <Lines>0</Lines>
  <Paragraphs>0</Paragraphs>
  <TotalTime>0</TotalTime>
  <ScaleCrop>false</ScaleCrop>
  <LinksUpToDate>false</LinksUpToDate>
  <CharactersWithSpaces>6115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2026-03-01T07:08:00Z</dcterms:created>
  <dc:creator>刘亚男</dc:creator>
  <cp:lastModifiedBy>刘亚男</cp:lastModifiedBy>
  <dcterms:modified xsi:type="dcterms:W3CDTF">2026-06-25T14:46:03Z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3B0B4AFE4AE7400AA7C409A649D55B14_11</vt:lpwstr>
  </property>
  <property fmtid="{D5CDD505-2E9C-101B-9397-08002B2CF9AE}" pid="4" name="KSOTemplateDocerSaveRecord">
    <vt:lpwstr>eyJoZGlkIjoiN2RkYjUwNmNlMTA0OTY4MjU4Y2NlMzRmNGM3NTg0NjYiLCJ1c2VySWQiOiIxNjcwMDQ2NDEyIn0=</vt:lpwstr>
  </property>
</Properties>
</file>