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120E6" w14:textId="4F99A2E1" w:rsidR="00FC44E3" w:rsidRPr="000A0630" w:rsidRDefault="0001251B" w:rsidP="00255C18">
      <w:pPr>
        <w:pStyle w:val="1"/>
        <w:spacing w:before="0" w:after="160"/>
        <w:jc w:val="center"/>
        <w:rPr>
          <w:rFonts w:ascii="Times New Roman" w:hAnsi="Times New Roman" w:cs="Times New Roman"/>
          <w:b/>
          <w:bCs/>
          <w:sz w:val="20"/>
          <w:szCs w:val="20"/>
          <w:lang w:val="en-US"/>
        </w:rPr>
      </w:pPr>
      <w:bookmarkStart w:id="0" w:name="_dzq653pyaho" w:colFirst="0" w:colLast="0"/>
      <w:bookmarkEnd w:id="0"/>
      <w:r w:rsidRPr="000A0630">
        <w:rPr>
          <w:rFonts w:ascii="Times New Roman" w:hAnsi="Times New Roman" w:cs="Times New Roman"/>
          <w:b/>
          <w:bCs/>
          <w:sz w:val="20"/>
          <w:szCs w:val="20"/>
          <w:lang w:val="en-US"/>
        </w:rPr>
        <w:t>A DETAILED DESCRIPTION OF THE LOGNORMALIZED ISI BURST DETECTION METHOD</w:t>
      </w:r>
    </w:p>
    <w:p w14:paraId="34E7DC44" w14:textId="0F9DFFAC" w:rsidR="00FC44E3" w:rsidRPr="0001251B" w:rsidRDefault="00AE2B48" w:rsidP="00255C18">
      <w:pPr>
        <w:spacing w:after="160"/>
        <w:ind w:firstLine="720"/>
        <w:jc w:val="both"/>
        <w:rPr>
          <w:rFonts w:ascii="Times New Roman" w:hAnsi="Times New Roman" w:cs="Times New Roman"/>
          <w:sz w:val="20"/>
          <w:szCs w:val="20"/>
          <w:lang w:val="en-US"/>
        </w:rPr>
      </w:pPr>
      <w:r w:rsidRPr="0001251B">
        <w:rPr>
          <w:rFonts w:ascii="Times New Roman" w:hAnsi="Times New Roman" w:cs="Times New Roman"/>
          <w:sz w:val="20"/>
          <w:szCs w:val="20"/>
          <w:lang w:val="en-US"/>
        </w:rPr>
        <w:t xml:space="preserve">Our approach </w:t>
      </w:r>
      <w:r w:rsidR="00255C18">
        <w:rPr>
          <w:rFonts w:ascii="Times New Roman" w:hAnsi="Times New Roman" w:cs="Times New Roman"/>
          <w:sz w:val="20"/>
          <w:szCs w:val="20"/>
          <w:lang w:val="en-US"/>
        </w:rPr>
        <w:t xml:space="preserve">of burst detection in spiking activity </w:t>
      </w:r>
      <w:r w:rsidRPr="0001251B">
        <w:rPr>
          <w:rFonts w:ascii="Times New Roman" w:hAnsi="Times New Roman" w:cs="Times New Roman"/>
          <w:sz w:val="20"/>
          <w:szCs w:val="20"/>
          <w:lang w:val="en-US"/>
        </w:rPr>
        <w:t xml:space="preserve">is based on two </w:t>
      </w:r>
      <w:proofErr w:type="spellStart"/>
      <w:r w:rsidRPr="0001251B">
        <w:rPr>
          <w:rFonts w:ascii="Times New Roman" w:hAnsi="Times New Roman" w:cs="Times New Roman"/>
          <w:sz w:val="20"/>
          <w:szCs w:val="20"/>
          <w:lang w:val="en-US"/>
        </w:rPr>
        <w:t>neurophysiologically</w:t>
      </w:r>
      <w:proofErr w:type="spellEnd"/>
      <w:r w:rsidRPr="0001251B">
        <w:rPr>
          <w:rFonts w:ascii="Times New Roman" w:hAnsi="Times New Roman" w:cs="Times New Roman"/>
          <w:sz w:val="20"/>
          <w:szCs w:val="20"/>
          <w:lang w:val="en-US"/>
        </w:rPr>
        <w:t xml:space="preserve"> motivated assumptions. First, we assume that basal ganglia neurons do not operate in a single homogeneous firing regime, but can alternate between tonic/non-burst discharge and bursting activity. This view is supported by </w:t>
      </w:r>
      <w:r w:rsidR="00255C18">
        <w:rPr>
          <w:rFonts w:ascii="Times New Roman" w:hAnsi="Times New Roman" w:cs="Times New Roman"/>
          <w:sz w:val="20"/>
          <w:szCs w:val="20"/>
          <w:lang w:val="en-US"/>
        </w:rPr>
        <w:t>subthalamic nucleus (</w:t>
      </w:r>
      <w:r w:rsidRPr="0001251B">
        <w:rPr>
          <w:rFonts w:ascii="Times New Roman" w:hAnsi="Times New Roman" w:cs="Times New Roman"/>
          <w:sz w:val="20"/>
          <w:szCs w:val="20"/>
          <w:lang w:val="en-US"/>
        </w:rPr>
        <w:t>STN</w:t>
      </w:r>
      <w:r w:rsidR="00255C18">
        <w:rPr>
          <w:rFonts w:ascii="Times New Roman" w:hAnsi="Times New Roman" w:cs="Times New Roman"/>
          <w:sz w:val="20"/>
          <w:szCs w:val="20"/>
          <w:lang w:val="en-US"/>
        </w:rPr>
        <w:t>)</w:t>
      </w:r>
      <w:r w:rsidRPr="0001251B">
        <w:rPr>
          <w:rFonts w:ascii="Times New Roman" w:hAnsi="Times New Roman" w:cs="Times New Roman"/>
          <w:sz w:val="20"/>
          <w:szCs w:val="20"/>
          <w:lang w:val="en-US"/>
        </w:rPr>
        <w:t xml:space="preserve"> recordings showing that subthalamic neurons can switch from regular single-spike firing to pure or mixed burst-firing mode depending on membrane potential and calcium-dependent mechanisms </w:t>
      </w:r>
      <w:hyperlink r:id="rId4">
        <w:r w:rsidRPr="0001251B">
          <w:rPr>
            <w:rFonts w:ascii="Times New Roman" w:hAnsi="Times New Roman" w:cs="Times New Roman"/>
            <w:sz w:val="20"/>
            <w:szCs w:val="20"/>
            <w:lang w:val="en-US"/>
          </w:rPr>
          <w:t>(</w:t>
        </w:r>
        <w:proofErr w:type="spellStart"/>
        <w:r w:rsidRPr="0001251B">
          <w:rPr>
            <w:rFonts w:ascii="Times New Roman" w:hAnsi="Times New Roman" w:cs="Times New Roman"/>
            <w:sz w:val="20"/>
            <w:szCs w:val="20"/>
            <w:lang w:val="en-US"/>
          </w:rPr>
          <w:t>Beurrier</w:t>
        </w:r>
        <w:proofErr w:type="spellEnd"/>
        <w:r w:rsidRPr="0001251B">
          <w:rPr>
            <w:rFonts w:ascii="Times New Roman" w:hAnsi="Times New Roman" w:cs="Times New Roman"/>
            <w:sz w:val="20"/>
            <w:szCs w:val="20"/>
            <w:lang w:val="en-US"/>
          </w:rPr>
          <w:t xml:space="preserve"> et al., 1999)</w:t>
        </w:r>
      </w:hyperlink>
      <w:r w:rsidRPr="0001251B">
        <w:rPr>
          <w:rFonts w:ascii="Times New Roman" w:hAnsi="Times New Roman" w:cs="Times New Roman"/>
          <w:sz w:val="20"/>
          <w:szCs w:val="20"/>
          <w:lang w:val="en-US"/>
        </w:rPr>
        <w:t xml:space="preserve">. In vivo, STN neurons likewise shift between irregular discharge during wakefulness and </w:t>
      </w:r>
      <w:proofErr w:type="spellStart"/>
      <w:r w:rsidRPr="0001251B">
        <w:rPr>
          <w:rFonts w:ascii="Times New Roman" w:hAnsi="Times New Roman" w:cs="Times New Roman"/>
          <w:sz w:val="20"/>
          <w:szCs w:val="20"/>
          <w:lang w:val="en-US"/>
        </w:rPr>
        <w:t>bursty</w:t>
      </w:r>
      <w:proofErr w:type="spellEnd"/>
      <w:r w:rsidRPr="0001251B">
        <w:rPr>
          <w:rFonts w:ascii="Times New Roman" w:hAnsi="Times New Roman" w:cs="Times New Roman"/>
          <w:sz w:val="20"/>
          <w:szCs w:val="20"/>
          <w:lang w:val="en-US"/>
        </w:rPr>
        <w:t xml:space="preserve"> firing during slow-wave sleep, indicating that burst and non-burst activity can represent state-dependent regimes of the same neuronal population </w:t>
      </w:r>
      <w:hyperlink r:id="rId5">
        <w:r w:rsidRPr="0001251B">
          <w:rPr>
            <w:rFonts w:ascii="Times New Roman" w:hAnsi="Times New Roman" w:cs="Times New Roman"/>
            <w:sz w:val="20"/>
            <w:szCs w:val="20"/>
            <w:lang w:val="en-US"/>
          </w:rPr>
          <w:t>(</w:t>
        </w:r>
        <w:proofErr w:type="spellStart"/>
        <w:r w:rsidRPr="0001251B">
          <w:rPr>
            <w:rFonts w:ascii="Times New Roman" w:hAnsi="Times New Roman" w:cs="Times New Roman"/>
            <w:sz w:val="20"/>
            <w:szCs w:val="20"/>
            <w:lang w:val="en-US"/>
          </w:rPr>
          <w:t>Urbain</w:t>
        </w:r>
        <w:proofErr w:type="spellEnd"/>
        <w:r w:rsidRPr="0001251B">
          <w:rPr>
            <w:rFonts w:ascii="Times New Roman" w:hAnsi="Times New Roman" w:cs="Times New Roman"/>
            <w:sz w:val="20"/>
            <w:szCs w:val="20"/>
            <w:lang w:val="en-US"/>
          </w:rPr>
          <w:t xml:space="preserve"> et al., 2002)</w:t>
        </w:r>
      </w:hyperlink>
      <w:r w:rsidRPr="0001251B">
        <w:rPr>
          <w:rFonts w:ascii="Times New Roman" w:hAnsi="Times New Roman" w:cs="Times New Roman"/>
          <w:sz w:val="20"/>
          <w:szCs w:val="20"/>
          <w:lang w:val="en-US"/>
        </w:rPr>
        <w:t>. At the circuit level, reciprocal STN-</w:t>
      </w:r>
      <w:proofErr w:type="spellStart"/>
      <w:r w:rsidRPr="0001251B">
        <w:rPr>
          <w:rFonts w:ascii="Times New Roman" w:hAnsi="Times New Roman" w:cs="Times New Roman"/>
          <w:sz w:val="20"/>
          <w:szCs w:val="20"/>
          <w:lang w:val="en-US"/>
        </w:rPr>
        <w:t>GPe</w:t>
      </w:r>
      <w:proofErr w:type="spellEnd"/>
      <w:r w:rsidRPr="0001251B">
        <w:rPr>
          <w:rFonts w:ascii="Times New Roman" w:hAnsi="Times New Roman" w:cs="Times New Roman"/>
          <w:sz w:val="20"/>
          <w:szCs w:val="20"/>
          <w:lang w:val="en-US"/>
        </w:rPr>
        <w:t xml:space="preserve"> interactions can generate synchronized oscillatory bursts, while preserved GP-STN slice preparations show predominantly tonic STN firing under control conditions but pharmacologically inducible bursting, suggesting that firing mode depends on both intrinsic excitability and network context </w:t>
      </w:r>
      <w:hyperlink r:id="rId6">
        <w:r w:rsidRPr="0001251B">
          <w:rPr>
            <w:rFonts w:ascii="Times New Roman" w:hAnsi="Times New Roman" w:cs="Times New Roman"/>
            <w:sz w:val="20"/>
            <w:szCs w:val="20"/>
            <w:lang w:val="en-US"/>
          </w:rPr>
          <w:t>(</w:t>
        </w:r>
        <w:proofErr w:type="spellStart"/>
        <w:r w:rsidRPr="0001251B">
          <w:rPr>
            <w:rFonts w:ascii="Times New Roman" w:hAnsi="Times New Roman" w:cs="Times New Roman"/>
            <w:sz w:val="20"/>
            <w:szCs w:val="20"/>
            <w:lang w:val="en-US"/>
          </w:rPr>
          <w:t>Loucif</w:t>
        </w:r>
        <w:proofErr w:type="spellEnd"/>
        <w:r w:rsidRPr="0001251B">
          <w:rPr>
            <w:rFonts w:ascii="Times New Roman" w:hAnsi="Times New Roman" w:cs="Times New Roman"/>
            <w:sz w:val="20"/>
            <w:szCs w:val="20"/>
            <w:lang w:val="en-US"/>
          </w:rPr>
          <w:t xml:space="preserve"> et al., 2005; </w:t>
        </w:r>
        <w:proofErr w:type="spellStart"/>
        <w:r w:rsidRPr="0001251B">
          <w:rPr>
            <w:rFonts w:ascii="Times New Roman" w:hAnsi="Times New Roman" w:cs="Times New Roman"/>
            <w:sz w:val="20"/>
            <w:szCs w:val="20"/>
            <w:lang w:val="en-US"/>
          </w:rPr>
          <w:t>Plenz</w:t>
        </w:r>
        <w:proofErr w:type="spellEnd"/>
        <w:r w:rsidRPr="0001251B">
          <w:rPr>
            <w:rFonts w:ascii="Times New Roman" w:hAnsi="Times New Roman" w:cs="Times New Roman"/>
            <w:sz w:val="20"/>
            <w:szCs w:val="20"/>
            <w:lang w:val="en-US"/>
          </w:rPr>
          <w:t xml:space="preserve"> &amp; </w:t>
        </w:r>
        <w:proofErr w:type="spellStart"/>
        <w:r w:rsidRPr="0001251B">
          <w:rPr>
            <w:rFonts w:ascii="Times New Roman" w:hAnsi="Times New Roman" w:cs="Times New Roman"/>
            <w:sz w:val="20"/>
            <w:szCs w:val="20"/>
            <w:lang w:val="en-US"/>
          </w:rPr>
          <w:t>Kital</w:t>
        </w:r>
        <w:proofErr w:type="spellEnd"/>
        <w:r w:rsidRPr="0001251B">
          <w:rPr>
            <w:rFonts w:ascii="Times New Roman" w:hAnsi="Times New Roman" w:cs="Times New Roman"/>
            <w:sz w:val="20"/>
            <w:szCs w:val="20"/>
            <w:lang w:val="en-US"/>
          </w:rPr>
          <w:t>, 1999)</w:t>
        </w:r>
      </w:hyperlink>
      <w:r w:rsidRPr="0001251B">
        <w:rPr>
          <w:rFonts w:ascii="Times New Roman" w:hAnsi="Times New Roman" w:cs="Times New Roman"/>
          <w:sz w:val="20"/>
          <w:szCs w:val="20"/>
          <w:lang w:val="en-US"/>
        </w:rPr>
        <w:t xml:space="preserve">. Under parkinsonian conditions, this tonic-burst flexibility becomes </w:t>
      </w:r>
      <w:proofErr w:type="spellStart"/>
      <w:r w:rsidRPr="0001251B">
        <w:rPr>
          <w:rFonts w:ascii="Times New Roman" w:hAnsi="Times New Roman" w:cs="Times New Roman"/>
          <w:sz w:val="20"/>
          <w:szCs w:val="20"/>
          <w:lang w:val="en-US"/>
        </w:rPr>
        <w:t>pathophysiologically</w:t>
      </w:r>
      <w:proofErr w:type="spellEnd"/>
      <w:r w:rsidRPr="0001251B">
        <w:rPr>
          <w:rFonts w:ascii="Times New Roman" w:hAnsi="Times New Roman" w:cs="Times New Roman"/>
          <w:sz w:val="20"/>
          <w:szCs w:val="20"/>
          <w:lang w:val="en-US"/>
        </w:rPr>
        <w:t xml:space="preserve"> relevant, as T-type Ca²⁺ channels are necessary for STN burst firing and their blockade suppresses bursts and improves motor deficits in dopamine-depleted rats </w:t>
      </w:r>
      <w:hyperlink r:id="rId7">
        <w:r w:rsidRPr="0001251B">
          <w:rPr>
            <w:rFonts w:ascii="Times New Roman" w:hAnsi="Times New Roman" w:cs="Times New Roman"/>
            <w:sz w:val="20"/>
            <w:szCs w:val="20"/>
            <w:lang w:val="en-US"/>
          </w:rPr>
          <w:t>(Tai et al., 2011)</w:t>
        </w:r>
      </w:hyperlink>
      <w:r w:rsidRPr="0001251B">
        <w:rPr>
          <w:rFonts w:ascii="Times New Roman" w:hAnsi="Times New Roman" w:cs="Times New Roman"/>
          <w:sz w:val="20"/>
          <w:szCs w:val="20"/>
          <w:lang w:val="en-US"/>
        </w:rPr>
        <w:t xml:space="preserve">. More generally, dynamical-systems models demonstrate that tonic spiking and bursting can coexist as distinct attractor states, supporting the interpretation of bursts not as outliers within a stationary spike train, but as a separable firing regime </w:t>
      </w:r>
      <w:hyperlink r:id="rId8">
        <w:r w:rsidRPr="0001251B">
          <w:rPr>
            <w:rFonts w:ascii="Times New Roman" w:hAnsi="Times New Roman" w:cs="Times New Roman"/>
            <w:sz w:val="20"/>
            <w:szCs w:val="20"/>
            <w:lang w:val="en-US"/>
          </w:rPr>
          <w:t>(</w:t>
        </w:r>
        <w:proofErr w:type="spellStart"/>
        <w:r w:rsidRPr="0001251B">
          <w:rPr>
            <w:rFonts w:ascii="Times New Roman" w:hAnsi="Times New Roman" w:cs="Times New Roman"/>
            <w:sz w:val="20"/>
            <w:szCs w:val="20"/>
            <w:lang w:val="en-US"/>
          </w:rPr>
          <w:t>Shilnikov</w:t>
        </w:r>
        <w:proofErr w:type="spellEnd"/>
        <w:r w:rsidRPr="0001251B">
          <w:rPr>
            <w:rFonts w:ascii="Times New Roman" w:hAnsi="Times New Roman" w:cs="Times New Roman"/>
            <w:sz w:val="20"/>
            <w:szCs w:val="20"/>
            <w:lang w:val="en-US"/>
          </w:rPr>
          <w:t xml:space="preserve"> et al., 2005)</w:t>
        </w:r>
      </w:hyperlink>
      <w:r w:rsidRPr="0001251B">
        <w:rPr>
          <w:rFonts w:ascii="Times New Roman" w:hAnsi="Times New Roman" w:cs="Times New Roman"/>
          <w:sz w:val="20"/>
          <w:szCs w:val="20"/>
          <w:lang w:val="en-US"/>
        </w:rPr>
        <w:t>.</w:t>
      </w:r>
    </w:p>
    <w:p w14:paraId="3DF9E5D5" w14:textId="77777777" w:rsidR="00FC44E3" w:rsidRPr="0001251B" w:rsidRDefault="00AE2B48" w:rsidP="00255C18">
      <w:pPr>
        <w:spacing w:after="160"/>
        <w:ind w:firstLine="720"/>
        <w:jc w:val="both"/>
        <w:rPr>
          <w:rFonts w:ascii="Times New Roman" w:hAnsi="Times New Roman" w:cs="Times New Roman"/>
          <w:sz w:val="20"/>
          <w:szCs w:val="20"/>
          <w:lang w:val="en-US"/>
        </w:rPr>
      </w:pPr>
      <w:r w:rsidRPr="0001251B">
        <w:rPr>
          <w:rFonts w:ascii="Times New Roman" w:hAnsi="Times New Roman" w:cs="Times New Roman"/>
          <w:sz w:val="20"/>
          <w:szCs w:val="20"/>
          <w:lang w:val="en-US"/>
        </w:rPr>
        <w:t xml:space="preserve">Second, we assume that these firing regimes can be described through gamma-distributed </w:t>
      </w:r>
      <w:proofErr w:type="spellStart"/>
      <w:r w:rsidRPr="0001251B">
        <w:rPr>
          <w:rFonts w:ascii="Times New Roman" w:hAnsi="Times New Roman" w:cs="Times New Roman"/>
          <w:sz w:val="20"/>
          <w:szCs w:val="20"/>
          <w:lang w:val="en-US"/>
        </w:rPr>
        <w:t>interspike</w:t>
      </w:r>
      <w:proofErr w:type="spellEnd"/>
      <w:r w:rsidRPr="0001251B">
        <w:rPr>
          <w:rFonts w:ascii="Times New Roman" w:hAnsi="Times New Roman" w:cs="Times New Roman"/>
          <w:sz w:val="20"/>
          <w:szCs w:val="20"/>
          <w:lang w:val="en-US"/>
        </w:rPr>
        <w:t xml:space="preserve"> intervals. Theoretical study shows that neurons driven by fluctuating synaptic inputs generate </w:t>
      </w:r>
      <w:proofErr w:type="spellStart"/>
      <w:r w:rsidRPr="0001251B">
        <w:rPr>
          <w:rFonts w:ascii="Times New Roman" w:hAnsi="Times New Roman" w:cs="Times New Roman"/>
          <w:sz w:val="20"/>
          <w:szCs w:val="20"/>
          <w:lang w:val="en-US"/>
        </w:rPr>
        <w:t>interspike</w:t>
      </w:r>
      <w:proofErr w:type="spellEnd"/>
      <w:r w:rsidRPr="0001251B">
        <w:rPr>
          <w:rFonts w:ascii="Times New Roman" w:hAnsi="Times New Roman" w:cs="Times New Roman"/>
          <w:sz w:val="20"/>
          <w:szCs w:val="20"/>
          <w:lang w:val="en-US"/>
        </w:rPr>
        <w:t xml:space="preserve"> interval (ISI) distributions that may be approximated by gamma distributions across integrate-and-fire and Hodgkin-Huxley-like model classes </w:t>
      </w:r>
      <w:hyperlink r:id="rId9">
        <w:r w:rsidRPr="0001251B">
          <w:rPr>
            <w:rFonts w:ascii="Times New Roman" w:hAnsi="Times New Roman" w:cs="Times New Roman"/>
            <w:sz w:val="20"/>
            <w:szCs w:val="20"/>
            <w:lang w:val="en-US"/>
          </w:rPr>
          <w:t>(</w:t>
        </w:r>
        <w:proofErr w:type="spellStart"/>
        <w:r w:rsidRPr="0001251B">
          <w:rPr>
            <w:rFonts w:ascii="Times New Roman" w:hAnsi="Times New Roman" w:cs="Times New Roman"/>
            <w:sz w:val="20"/>
            <w:szCs w:val="20"/>
            <w:lang w:val="en-US"/>
          </w:rPr>
          <w:t>Ostojic</w:t>
        </w:r>
        <w:proofErr w:type="spellEnd"/>
        <w:r w:rsidRPr="0001251B">
          <w:rPr>
            <w:rFonts w:ascii="Times New Roman" w:hAnsi="Times New Roman" w:cs="Times New Roman"/>
            <w:sz w:val="20"/>
            <w:szCs w:val="20"/>
            <w:lang w:val="en-US"/>
          </w:rPr>
          <w:t>, 2011)</w:t>
        </w:r>
      </w:hyperlink>
      <w:r w:rsidRPr="0001251B">
        <w:rPr>
          <w:rFonts w:ascii="Times New Roman" w:hAnsi="Times New Roman" w:cs="Times New Roman"/>
          <w:sz w:val="20"/>
          <w:szCs w:val="20"/>
          <w:lang w:val="en-US"/>
        </w:rPr>
        <w:t xml:space="preserve">. This framework is biologically interpretable because gamma parameters jointly capture the temporal scale and regularity of spiking, while log-scaled analyses further suggest that long in vivo spike trains may comprise multiple gamma-like modes operating at distinct timescales </w:t>
      </w:r>
      <w:hyperlink r:id="rId10">
        <w:r w:rsidRPr="0001251B">
          <w:rPr>
            <w:rFonts w:ascii="Times New Roman" w:hAnsi="Times New Roman" w:cs="Times New Roman"/>
            <w:sz w:val="20"/>
            <w:szCs w:val="20"/>
            <w:lang w:val="en-US"/>
          </w:rPr>
          <w:t>(</w:t>
        </w:r>
        <w:proofErr w:type="spellStart"/>
        <w:r w:rsidRPr="0001251B">
          <w:rPr>
            <w:rFonts w:ascii="Times New Roman" w:hAnsi="Times New Roman" w:cs="Times New Roman"/>
            <w:sz w:val="20"/>
            <w:szCs w:val="20"/>
            <w:lang w:val="en-US"/>
          </w:rPr>
          <w:t>Levenstein</w:t>
        </w:r>
        <w:proofErr w:type="spellEnd"/>
        <w:r w:rsidRPr="0001251B">
          <w:rPr>
            <w:rFonts w:ascii="Times New Roman" w:hAnsi="Times New Roman" w:cs="Times New Roman"/>
            <w:sz w:val="20"/>
            <w:szCs w:val="20"/>
            <w:lang w:val="en-US"/>
          </w:rPr>
          <w:t xml:space="preserve"> &amp; Okun, 2023)</w:t>
        </w:r>
      </w:hyperlink>
      <w:r w:rsidRPr="0001251B">
        <w:rPr>
          <w:rFonts w:ascii="Times New Roman" w:hAnsi="Times New Roman" w:cs="Times New Roman"/>
          <w:sz w:val="20"/>
          <w:szCs w:val="20"/>
          <w:lang w:val="en-US"/>
        </w:rPr>
        <w:t xml:space="preserve">. Importantly, gamma-based descriptions have also been applied directly to human BG recordings: in parkinsonian STN neurons, ISI histograms were fitted with Gamma distributions and their associated log(k) shape factor was used to measure firing regularity </w:t>
      </w:r>
      <w:hyperlink r:id="rId11">
        <w:r w:rsidRPr="0001251B">
          <w:rPr>
            <w:rFonts w:ascii="Times New Roman" w:hAnsi="Times New Roman" w:cs="Times New Roman"/>
            <w:sz w:val="20"/>
            <w:szCs w:val="20"/>
            <w:lang w:val="en-US"/>
          </w:rPr>
          <w:t>(</w:t>
        </w:r>
        <w:proofErr w:type="spellStart"/>
        <w:r w:rsidRPr="0001251B">
          <w:rPr>
            <w:rFonts w:ascii="Times New Roman" w:hAnsi="Times New Roman" w:cs="Times New Roman"/>
            <w:sz w:val="20"/>
            <w:szCs w:val="20"/>
            <w:lang w:val="en-US"/>
          </w:rPr>
          <w:t>Vissani</w:t>
        </w:r>
        <w:proofErr w:type="spellEnd"/>
        <w:r w:rsidRPr="0001251B">
          <w:rPr>
            <w:rFonts w:ascii="Times New Roman" w:hAnsi="Times New Roman" w:cs="Times New Roman"/>
            <w:sz w:val="20"/>
            <w:szCs w:val="20"/>
            <w:lang w:val="en-US"/>
          </w:rPr>
          <w:t xml:space="preserve"> et al., 2022)</w:t>
        </w:r>
      </w:hyperlink>
      <w:r w:rsidRPr="0001251B">
        <w:rPr>
          <w:rFonts w:ascii="Times New Roman" w:hAnsi="Times New Roman" w:cs="Times New Roman"/>
          <w:sz w:val="20"/>
          <w:szCs w:val="20"/>
          <w:lang w:val="en-US"/>
        </w:rPr>
        <w:t xml:space="preserve">. Similarly, in STN recordings from Tourette syndrome patients, gamma-derived measures of firing irregularity were used to characterize tonic, irregular, and burst-like discharge patterns, supporting our treatment of BG ISI distributions as mixtures of latent gamma-distributed tonic, burst-related, and pause-related regimes </w:t>
      </w:r>
      <w:hyperlink r:id="rId12">
        <w:r w:rsidRPr="0001251B">
          <w:rPr>
            <w:rFonts w:ascii="Times New Roman" w:hAnsi="Times New Roman" w:cs="Times New Roman"/>
            <w:sz w:val="20"/>
            <w:szCs w:val="20"/>
            <w:lang w:val="en-US"/>
          </w:rPr>
          <w:t>(</w:t>
        </w:r>
        <w:proofErr w:type="spellStart"/>
        <w:r w:rsidRPr="0001251B">
          <w:rPr>
            <w:rFonts w:ascii="Times New Roman" w:hAnsi="Times New Roman" w:cs="Times New Roman"/>
            <w:sz w:val="20"/>
            <w:szCs w:val="20"/>
            <w:lang w:val="en-US"/>
          </w:rPr>
          <w:t>Vissani</w:t>
        </w:r>
        <w:proofErr w:type="spellEnd"/>
        <w:r w:rsidRPr="0001251B">
          <w:rPr>
            <w:rFonts w:ascii="Times New Roman" w:hAnsi="Times New Roman" w:cs="Times New Roman"/>
            <w:sz w:val="20"/>
            <w:szCs w:val="20"/>
            <w:lang w:val="en-US"/>
          </w:rPr>
          <w:t xml:space="preserve"> et al., 2019)</w:t>
        </w:r>
      </w:hyperlink>
      <w:r w:rsidRPr="0001251B">
        <w:rPr>
          <w:rFonts w:ascii="Times New Roman" w:hAnsi="Times New Roman" w:cs="Times New Roman"/>
          <w:sz w:val="20"/>
          <w:szCs w:val="20"/>
          <w:lang w:val="en-US"/>
        </w:rPr>
        <w:t>.</w:t>
      </w:r>
    </w:p>
    <w:p w14:paraId="36F30102" w14:textId="77777777" w:rsidR="00FC44E3" w:rsidRPr="0001251B" w:rsidRDefault="00AE2B48" w:rsidP="00255C18">
      <w:pPr>
        <w:spacing w:after="160"/>
        <w:ind w:firstLine="720"/>
        <w:jc w:val="both"/>
        <w:rPr>
          <w:rFonts w:ascii="Times New Roman" w:hAnsi="Times New Roman" w:cs="Times New Roman"/>
          <w:sz w:val="20"/>
          <w:szCs w:val="20"/>
          <w:lang w:val="en-US"/>
        </w:rPr>
      </w:pPr>
      <w:r w:rsidRPr="0001251B">
        <w:rPr>
          <w:rFonts w:ascii="Times New Roman" w:hAnsi="Times New Roman" w:cs="Times New Roman"/>
          <w:sz w:val="20"/>
          <w:szCs w:val="20"/>
          <w:lang w:val="en-US"/>
        </w:rPr>
        <w:t xml:space="preserve">Below, we introduce </w:t>
      </w:r>
      <w:proofErr w:type="spellStart"/>
      <w:r w:rsidRPr="0001251B">
        <w:rPr>
          <w:rFonts w:ascii="Times New Roman" w:hAnsi="Times New Roman" w:cs="Times New Roman"/>
          <w:sz w:val="20"/>
          <w:szCs w:val="20"/>
          <w:lang w:val="en-US"/>
        </w:rPr>
        <w:t>Lognormalized</w:t>
      </w:r>
      <w:proofErr w:type="spellEnd"/>
      <w:r w:rsidRPr="0001251B">
        <w:rPr>
          <w:rFonts w:ascii="Times New Roman" w:hAnsi="Times New Roman" w:cs="Times New Roman"/>
          <w:sz w:val="20"/>
          <w:szCs w:val="20"/>
          <w:lang w:val="en-US"/>
        </w:rPr>
        <w:t xml:space="preserve"> ISI (</w:t>
      </w:r>
      <w:proofErr w:type="spellStart"/>
      <w:r w:rsidRPr="0001251B">
        <w:rPr>
          <w:rFonts w:ascii="Times New Roman" w:hAnsi="Times New Roman" w:cs="Times New Roman"/>
          <w:sz w:val="20"/>
          <w:szCs w:val="20"/>
          <w:lang w:val="en-US"/>
        </w:rPr>
        <w:t>LognormISI</w:t>
      </w:r>
      <w:proofErr w:type="spellEnd"/>
      <w:r w:rsidRPr="0001251B">
        <w:rPr>
          <w:rFonts w:ascii="Times New Roman" w:hAnsi="Times New Roman" w:cs="Times New Roman"/>
          <w:sz w:val="20"/>
          <w:szCs w:val="20"/>
          <w:lang w:val="en-US"/>
        </w:rPr>
        <w:t xml:space="preserve">), a two-stage, data-driven method designed to identify burst-related regimes in BG spike trains without imposing fixed </w:t>
      </w:r>
      <w:proofErr w:type="spellStart"/>
      <w:r w:rsidRPr="0001251B">
        <w:rPr>
          <w:rFonts w:ascii="Times New Roman" w:hAnsi="Times New Roman" w:cs="Times New Roman"/>
          <w:sz w:val="20"/>
          <w:szCs w:val="20"/>
          <w:lang w:val="en-US"/>
        </w:rPr>
        <w:t>interspike</w:t>
      </w:r>
      <w:proofErr w:type="spellEnd"/>
      <w:r w:rsidRPr="0001251B">
        <w:rPr>
          <w:rFonts w:ascii="Times New Roman" w:hAnsi="Times New Roman" w:cs="Times New Roman"/>
          <w:sz w:val="20"/>
          <w:szCs w:val="20"/>
          <w:lang w:val="en-US"/>
        </w:rPr>
        <w:t>-interval thresholds.</w:t>
      </w:r>
    </w:p>
    <w:p w14:paraId="245CE7E5" w14:textId="6306F3ED" w:rsidR="00FC44E3" w:rsidRPr="0001251B" w:rsidRDefault="00AE2B48" w:rsidP="00255C18">
      <w:pPr>
        <w:spacing w:after="160"/>
        <w:ind w:firstLine="720"/>
        <w:jc w:val="both"/>
        <w:rPr>
          <w:rFonts w:ascii="Times New Roman" w:hAnsi="Times New Roman" w:cs="Times New Roman"/>
          <w:sz w:val="20"/>
          <w:szCs w:val="20"/>
          <w:lang w:val="en-US"/>
        </w:rPr>
      </w:pPr>
      <w:r w:rsidRPr="0001251B">
        <w:rPr>
          <w:rFonts w:ascii="Times New Roman" w:hAnsi="Times New Roman" w:cs="Times New Roman"/>
          <w:sz w:val="20"/>
          <w:szCs w:val="20"/>
          <w:lang w:val="en-US"/>
        </w:rPr>
        <w:t>In the first stage (Fig. 1</w:t>
      </w:r>
      <w:r w:rsidR="00255C18">
        <w:rPr>
          <w:rFonts w:ascii="Times New Roman" w:hAnsi="Times New Roman" w:cs="Times New Roman"/>
          <w:sz w:val="20"/>
          <w:szCs w:val="20"/>
          <w:lang w:val="en-US"/>
        </w:rPr>
        <w:t>a</w:t>
      </w:r>
      <w:r w:rsidRPr="0001251B">
        <w:rPr>
          <w:rFonts w:ascii="Times New Roman" w:hAnsi="Times New Roman" w:cs="Times New Roman"/>
          <w:sz w:val="20"/>
          <w:szCs w:val="20"/>
          <w:lang w:val="en-US"/>
        </w:rPr>
        <w:t xml:space="preserve">), the spike train is converted into a normalized logarithmic representation of </w:t>
      </w:r>
      <w:proofErr w:type="spellStart"/>
      <w:r w:rsidRPr="0001251B">
        <w:rPr>
          <w:rFonts w:ascii="Times New Roman" w:hAnsi="Times New Roman" w:cs="Times New Roman"/>
          <w:sz w:val="20"/>
          <w:szCs w:val="20"/>
          <w:lang w:val="en-US"/>
        </w:rPr>
        <w:t>interspike</w:t>
      </w:r>
      <w:proofErr w:type="spellEnd"/>
      <w:r w:rsidRPr="0001251B">
        <w:rPr>
          <w:rFonts w:ascii="Times New Roman" w:hAnsi="Times New Roman" w:cs="Times New Roman"/>
          <w:sz w:val="20"/>
          <w:szCs w:val="20"/>
          <w:lang w:val="en-US"/>
        </w:rPr>
        <w:t xml:space="preserve"> intervals. For a spike train with </w:t>
      </w:r>
      <w:proofErr w:type="spellStart"/>
      <w:r w:rsidRPr="0001251B">
        <w:rPr>
          <w:rFonts w:ascii="Times New Roman" w:hAnsi="Times New Roman" w:cs="Times New Roman"/>
          <w:sz w:val="20"/>
          <w:szCs w:val="20"/>
          <w:lang w:val="en-US"/>
        </w:rPr>
        <w:t>interspike</w:t>
      </w:r>
      <w:proofErr w:type="spellEnd"/>
      <w:r w:rsidRPr="0001251B">
        <w:rPr>
          <w:rFonts w:ascii="Times New Roman" w:hAnsi="Times New Roman" w:cs="Times New Roman"/>
          <w:sz w:val="20"/>
          <w:szCs w:val="20"/>
          <w:lang w:val="en-US"/>
        </w:rPr>
        <w:t xml:space="preserve"> intervals (</w:t>
      </w:r>
      <w:proofErr w:type="spellStart"/>
      <w:r w:rsidRPr="0001251B">
        <w:rPr>
          <w:rFonts w:ascii="Times New Roman" w:hAnsi="Times New Roman" w:cs="Times New Roman"/>
          <w:sz w:val="20"/>
          <w:szCs w:val="20"/>
          <w:lang w:val="en-US"/>
        </w:rPr>
        <w:t>ISI_i</w:t>
      </w:r>
      <w:proofErr w:type="spellEnd"/>
      <w:r w:rsidRPr="0001251B">
        <w:rPr>
          <w:rFonts w:ascii="Times New Roman" w:hAnsi="Times New Roman" w:cs="Times New Roman"/>
          <w:sz w:val="20"/>
          <w:szCs w:val="20"/>
          <w:lang w:val="en-US"/>
        </w:rPr>
        <w:t>), we define</w:t>
      </w:r>
      <w:r w:rsidR="00255C18" w:rsidRPr="00255C18">
        <w:rPr>
          <w:rFonts w:ascii="Times New Roman" w:hAnsi="Times New Roman" w:cs="Times New Roman"/>
          <w:sz w:val="20"/>
          <w:szCs w:val="20"/>
          <w:lang w:val="en-US"/>
        </w:rPr>
        <w:t xml:space="preserve"> </w:t>
      </w:r>
      <m:oMath>
        <m:sSub>
          <m:sSubPr>
            <m:ctrlPr>
              <w:rPr>
                <w:rFonts w:ascii="Cambria Math" w:eastAsia="Arial Unicode MS" w:hAnsi="Cambria Math" w:cs="Times New Roman"/>
                <w:i/>
                <w:sz w:val="20"/>
                <w:szCs w:val="20"/>
                <w:lang w:val="en-US"/>
              </w:rPr>
            </m:ctrlPr>
          </m:sSubPr>
          <m:e>
            <m:r>
              <w:rPr>
                <w:rFonts w:ascii="Cambria Math" w:eastAsia="Arial Unicode MS" w:hAnsi="Cambria Math" w:cs="Times New Roman"/>
                <w:sz w:val="20"/>
                <w:szCs w:val="20"/>
                <w:lang w:val="en-US"/>
              </w:rPr>
              <m:t>X</m:t>
            </m:r>
          </m:e>
          <m:sub>
            <m:r>
              <w:rPr>
                <w:rFonts w:ascii="Cambria Math" w:eastAsia="Arial Unicode MS" w:hAnsi="Cambria Math" w:cs="Times New Roman"/>
                <w:sz w:val="20"/>
                <w:szCs w:val="20"/>
                <w:lang w:val="en-US"/>
              </w:rPr>
              <m:t>i</m:t>
            </m:r>
          </m:sub>
        </m:sSub>
        <m:r>
          <w:rPr>
            <w:rFonts w:ascii="Cambria Math" w:eastAsia="Arial Unicode MS" w:hAnsi="Cambria Math" w:cs="Times New Roman"/>
            <w:sz w:val="20"/>
            <w:szCs w:val="20"/>
            <w:lang w:val="en-US"/>
          </w:rPr>
          <m:t>=-</m:t>
        </m:r>
        <m:func>
          <m:funcPr>
            <m:ctrlPr>
              <w:rPr>
                <w:rFonts w:ascii="Cambria Math" w:eastAsia="Arial Unicode MS" w:hAnsi="Cambria Math" w:cs="Times New Roman"/>
                <w:i/>
                <w:sz w:val="20"/>
                <w:szCs w:val="20"/>
                <w:lang w:val="en-US"/>
              </w:rPr>
            </m:ctrlPr>
          </m:funcPr>
          <m:fName>
            <m:r>
              <m:rPr>
                <m:sty m:val="p"/>
              </m:rPr>
              <w:rPr>
                <w:rFonts w:ascii="Cambria Math" w:eastAsia="Arial Unicode MS" w:hAnsi="Cambria Math" w:cs="Times New Roman"/>
                <w:sz w:val="20"/>
                <w:szCs w:val="20"/>
                <w:lang w:val="en-US"/>
              </w:rPr>
              <m:t>log</m:t>
            </m:r>
          </m:fName>
          <m:e>
            <m:f>
              <m:fPr>
                <m:ctrlPr>
                  <w:rPr>
                    <w:rFonts w:ascii="Cambria Math" w:eastAsia="Arial Unicode MS" w:hAnsi="Cambria Math" w:cs="Times New Roman"/>
                    <w:i/>
                    <w:sz w:val="20"/>
                    <w:szCs w:val="20"/>
                    <w:lang w:val="en-US"/>
                  </w:rPr>
                </m:ctrlPr>
              </m:fPr>
              <m:num>
                <m:sSub>
                  <m:sSubPr>
                    <m:ctrlPr>
                      <w:rPr>
                        <w:rFonts w:ascii="Cambria Math" w:eastAsia="Arial Unicode MS" w:hAnsi="Cambria Math" w:cs="Times New Roman"/>
                        <w:i/>
                        <w:sz w:val="20"/>
                        <w:szCs w:val="20"/>
                        <w:lang w:val="en-US"/>
                      </w:rPr>
                    </m:ctrlPr>
                  </m:sSubPr>
                  <m:e>
                    <m:r>
                      <w:rPr>
                        <w:rFonts w:ascii="Cambria Math" w:eastAsia="Arial Unicode MS" w:hAnsi="Cambria Math" w:cs="Times New Roman"/>
                        <w:sz w:val="20"/>
                        <w:szCs w:val="20"/>
                        <w:lang w:val="en-US"/>
                      </w:rPr>
                      <m:t>ISI</m:t>
                    </m:r>
                  </m:e>
                  <m:sub>
                    <m:r>
                      <w:rPr>
                        <w:rFonts w:ascii="Cambria Math" w:eastAsia="Arial Unicode MS" w:hAnsi="Cambria Math" w:cs="Times New Roman"/>
                        <w:sz w:val="20"/>
                        <w:szCs w:val="20"/>
                        <w:lang w:val="en-US"/>
                      </w:rPr>
                      <m:t>i</m:t>
                    </m:r>
                  </m:sub>
                </m:sSub>
              </m:num>
              <m:den>
                <m:nary>
                  <m:naryPr>
                    <m:chr m:val="∑"/>
                    <m:limLoc m:val="undOvr"/>
                    <m:supHide m:val="1"/>
                    <m:ctrlPr>
                      <w:rPr>
                        <w:rFonts w:ascii="Cambria Math" w:eastAsia="Arial Unicode MS" w:hAnsi="Cambria Math" w:cs="Times New Roman"/>
                        <w:i/>
                        <w:sz w:val="20"/>
                        <w:szCs w:val="20"/>
                        <w:lang w:val="en-US"/>
                      </w:rPr>
                    </m:ctrlPr>
                  </m:naryPr>
                  <m:sub>
                    <m:r>
                      <w:rPr>
                        <w:rFonts w:ascii="Cambria Math" w:eastAsia="Arial Unicode MS" w:hAnsi="Cambria Math" w:cs="Times New Roman"/>
                        <w:sz w:val="20"/>
                        <w:szCs w:val="20"/>
                        <w:lang w:val="en-US"/>
                      </w:rPr>
                      <m:t>j</m:t>
                    </m:r>
                  </m:sub>
                  <m:sup/>
                  <m:e>
                    <m:sSub>
                      <m:sSubPr>
                        <m:ctrlPr>
                          <w:rPr>
                            <w:rFonts w:ascii="Cambria Math" w:eastAsia="Arial Unicode MS" w:hAnsi="Cambria Math" w:cs="Times New Roman"/>
                            <w:i/>
                            <w:sz w:val="20"/>
                            <w:szCs w:val="20"/>
                            <w:lang w:val="en-US"/>
                          </w:rPr>
                        </m:ctrlPr>
                      </m:sSubPr>
                      <m:e>
                        <m:r>
                          <w:rPr>
                            <w:rFonts w:ascii="Cambria Math" w:eastAsia="Arial Unicode MS" w:hAnsi="Cambria Math" w:cs="Times New Roman"/>
                            <w:sz w:val="20"/>
                            <w:szCs w:val="20"/>
                            <w:lang w:val="en-US"/>
                          </w:rPr>
                          <m:t>ISI</m:t>
                        </m:r>
                      </m:e>
                      <m:sub>
                        <m:r>
                          <w:rPr>
                            <w:rFonts w:ascii="Cambria Math" w:eastAsia="Arial Unicode MS" w:hAnsi="Cambria Math" w:cs="Times New Roman"/>
                            <w:sz w:val="20"/>
                            <w:szCs w:val="20"/>
                            <w:lang w:val="en-US"/>
                          </w:rPr>
                          <m:t>j</m:t>
                        </m:r>
                      </m:sub>
                    </m:sSub>
                  </m:e>
                </m:nary>
              </m:den>
            </m:f>
          </m:e>
        </m:func>
      </m:oMath>
      <w:r w:rsidR="00255C18" w:rsidRPr="00255C18">
        <w:rPr>
          <w:rFonts w:ascii="Times New Roman" w:hAnsi="Times New Roman" w:cs="Times New Roman"/>
          <w:sz w:val="20"/>
          <w:szCs w:val="20"/>
          <w:lang w:val="en-US"/>
        </w:rPr>
        <w:t>.</w:t>
      </w:r>
      <w:r w:rsidR="00255C18">
        <w:rPr>
          <w:rFonts w:ascii="Times New Roman" w:hAnsi="Times New Roman" w:cs="Times New Roman"/>
          <w:sz w:val="20"/>
          <w:szCs w:val="20"/>
          <w:lang w:val="en-US"/>
        </w:rPr>
        <w:t xml:space="preserve"> </w:t>
      </w:r>
      <w:r w:rsidRPr="0001251B">
        <w:rPr>
          <w:rFonts w:ascii="Times New Roman" w:hAnsi="Times New Roman" w:cs="Times New Roman"/>
          <w:sz w:val="20"/>
          <w:szCs w:val="20"/>
          <w:lang w:val="en-US"/>
        </w:rPr>
        <w:t xml:space="preserve">This transformation maps short intervals to larger values of X, thereby placing burst-related intervals in the right tail of the distribution, while simultaneously normalizing each spike train by its own total duration. The empirical distribution of X is then modelled as a finite mixture of log-gamma components. Candidate models with different numbers of components are fitted by expectation-maximization </w:t>
      </w:r>
      <w:hyperlink r:id="rId13">
        <w:r w:rsidRPr="0001251B">
          <w:rPr>
            <w:rFonts w:ascii="Times New Roman" w:hAnsi="Times New Roman" w:cs="Times New Roman"/>
            <w:sz w:val="20"/>
            <w:szCs w:val="20"/>
            <w:lang w:val="en-US"/>
          </w:rPr>
          <w:t>(Dempster et al., 1977)</w:t>
        </w:r>
      </w:hyperlink>
      <w:r w:rsidRPr="0001251B">
        <w:rPr>
          <w:rFonts w:ascii="Times New Roman" w:hAnsi="Times New Roman" w:cs="Times New Roman"/>
          <w:sz w:val="20"/>
          <w:szCs w:val="20"/>
          <w:lang w:val="en-US"/>
        </w:rPr>
        <w:t xml:space="preserve">, and the optimal number of components is selected using the Bayesian information criterion </w:t>
      </w:r>
      <w:hyperlink r:id="rId14">
        <w:r w:rsidRPr="0001251B">
          <w:rPr>
            <w:rFonts w:ascii="Times New Roman" w:hAnsi="Times New Roman" w:cs="Times New Roman"/>
            <w:sz w:val="20"/>
            <w:szCs w:val="20"/>
            <w:lang w:val="en-US"/>
          </w:rPr>
          <w:t>(Schwarz, 1978)</w:t>
        </w:r>
      </w:hyperlink>
      <w:r w:rsidRPr="0001251B">
        <w:rPr>
          <w:rFonts w:ascii="Times New Roman" w:hAnsi="Times New Roman" w:cs="Times New Roman"/>
          <w:sz w:val="20"/>
          <w:szCs w:val="20"/>
          <w:lang w:val="en-US"/>
        </w:rPr>
        <w:t>, with additional safeguards against unstable solutions driven by very small components. Each fitted component is interpreted as a latent firing regime characterized by its weight, location, scale, and shape parameters.</w:t>
      </w:r>
    </w:p>
    <w:p w14:paraId="1B38FF8E" w14:textId="77777777" w:rsidR="00FC44E3" w:rsidRPr="0001251B" w:rsidRDefault="00AE2B48" w:rsidP="00255C18">
      <w:pPr>
        <w:spacing w:after="160"/>
        <w:ind w:firstLine="720"/>
        <w:jc w:val="both"/>
        <w:rPr>
          <w:rFonts w:ascii="Times New Roman" w:hAnsi="Times New Roman" w:cs="Times New Roman"/>
          <w:sz w:val="20"/>
          <w:szCs w:val="20"/>
          <w:lang w:val="en-US"/>
        </w:rPr>
      </w:pPr>
      <w:r w:rsidRPr="0001251B">
        <w:rPr>
          <w:rFonts w:ascii="Times New Roman" w:hAnsi="Times New Roman" w:cs="Times New Roman"/>
          <w:sz w:val="20"/>
          <w:szCs w:val="20"/>
          <w:lang w:val="en-US"/>
        </w:rPr>
        <w:t xml:space="preserve">After fitting the mixture, </w:t>
      </w:r>
      <w:proofErr w:type="spellStart"/>
      <w:r w:rsidRPr="0001251B">
        <w:rPr>
          <w:rFonts w:ascii="Times New Roman" w:hAnsi="Times New Roman" w:cs="Times New Roman"/>
          <w:sz w:val="20"/>
          <w:szCs w:val="20"/>
          <w:lang w:val="en-US"/>
        </w:rPr>
        <w:t>LognormISI</w:t>
      </w:r>
      <w:proofErr w:type="spellEnd"/>
      <w:r w:rsidRPr="0001251B">
        <w:rPr>
          <w:rFonts w:ascii="Times New Roman" w:hAnsi="Times New Roman" w:cs="Times New Roman"/>
          <w:sz w:val="20"/>
          <w:szCs w:val="20"/>
          <w:lang w:val="en-US"/>
        </w:rPr>
        <w:t xml:space="preserve"> assigns provisional neurophysiological labels to the components. If the model contains a single component, all intervals are classified as base activity. If multiple components are present, the rightmost component in X-space is treated as the candidate burst component, whereas the remaining components are treated as non-burst or base activity. However, the method does not rely on this ordering alone. To avoid spurious component labelling, the candidate burst-base separation is accepted only if the weighted probability density functions of the dominant base component and the candidate burst component have a single relevant crossing between their modes. This crossing defines a data-derived decision boundary. An interval is classified as burst only when it is assigned to the burst component and lies to the right of this boundary; otherwise, it is retained as base. If the crossing criterion is not satisfied, the split is rejected and the spike train is conservatively treated as containing no reliably separable burst component at this stage.</w:t>
      </w:r>
    </w:p>
    <w:p w14:paraId="74B0A95F" w14:textId="1D72C5F0" w:rsidR="00FC44E3" w:rsidRPr="0001251B" w:rsidRDefault="00AE2B48" w:rsidP="00255C18">
      <w:pPr>
        <w:spacing w:after="160"/>
        <w:ind w:firstLine="720"/>
        <w:jc w:val="both"/>
        <w:rPr>
          <w:rFonts w:ascii="Times New Roman" w:hAnsi="Times New Roman" w:cs="Times New Roman"/>
          <w:sz w:val="20"/>
          <w:szCs w:val="20"/>
          <w:lang w:val="en-US"/>
        </w:rPr>
      </w:pPr>
      <w:r w:rsidRPr="0001251B">
        <w:rPr>
          <w:rFonts w:ascii="Times New Roman" w:hAnsi="Times New Roman" w:cs="Times New Roman"/>
          <w:sz w:val="20"/>
          <w:szCs w:val="20"/>
          <w:lang w:val="en-US"/>
        </w:rPr>
        <w:lastRenderedPageBreak/>
        <w:t xml:space="preserve">The second stage (Fig. </w:t>
      </w:r>
      <w:r w:rsidR="00181EBC">
        <w:rPr>
          <w:rFonts w:ascii="Times New Roman" w:hAnsi="Times New Roman" w:cs="Times New Roman"/>
          <w:sz w:val="20"/>
          <w:szCs w:val="20"/>
          <w:lang w:val="en-US"/>
        </w:rPr>
        <w:t>1b</w:t>
      </w:r>
      <w:r w:rsidRPr="0001251B">
        <w:rPr>
          <w:rFonts w:ascii="Times New Roman" w:hAnsi="Times New Roman" w:cs="Times New Roman"/>
          <w:sz w:val="20"/>
          <w:szCs w:val="20"/>
          <w:lang w:val="en-US"/>
        </w:rPr>
        <w:t xml:space="preserve">) is introduced to address a limitation of mixture-based burst detection: not all burst-related intervals necessarily form an independent gamma component that can be cleanly separated from the base distribution. In some neurons, especially those with skewed or broad base ISI distributions, short-interval burst events may weight down </w:t>
      </w:r>
      <w:proofErr w:type="spellStart"/>
      <w:r w:rsidRPr="0001251B">
        <w:rPr>
          <w:rFonts w:ascii="Times New Roman" w:hAnsi="Times New Roman" w:cs="Times New Roman"/>
          <w:sz w:val="20"/>
          <w:szCs w:val="20"/>
          <w:lang w:val="en-US"/>
        </w:rPr>
        <w:t>othe</w:t>
      </w:r>
      <w:proofErr w:type="spellEnd"/>
      <w:r w:rsidRPr="0001251B">
        <w:rPr>
          <w:rFonts w:ascii="Times New Roman" w:hAnsi="Times New Roman" w:cs="Times New Roman"/>
          <w:sz w:val="20"/>
          <w:szCs w:val="20"/>
          <w:lang w:val="en-US"/>
        </w:rPr>
        <w:t xml:space="preserve"> right tail of the base component rather than form a distinct log-gamma mode. In such cases, a single-stage mixture model may underestimate burst activity by absorbing short burst-like intervals into the base component. To recover these hidden burst-related intervals, </w:t>
      </w:r>
      <w:proofErr w:type="spellStart"/>
      <w:r w:rsidRPr="0001251B">
        <w:rPr>
          <w:rFonts w:ascii="Times New Roman" w:hAnsi="Times New Roman" w:cs="Times New Roman"/>
          <w:sz w:val="20"/>
          <w:szCs w:val="20"/>
          <w:lang w:val="en-US"/>
        </w:rPr>
        <w:t>LognormISI</w:t>
      </w:r>
      <w:proofErr w:type="spellEnd"/>
      <w:r w:rsidRPr="0001251B">
        <w:rPr>
          <w:rFonts w:ascii="Times New Roman" w:hAnsi="Times New Roman" w:cs="Times New Roman"/>
          <w:sz w:val="20"/>
          <w:szCs w:val="20"/>
          <w:lang w:val="en-US"/>
        </w:rPr>
        <w:t xml:space="preserve"> performs an additional analysis restricted only to the intervals classified as base in the first stage.</w:t>
      </w:r>
    </w:p>
    <w:p w14:paraId="385EA9F5" w14:textId="77777777" w:rsidR="00FC44E3" w:rsidRPr="0001251B" w:rsidRDefault="00AE2B48" w:rsidP="00255C18">
      <w:pPr>
        <w:spacing w:after="160"/>
        <w:ind w:firstLine="720"/>
        <w:jc w:val="both"/>
        <w:rPr>
          <w:rFonts w:ascii="Times New Roman" w:hAnsi="Times New Roman" w:cs="Times New Roman"/>
          <w:sz w:val="20"/>
          <w:szCs w:val="20"/>
          <w:lang w:val="en-US"/>
        </w:rPr>
      </w:pPr>
      <w:r w:rsidRPr="0001251B">
        <w:rPr>
          <w:rFonts w:ascii="Times New Roman" w:hAnsi="Times New Roman" w:cs="Times New Roman"/>
          <w:sz w:val="20"/>
          <w:szCs w:val="20"/>
          <w:lang w:val="en-US"/>
        </w:rPr>
        <w:t xml:space="preserve">For this hidden-burst analysis, the first-stage base intervals are again represented in the same normalized logarithmic space. Because the analysis is now performed within a restricted region of the transformed distribution, where local deviations from the base component are expected to appear as a subset rather than full gamma-distributed regimes, the method fits a Gaussian mixture model to the base X-values. Candidate Gaussian mixtures with different numbers of components are fitted and compared using the Bayesian information criterion. If more than one component is selected, the rightmost Gaussian component is treated as a candidate hidden-burst component, reflecting the same idea that shorter intervals occupy larger values of X. As in the first stage, this assignment is validated by the existence of a single relevant crossing between the weighted densities of the nearest base component and the candidate hidden-burst component. Only intervals lying to the right of this boundary and assigned to the candidate hidden-burst component are </w:t>
      </w:r>
      <w:proofErr w:type="spellStart"/>
      <w:r w:rsidRPr="0001251B">
        <w:rPr>
          <w:rFonts w:ascii="Times New Roman" w:hAnsi="Times New Roman" w:cs="Times New Roman"/>
          <w:sz w:val="20"/>
          <w:szCs w:val="20"/>
          <w:lang w:val="en-US"/>
        </w:rPr>
        <w:t>relabelled</w:t>
      </w:r>
      <w:proofErr w:type="spellEnd"/>
      <w:r w:rsidRPr="0001251B">
        <w:rPr>
          <w:rFonts w:ascii="Times New Roman" w:hAnsi="Times New Roman" w:cs="Times New Roman"/>
          <w:sz w:val="20"/>
          <w:szCs w:val="20"/>
          <w:lang w:val="en-US"/>
        </w:rPr>
        <w:t xml:space="preserve"> as hidden bursts.</w:t>
      </w:r>
    </w:p>
    <w:p w14:paraId="22AAED01" w14:textId="090EA2A8" w:rsidR="00FC44E3" w:rsidRPr="0001251B" w:rsidRDefault="00AE2B48" w:rsidP="00255C18">
      <w:pPr>
        <w:spacing w:after="160"/>
        <w:ind w:firstLine="720"/>
        <w:jc w:val="both"/>
        <w:rPr>
          <w:rFonts w:ascii="Times New Roman" w:hAnsi="Times New Roman" w:cs="Times New Roman"/>
          <w:sz w:val="20"/>
          <w:szCs w:val="20"/>
          <w:lang w:val="en-US"/>
        </w:rPr>
      </w:pPr>
      <w:r w:rsidRPr="0001251B">
        <w:rPr>
          <w:rFonts w:ascii="Times New Roman" w:hAnsi="Times New Roman" w:cs="Times New Roman"/>
          <w:sz w:val="20"/>
          <w:szCs w:val="20"/>
          <w:lang w:val="en-US"/>
        </w:rPr>
        <w:t xml:space="preserve">The final output of </w:t>
      </w:r>
      <w:proofErr w:type="spellStart"/>
      <w:r w:rsidRPr="0001251B">
        <w:rPr>
          <w:rFonts w:ascii="Times New Roman" w:hAnsi="Times New Roman" w:cs="Times New Roman"/>
          <w:sz w:val="20"/>
          <w:szCs w:val="20"/>
          <w:lang w:val="en-US"/>
        </w:rPr>
        <w:t>LognormISI</w:t>
      </w:r>
      <w:proofErr w:type="spellEnd"/>
      <w:r w:rsidRPr="0001251B">
        <w:rPr>
          <w:rFonts w:ascii="Times New Roman" w:hAnsi="Times New Roman" w:cs="Times New Roman"/>
          <w:sz w:val="20"/>
          <w:szCs w:val="20"/>
          <w:lang w:val="en-US"/>
        </w:rPr>
        <w:t xml:space="preserve"> (Fig. 1</w:t>
      </w:r>
      <w:r w:rsidR="00181EBC">
        <w:rPr>
          <w:rFonts w:ascii="Times New Roman" w:hAnsi="Times New Roman" w:cs="Times New Roman"/>
          <w:sz w:val="20"/>
          <w:szCs w:val="20"/>
          <w:lang w:val="en-US"/>
        </w:rPr>
        <w:t>c</w:t>
      </w:r>
      <w:r w:rsidRPr="0001251B">
        <w:rPr>
          <w:rFonts w:ascii="Times New Roman" w:hAnsi="Times New Roman" w:cs="Times New Roman"/>
          <w:sz w:val="20"/>
          <w:szCs w:val="20"/>
          <w:lang w:val="en-US"/>
        </w:rPr>
        <w:t>) is therefore a three-state interval classification: base, directly detected burst, and hidden burst. Directly detected bursts correspond to short-ISI regimes that form a separable log-gamma component in the full ISI distribution. Hidden bursts correspond to short-interval structures embedded within the first-stage base distribution and revealed only after modelling its internal substructure. Consecutive burst or hidden-burst intervals are then merged into continuous burst episodes, allowing the method to report burst onset, burst termination, duration, number of participating spikes, and the number of burst-associated ISIs.</w:t>
      </w:r>
    </w:p>
    <w:p w14:paraId="12530067" w14:textId="043AD006" w:rsidR="00FC44E3" w:rsidRPr="00CF77EB" w:rsidRDefault="00AE2B48" w:rsidP="00255C18">
      <w:pPr>
        <w:spacing w:after="160"/>
        <w:ind w:firstLine="720"/>
        <w:jc w:val="both"/>
        <w:rPr>
          <w:rFonts w:ascii="Times New Roman" w:hAnsi="Times New Roman" w:cs="Times New Roman"/>
          <w:sz w:val="20"/>
          <w:szCs w:val="20"/>
          <w:lang w:val="en-US"/>
        </w:rPr>
      </w:pPr>
      <w:r w:rsidRPr="0001251B">
        <w:rPr>
          <w:rFonts w:ascii="Times New Roman" w:hAnsi="Times New Roman" w:cs="Times New Roman"/>
          <w:sz w:val="20"/>
          <w:szCs w:val="20"/>
          <w:lang w:val="en-US"/>
        </w:rPr>
        <w:t xml:space="preserve">This two-stage structure makes </w:t>
      </w:r>
      <w:proofErr w:type="spellStart"/>
      <w:r w:rsidRPr="0001251B">
        <w:rPr>
          <w:rFonts w:ascii="Times New Roman" w:hAnsi="Times New Roman" w:cs="Times New Roman"/>
          <w:sz w:val="20"/>
          <w:szCs w:val="20"/>
          <w:lang w:val="en-US"/>
        </w:rPr>
        <w:t>LognormISI</w:t>
      </w:r>
      <w:proofErr w:type="spellEnd"/>
      <w:r w:rsidRPr="0001251B">
        <w:rPr>
          <w:rFonts w:ascii="Times New Roman" w:hAnsi="Times New Roman" w:cs="Times New Roman"/>
          <w:sz w:val="20"/>
          <w:szCs w:val="20"/>
          <w:lang w:val="en-US"/>
        </w:rPr>
        <w:t xml:space="preserve"> deliberately conservative at the global level but sensitive to residual burst structure within the base regime. By combining a gamma-mixture model of the full normalized ISI distribution with a secondary Gaussian-mixture decomposition of the base component, the method reflects the central neurophysiological premise of the study: basal ganglia spike trains may contain coexisting tonic, burst-related, and pause-related regimes, but these regimes are not always expressed as fully separable global components. Instead, some burst activity may be embedded within the skewed structure of the tonic distribution itself. </w:t>
      </w:r>
      <w:proofErr w:type="spellStart"/>
      <w:r w:rsidRPr="0001251B">
        <w:rPr>
          <w:rFonts w:ascii="Times New Roman" w:hAnsi="Times New Roman" w:cs="Times New Roman"/>
          <w:sz w:val="20"/>
          <w:szCs w:val="20"/>
          <w:lang w:val="en-US"/>
        </w:rPr>
        <w:t>LognormISI</w:t>
      </w:r>
      <w:proofErr w:type="spellEnd"/>
      <w:r w:rsidRPr="0001251B">
        <w:rPr>
          <w:rFonts w:ascii="Times New Roman" w:hAnsi="Times New Roman" w:cs="Times New Roman"/>
          <w:sz w:val="20"/>
          <w:szCs w:val="20"/>
          <w:lang w:val="en-US"/>
        </w:rPr>
        <w:t xml:space="preserve"> is designed to capture both possibilities while avoiding fixed universal thresholds and allowing burst boundaries to emerge from the statistical geometry of each individual spike train.</w:t>
      </w:r>
      <w:r w:rsidR="00CF77EB" w:rsidRPr="00CF77EB">
        <w:rPr>
          <w:rFonts w:ascii="Times New Roman" w:hAnsi="Times New Roman" w:cs="Times New Roman"/>
          <w:sz w:val="20"/>
          <w:szCs w:val="20"/>
          <w:lang w:val="en-US"/>
        </w:rPr>
        <w:t xml:space="preserve"> </w:t>
      </w:r>
      <w:r w:rsidR="00CF77EB" w:rsidRPr="00693C02">
        <w:rPr>
          <w:rFonts w:ascii="Times New Roman" w:eastAsia="Arial Unicode MS" w:hAnsi="Times New Roman" w:cs="Times New Roman"/>
          <w:sz w:val="20"/>
          <w:szCs w:val="20"/>
          <w:lang w:val="en-US"/>
        </w:rPr>
        <w:t>The Python implementation of this approach can be found on GitHub at https://github.com/IskanderIV/burst_detection.</w:t>
      </w:r>
    </w:p>
    <w:p w14:paraId="15433C5F" w14:textId="53D294C5" w:rsidR="00FC44E3" w:rsidRPr="0001251B" w:rsidRDefault="00255C18" w:rsidP="008E221F">
      <w:pPr>
        <w:spacing w:after="16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8EE491F" wp14:editId="6517D5FE">
            <wp:extent cx="3024000" cy="2132222"/>
            <wp:effectExtent l="0" t="0" r="508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4000" cy="2132222"/>
                    </a:xfrm>
                    <a:prstGeom prst="rect">
                      <a:avLst/>
                    </a:prstGeom>
                    <a:noFill/>
                    <a:ln>
                      <a:noFill/>
                    </a:ln>
                  </pic:spPr>
                </pic:pic>
              </a:graphicData>
            </a:graphic>
          </wp:inline>
        </w:drawing>
      </w:r>
    </w:p>
    <w:p w14:paraId="4F6FD0E4" w14:textId="3B57B9F4" w:rsidR="00FC44E3" w:rsidRPr="0001251B" w:rsidRDefault="00255C18" w:rsidP="00280EF7">
      <w:pPr>
        <w:spacing w:after="160" w:line="240" w:lineRule="auto"/>
        <w:jc w:val="both"/>
        <w:rPr>
          <w:rFonts w:ascii="Times New Roman" w:hAnsi="Times New Roman" w:cs="Times New Roman"/>
          <w:sz w:val="20"/>
          <w:szCs w:val="20"/>
          <w:lang w:val="en-US"/>
        </w:rPr>
      </w:pPr>
      <w:r w:rsidRPr="00255C18">
        <w:rPr>
          <w:rFonts w:ascii="Times New Roman" w:eastAsia="Arial Unicode MS" w:hAnsi="Times New Roman" w:cs="Times New Roman"/>
          <w:sz w:val="20"/>
          <w:szCs w:val="20"/>
          <w:lang w:val="en-US"/>
        </w:rPr>
        <w:t xml:space="preserve">Figure 1. Stepwise visualization of the </w:t>
      </w:r>
      <w:proofErr w:type="spellStart"/>
      <w:r w:rsidRPr="00255C18">
        <w:rPr>
          <w:rFonts w:ascii="Times New Roman" w:eastAsia="Arial Unicode MS" w:hAnsi="Times New Roman" w:cs="Times New Roman"/>
          <w:sz w:val="20"/>
          <w:szCs w:val="20"/>
          <w:lang w:val="en-US"/>
        </w:rPr>
        <w:t>LognormISI</w:t>
      </w:r>
      <w:proofErr w:type="spellEnd"/>
      <w:r w:rsidRPr="00255C18">
        <w:rPr>
          <w:rFonts w:ascii="Times New Roman" w:eastAsia="Arial Unicode MS" w:hAnsi="Times New Roman" w:cs="Times New Roman"/>
          <w:sz w:val="20"/>
          <w:szCs w:val="20"/>
          <w:lang w:val="en-US"/>
        </w:rPr>
        <w:t xml:space="preserve"> burst-detection procedure. Representative application of the </w:t>
      </w:r>
      <w:proofErr w:type="spellStart"/>
      <w:r w:rsidRPr="00255C18">
        <w:rPr>
          <w:rFonts w:ascii="Times New Roman" w:eastAsia="Arial Unicode MS" w:hAnsi="Times New Roman" w:cs="Times New Roman"/>
          <w:sz w:val="20"/>
          <w:szCs w:val="20"/>
          <w:lang w:val="en-US"/>
        </w:rPr>
        <w:t>LognormISI</w:t>
      </w:r>
      <w:proofErr w:type="spellEnd"/>
      <w:r w:rsidRPr="00255C18">
        <w:rPr>
          <w:rFonts w:ascii="Times New Roman" w:eastAsia="Arial Unicode MS" w:hAnsi="Times New Roman" w:cs="Times New Roman"/>
          <w:sz w:val="20"/>
          <w:szCs w:val="20"/>
          <w:lang w:val="en-US"/>
        </w:rPr>
        <w:t xml:space="preserve"> algorithm to an experimental STN microelectrode recording. (a) First-stage decomposition of the transformed inter-spike interval variable</w:t>
      </w:r>
      <w:r>
        <w:rPr>
          <w:rFonts w:ascii="Times New Roman" w:eastAsia="Arial Unicode MS" w:hAnsi="Times New Roman" w:cs="Times New Roman"/>
          <w:sz w:val="20"/>
          <w:szCs w:val="20"/>
          <w:lang w:val="en-US"/>
        </w:rPr>
        <w:t xml:space="preserve">, </w:t>
      </w:r>
      <m:oMath>
        <m:r>
          <w:rPr>
            <w:rFonts w:ascii="Cambria Math" w:eastAsia="Arial Unicode MS" w:hAnsi="Cambria Math" w:cs="Times New Roman"/>
            <w:sz w:val="20"/>
            <w:szCs w:val="20"/>
            <w:lang w:val="en-US"/>
          </w:rPr>
          <m:t>X=-</m:t>
        </m:r>
        <m:func>
          <m:funcPr>
            <m:ctrlPr>
              <w:rPr>
                <w:rFonts w:ascii="Cambria Math" w:eastAsia="Arial Unicode MS" w:hAnsi="Cambria Math" w:cs="Times New Roman"/>
                <w:i/>
                <w:sz w:val="20"/>
                <w:szCs w:val="20"/>
                <w:lang w:val="en-US"/>
              </w:rPr>
            </m:ctrlPr>
          </m:funcPr>
          <m:fName>
            <m:r>
              <m:rPr>
                <m:sty m:val="p"/>
              </m:rPr>
              <w:rPr>
                <w:rFonts w:ascii="Cambria Math" w:eastAsia="Arial Unicode MS" w:hAnsi="Cambria Math" w:cs="Times New Roman"/>
                <w:sz w:val="20"/>
                <w:szCs w:val="20"/>
                <w:lang w:val="en-US"/>
              </w:rPr>
              <m:t>log</m:t>
            </m:r>
          </m:fName>
          <m:e>
            <m:f>
              <m:fPr>
                <m:ctrlPr>
                  <w:rPr>
                    <w:rFonts w:ascii="Cambria Math" w:eastAsia="Arial Unicode MS" w:hAnsi="Cambria Math" w:cs="Times New Roman"/>
                    <w:i/>
                    <w:sz w:val="20"/>
                    <w:szCs w:val="20"/>
                    <w:lang w:val="en-US"/>
                  </w:rPr>
                </m:ctrlPr>
              </m:fPr>
              <m:num>
                <m:r>
                  <w:rPr>
                    <w:rFonts w:ascii="Cambria Math" w:eastAsia="Arial Unicode MS" w:hAnsi="Cambria Math" w:cs="Times New Roman"/>
                    <w:sz w:val="20"/>
                    <w:szCs w:val="20"/>
                    <w:lang w:val="en-US"/>
                  </w:rPr>
                  <m:t>ISI</m:t>
                </m:r>
              </m:num>
              <m:den>
                <m:nary>
                  <m:naryPr>
                    <m:chr m:val="∑"/>
                    <m:limLoc m:val="undOvr"/>
                    <m:supHide m:val="1"/>
                    <m:ctrlPr>
                      <w:rPr>
                        <w:rFonts w:ascii="Cambria Math" w:eastAsia="Arial Unicode MS" w:hAnsi="Cambria Math" w:cs="Times New Roman"/>
                        <w:i/>
                        <w:sz w:val="20"/>
                        <w:szCs w:val="20"/>
                        <w:lang w:val="en-US"/>
                      </w:rPr>
                    </m:ctrlPr>
                  </m:naryPr>
                  <m:sub>
                    <m:r>
                      <w:rPr>
                        <w:rFonts w:ascii="Cambria Math" w:eastAsia="Arial Unicode MS" w:hAnsi="Cambria Math" w:cs="Times New Roman"/>
                        <w:sz w:val="20"/>
                        <w:szCs w:val="20"/>
                        <w:lang w:val="en-US"/>
                      </w:rPr>
                      <m:t>j</m:t>
                    </m:r>
                  </m:sub>
                  <m:sup/>
                  <m:e>
                    <m:sSub>
                      <m:sSubPr>
                        <m:ctrlPr>
                          <w:rPr>
                            <w:rFonts w:ascii="Cambria Math" w:eastAsia="Arial Unicode MS" w:hAnsi="Cambria Math" w:cs="Times New Roman"/>
                            <w:i/>
                            <w:sz w:val="20"/>
                            <w:szCs w:val="20"/>
                            <w:lang w:val="en-US"/>
                          </w:rPr>
                        </m:ctrlPr>
                      </m:sSubPr>
                      <m:e>
                        <m:r>
                          <w:rPr>
                            <w:rFonts w:ascii="Cambria Math" w:eastAsia="Arial Unicode MS" w:hAnsi="Cambria Math" w:cs="Times New Roman"/>
                            <w:sz w:val="20"/>
                            <w:szCs w:val="20"/>
                            <w:lang w:val="en-US"/>
                          </w:rPr>
                          <m:t>ISI</m:t>
                        </m:r>
                      </m:e>
                      <m:sub>
                        <m:r>
                          <w:rPr>
                            <w:rFonts w:ascii="Cambria Math" w:eastAsia="Arial Unicode MS" w:hAnsi="Cambria Math" w:cs="Times New Roman"/>
                            <w:sz w:val="20"/>
                            <w:szCs w:val="20"/>
                            <w:lang w:val="en-US"/>
                          </w:rPr>
                          <m:t>j</m:t>
                        </m:r>
                      </m:sub>
                    </m:sSub>
                  </m:e>
                </m:nary>
              </m:den>
            </m:f>
          </m:e>
        </m:func>
      </m:oMath>
      <w:r>
        <w:rPr>
          <w:rFonts w:ascii="Times New Roman" w:eastAsia="Arial Unicode MS" w:hAnsi="Times New Roman" w:cs="Times New Roman"/>
          <w:sz w:val="20"/>
          <w:szCs w:val="20"/>
          <w:lang w:val="en-US"/>
        </w:rPr>
        <w:t>,</w:t>
      </w:r>
      <w:r w:rsidRPr="00255C18">
        <w:rPr>
          <w:rFonts w:ascii="Times New Roman" w:eastAsia="Arial Unicode MS" w:hAnsi="Times New Roman" w:cs="Times New Roman"/>
          <w:sz w:val="20"/>
          <w:szCs w:val="20"/>
          <w:lang w:val="en-US"/>
        </w:rPr>
        <w:t xml:space="preserve"> using a finite mixture of log-gamma distributions. The histogram displays the empirical distribution; dashed curves indicate individual mixture components (red: burst-related; blue: baseline-</w:t>
      </w:r>
      <w:r w:rsidRPr="00255C18">
        <w:rPr>
          <w:rFonts w:ascii="Times New Roman" w:eastAsia="Arial Unicode MS" w:hAnsi="Times New Roman" w:cs="Times New Roman"/>
          <w:sz w:val="20"/>
          <w:szCs w:val="20"/>
          <w:lang w:val="en-US"/>
        </w:rPr>
        <w:lastRenderedPageBreak/>
        <w:t xml:space="preserve">related), and the solid grey curve denotes the fitted mixture density. The vertical dotted line marks the decision boundary separating burst-related from baseline intervals. (b) Second-stage hidden-burst analysis performed within the first-stage baseline component. The histogram displays the distribution of the hidden-analysis variable derived from inter-spike intervals initially assigned to baseline activity. Dashed curves indicate Gaussian mixture components (orange: hidden-burst component; blue: baseline component), and the solid grey curve denotes the fitted mixture density. The vertical dotted line marks the corresponding hidden-burst decision boundary. (c) Final </w:t>
      </w:r>
      <w:proofErr w:type="spellStart"/>
      <w:r w:rsidRPr="00255C18">
        <w:rPr>
          <w:rFonts w:ascii="Times New Roman" w:eastAsia="Arial Unicode MS" w:hAnsi="Times New Roman" w:cs="Times New Roman"/>
          <w:sz w:val="20"/>
          <w:szCs w:val="20"/>
          <w:lang w:val="en-US"/>
        </w:rPr>
        <w:t>LognormISI</w:t>
      </w:r>
      <w:proofErr w:type="spellEnd"/>
      <w:r w:rsidRPr="00255C18">
        <w:rPr>
          <w:rFonts w:ascii="Times New Roman" w:eastAsia="Arial Unicode MS" w:hAnsi="Times New Roman" w:cs="Times New Roman"/>
          <w:sz w:val="20"/>
          <w:szCs w:val="20"/>
          <w:lang w:val="en-US"/>
        </w:rPr>
        <w:t xml:space="preserve"> burst-detection output projected onto the original spike train (1-second segment). Black vertical ticks indicate individual spikes; red vertical marks denote detected burst episodes; orange vertical marks denote detected hidden-burst episodes. The x-axis represents time in seconds.</w:t>
      </w:r>
    </w:p>
    <w:p w14:paraId="0FADA681" w14:textId="4500216D" w:rsidR="00FC44E3" w:rsidRPr="00255C18" w:rsidRDefault="00255C18" w:rsidP="00255C18">
      <w:pPr>
        <w:pStyle w:val="1"/>
        <w:spacing w:before="0" w:after="160"/>
        <w:jc w:val="both"/>
        <w:rPr>
          <w:rFonts w:ascii="Times New Roman" w:hAnsi="Times New Roman" w:cs="Times New Roman"/>
          <w:b/>
          <w:bCs/>
          <w:sz w:val="20"/>
          <w:szCs w:val="20"/>
          <w:lang w:val="en-US"/>
        </w:rPr>
      </w:pPr>
      <w:bookmarkStart w:id="1" w:name="_q7djhhi0scmb" w:colFirst="0" w:colLast="0"/>
      <w:bookmarkEnd w:id="1"/>
      <w:r w:rsidRPr="00255C18">
        <w:rPr>
          <w:rFonts w:ascii="Times New Roman" w:hAnsi="Times New Roman" w:cs="Times New Roman"/>
          <w:b/>
          <w:bCs/>
          <w:sz w:val="20"/>
          <w:szCs w:val="20"/>
          <w:lang w:val="en-US"/>
        </w:rPr>
        <w:t>REFERENCES</w:t>
      </w:r>
    </w:p>
    <w:p w14:paraId="13D95704" w14:textId="77777777" w:rsidR="00FC44E3" w:rsidRPr="0001251B" w:rsidRDefault="00CF77EB" w:rsidP="00255C18">
      <w:pPr>
        <w:spacing w:after="160"/>
        <w:rPr>
          <w:rFonts w:ascii="Times New Roman" w:hAnsi="Times New Roman" w:cs="Times New Roman"/>
          <w:sz w:val="20"/>
          <w:szCs w:val="20"/>
          <w:lang w:val="en-US"/>
        </w:rPr>
      </w:pPr>
      <w:hyperlink r:id="rId16">
        <w:r w:rsidR="00AE2B48" w:rsidRPr="0001251B">
          <w:rPr>
            <w:rFonts w:ascii="Times New Roman" w:hAnsi="Times New Roman" w:cs="Times New Roman"/>
            <w:sz w:val="20"/>
            <w:szCs w:val="20"/>
            <w:lang w:val="en-US"/>
          </w:rPr>
          <w:t xml:space="preserve">Beurrier, C., Congar, P., Bioulac, B., &amp; Hammond, C. (1999). Subthalamic Nucleus Neurons Switch from Single-Spike Activity to Burst-Firing Mode. </w:t>
        </w:r>
      </w:hyperlink>
      <w:hyperlink r:id="rId17">
        <w:r w:rsidR="00AE2B48" w:rsidRPr="0001251B">
          <w:rPr>
            <w:rFonts w:ascii="Times New Roman" w:hAnsi="Times New Roman" w:cs="Times New Roman"/>
            <w:i/>
            <w:iCs/>
            <w:sz w:val="20"/>
            <w:szCs w:val="20"/>
            <w:lang w:val="en-US"/>
          </w:rPr>
          <w:t>The Journal of Neuroscience</w:t>
        </w:r>
      </w:hyperlink>
      <w:hyperlink r:id="rId18">
        <w:r w:rsidR="00AE2B48" w:rsidRPr="0001251B">
          <w:rPr>
            <w:rFonts w:ascii="Times New Roman" w:hAnsi="Times New Roman" w:cs="Times New Roman"/>
            <w:sz w:val="20"/>
            <w:szCs w:val="20"/>
            <w:lang w:val="en-US"/>
          </w:rPr>
          <w:t xml:space="preserve">, </w:t>
        </w:r>
      </w:hyperlink>
      <w:hyperlink r:id="rId19">
        <w:r w:rsidR="00AE2B48" w:rsidRPr="0001251B">
          <w:rPr>
            <w:rFonts w:ascii="Times New Roman" w:hAnsi="Times New Roman" w:cs="Times New Roman"/>
            <w:i/>
            <w:iCs/>
            <w:sz w:val="20"/>
            <w:szCs w:val="20"/>
            <w:lang w:val="en-US"/>
          </w:rPr>
          <w:t>19</w:t>
        </w:r>
      </w:hyperlink>
      <w:hyperlink r:id="rId20">
        <w:r w:rsidR="00AE2B48" w:rsidRPr="0001251B">
          <w:rPr>
            <w:rFonts w:ascii="Times New Roman" w:hAnsi="Times New Roman" w:cs="Times New Roman"/>
            <w:sz w:val="20"/>
            <w:szCs w:val="20"/>
            <w:lang w:val="en-US"/>
          </w:rPr>
          <w:t xml:space="preserve">(2), 599–609. https://doi.org/10.1523/JNEUROSCI.19-02-00599.1999 </w:t>
        </w:r>
      </w:hyperlink>
    </w:p>
    <w:p w14:paraId="13EBF81E" w14:textId="77777777" w:rsidR="00FC44E3" w:rsidRPr="0001251B" w:rsidRDefault="00CF77EB" w:rsidP="00255C18">
      <w:pPr>
        <w:spacing w:after="160"/>
        <w:rPr>
          <w:rFonts w:ascii="Times New Roman" w:hAnsi="Times New Roman" w:cs="Times New Roman"/>
          <w:sz w:val="20"/>
          <w:szCs w:val="20"/>
          <w:lang w:val="en-US"/>
        </w:rPr>
      </w:pPr>
      <w:hyperlink r:id="rId21">
        <w:r w:rsidR="00AE2B48" w:rsidRPr="0001251B">
          <w:rPr>
            <w:rFonts w:ascii="Times New Roman" w:hAnsi="Times New Roman" w:cs="Times New Roman"/>
            <w:sz w:val="20"/>
            <w:szCs w:val="20"/>
            <w:lang w:val="en-US"/>
          </w:rPr>
          <w:t xml:space="preserve">Dempster, A. P., Laird, N. M., &amp; Rubin, D. B. (1977). Maximum Likelihood from Incomplete Data Via the </w:t>
        </w:r>
      </w:hyperlink>
      <w:hyperlink r:id="rId22">
        <w:r w:rsidR="00AE2B48" w:rsidRPr="0001251B">
          <w:rPr>
            <w:rFonts w:ascii="Times New Roman" w:hAnsi="Times New Roman" w:cs="Times New Roman"/>
            <w:i/>
            <w:iCs/>
            <w:sz w:val="20"/>
            <w:szCs w:val="20"/>
            <w:lang w:val="en-US"/>
          </w:rPr>
          <w:t>EM</w:t>
        </w:r>
      </w:hyperlink>
      <w:hyperlink r:id="rId23">
        <w:r w:rsidR="00AE2B48" w:rsidRPr="0001251B">
          <w:rPr>
            <w:rFonts w:ascii="Times New Roman" w:hAnsi="Times New Roman" w:cs="Times New Roman"/>
            <w:sz w:val="20"/>
            <w:szCs w:val="20"/>
            <w:lang w:val="en-US"/>
          </w:rPr>
          <w:t xml:space="preserve"> Algorithm. </w:t>
        </w:r>
      </w:hyperlink>
      <w:hyperlink r:id="rId24">
        <w:r w:rsidR="00AE2B48" w:rsidRPr="0001251B">
          <w:rPr>
            <w:rFonts w:ascii="Times New Roman" w:hAnsi="Times New Roman" w:cs="Times New Roman"/>
            <w:i/>
            <w:iCs/>
            <w:sz w:val="20"/>
            <w:szCs w:val="20"/>
            <w:lang w:val="en-US"/>
          </w:rPr>
          <w:t>Journal of the Royal Statistical Society Series B: Statistical Methodology</w:t>
        </w:r>
      </w:hyperlink>
      <w:hyperlink r:id="rId25">
        <w:r w:rsidR="00AE2B48" w:rsidRPr="0001251B">
          <w:rPr>
            <w:rFonts w:ascii="Times New Roman" w:hAnsi="Times New Roman" w:cs="Times New Roman"/>
            <w:sz w:val="20"/>
            <w:szCs w:val="20"/>
            <w:lang w:val="en-US"/>
          </w:rPr>
          <w:t xml:space="preserve">, </w:t>
        </w:r>
      </w:hyperlink>
      <w:hyperlink r:id="rId26">
        <w:r w:rsidR="00AE2B48" w:rsidRPr="0001251B">
          <w:rPr>
            <w:rFonts w:ascii="Times New Roman" w:hAnsi="Times New Roman" w:cs="Times New Roman"/>
            <w:i/>
            <w:iCs/>
            <w:sz w:val="20"/>
            <w:szCs w:val="20"/>
            <w:lang w:val="en-US"/>
          </w:rPr>
          <w:t>39</w:t>
        </w:r>
      </w:hyperlink>
      <w:hyperlink r:id="rId27">
        <w:r w:rsidR="00AE2B48" w:rsidRPr="0001251B">
          <w:rPr>
            <w:rFonts w:ascii="Times New Roman" w:hAnsi="Times New Roman" w:cs="Times New Roman"/>
            <w:sz w:val="20"/>
            <w:szCs w:val="20"/>
            <w:lang w:val="en-US"/>
          </w:rPr>
          <w:t xml:space="preserve">(1), 1–22. https://doi.org/10.1111/j.2517-6161.1977.tb01600.x </w:t>
        </w:r>
      </w:hyperlink>
    </w:p>
    <w:p w14:paraId="5E9A4B32" w14:textId="77777777" w:rsidR="00FC44E3" w:rsidRPr="0001251B" w:rsidRDefault="00CF77EB" w:rsidP="00255C18">
      <w:pPr>
        <w:spacing w:after="160"/>
        <w:rPr>
          <w:rFonts w:ascii="Times New Roman" w:hAnsi="Times New Roman" w:cs="Times New Roman"/>
          <w:sz w:val="20"/>
          <w:szCs w:val="20"/>
          <w:lang w:val="en-US"/>
        </w:rPr>
      </w:pPr>
      <w:hyperlink r:id="rId28">
        <w:r w:rsidR="00AE2B48" w:rsidRPr="0001251B">
          <w:rPr>
            <w:rFonts w:ascii="Times New Roman" w:hAnsi="Times New Roman" w:cs="Times New Roman"/>
            <w:sz w:val="20"/>
            <w:szCs w:val="20"/>
            <w:lang w:val="en-US"/>
          </w:rPr>
          <w:t xml:space="preserve">Levenstein, D., &amp; Okun, M. (2023). Logarithmically scaled, gamma distributed neuronal spiking. </w:t>
        </w:r>
      </w:hyperlink>
      <w:hyperlink r:id="rId29">
        <w:r w:rsidR="00AE2B48" w:rsidRPr="0001251B">
          <w:rPr>
            <w:rFonts w:ascii="Times New Roman" w:hAnsi="Times New Roman" w:cs="Times New Roman"/>
            <w:i/>
            <w:iCs/>
            <w:sz w:val="20"/>
            <w:szCs w:val="20"/>
            <w:lang w:val="en-US"/>
          </w:rPr>
          <w:t>The Journal of Physiology</w:t>
        </w:r>
      </w:hyperlink>
      <w:hyperlink r:id="rId30">
        <w:r w:rsidR="00AE2B48" w:rsidRPr="0001251B">
          <w:rPr>
            <w:rFonts w:ascii="Times New Roman" w:hAnsi="Times New Roman" w:cs="Times New Roman"/>
            <w:sz w:val="20"/>
            <w:szCs w:val="20"/>
            <w:lang w:val="en-US"/>
          </w:rPr>
          <w:t xml:space="preserve">, </w:t>
        </w:r>
      </w:hyperlink>
      <w:hyperlink r:id="rId31">
        <w:r w:rsidR="00AE2B48" w:rsidRPr="0001251B">
          <w:rPr>
            <w:rFonts w:ascii="Times New Roman" w:hAnsi="Times New Roman" w:cs="Times New Roman"/>
            <w:i/>
            <w:iCs/>
            <w:sz w:val="20"/>
            <w:szCs w:val="20"/>
            <w:lang w:val="en-US"/>
          </w:rPr>
          <w:t>601</w:t>
        </w:r>
      </w:hyperlink>
      <w:hyperlink r:id="rId32">
        <w:r w:rsidR="00AE2B48" w:rsidRPr="0001251B">
          <w:rPr>
            <w:rFonts w:ascii="Times New Roman" w:hAnsi="Times New Roman" w:cs="Times New Roman"/>
            <w:sz w:val="20"/>
            <w:szCs w:val="20"/>
            <w:lang w:val="en-US"/>
          </w:rPr>
          <w:t xml:space="preserve">(15), 3055–3069. https://doi.org/10.1113/JP282758 </w:t>
        </w:r>
      </w:hyperlink>
    </w:p>
    <w:p w14:paraId="6043B51F" w14:textId="77777777" w:rsidR="00FC44E3" w:rsidRPr="0001251B" w:rsidRDefault="00CF77EB" w:rsidP="00255C18">
      <w:pPr>
        <w:spacing w:after="160"/>
        <w:rPr>
          <w:rFonts w:ascii="Times New Roman" w:hAnsi="Times New Roman" w:cs="Times New Roman"/>
          <w:sz w:val="20"/>
          <w:szCs w:val="20"/>
          <w:lang w:val="en-US"/>
        </w:rPr>
      </w:pPr>
      <w:hyperlink r:id="rId33">
        <w:r w:rsidR="00AE2B48" w:rsidRPr="0001251B">
          <w:rPr>
            <w:rFonts w:ascii="Times New Roman" w:hAnsi="Times New Roman" w:cs="Times New Roman"/>
            <w:sz w:val="20"/>
            <w:szCs w:val="20"/>
            <w:lang w:val="en-US"/>
          </w:rPr>
          <w:t xml:space="preserve">Loucif, K. C., Wilson, C. L., Baig, R., Lacey, M. G., &amp; Stanford, I. M. (2005). Functional interconnectivity between the globus pallidus and the subthalamic nucleus in the mouse brain slice. </w:t>
        </w:r>
      </w:hyperlink>
      <w:hyperlink r:id="rId34">
        <w:r w:rsidR="00AE2B48" w:rsidRPr="0001251B">
          <w:rPr>
            <w:rFonts w:ascii="Times New Roman" w:hAnsi="Times New Roman" w:cs="Times New Roman"/>
            <w:i/>
            <w:iCs/>
            <w:sz w:val="20"/>
            <w:szCs w:val="20"/>
            <w:lang w:val="en-US"/>
          </w:rPr>
          <w:t>The Journal of Physiology</w:t>
        </w:r>
      </w:hyperlink>
      <w:hyperlink r:id="rId35">
        <w:r w:rsidR="00AE2B48" w:rsidRPr="0001251B">
          <w:rPr>
            <w:rFonts w:ascii="Times New Roman" w:hAnsi="Times New Roman" w:cs="Times New Roman"/>
            <w:sz w:val="20"/>
            <w:szCs w:val="20"/>
            <w:lang w:val="en-US"/>
          </w:rPr>
          <w:t xml:space="preserve">, </w:t>
        </w:r>
      </w:hyperlink>
      <w:hyperlink r:id="rId36">
        <w:r w:rsidR="00AE2B48" w:rsidRPr="0001251B">
          <w:rPr>
            <w:rFonts w:ascii="Times New Roman" w:hAnsi="Times New Roman" w:cs="Times New Roman"/>
            <w:i/>
            <w:iCs/>
            <w:sz w:val="20"/>
            <w:szCs w:val="20"/>
            <w:lang w:val="en-US"/>
          </w:rPr>
          <w:t>567</w:t>
        </w:r>
      </w:hyperlink>
      <w:hyperlink r:id="rId37">
        <w:r w:rsidR="00AE2B48" w:rsidRPr="0001251B">
          <w:rPr>
            <w:rFonts w:ascii="Times New Roman" w:hAnsi="Times New Roman" w:cs="Times New Roman"/>
            <w:sz w:val="20"/>
            <w:szCs w:val="20"/>
            <w:lang w:val="en-US"/>
          </w:rPr>
          <w:t xml:space="preserve">(3), 977–987. https://doi.org/10.1113/jphysiol.2005.093807 </w:t>
        </w:r>
      </w:hyperlink>
    </w:p>
    <w:p w14:paraId="20885F0C" w14:textId="77777777" w:rsidR="00FC44E3" w:rsidRPr="0001251B" w:rsidRDefault="00CF77EB" w:rsidP="00255C18">
      <w:pPr>
        <w:spacing w:after="160"/>
        <w:rPr>
          <w:rFonts w:ascii="Times New Roman" w:hAnsi="Times New Roman" w:cs="Times New Roman"/>
          <w:sz w:val="20"/>
          <w:szCs w:val="20"/>
          <w:lang w:val="en-US"/>
        </w:rPr>
      </w:pPr>
      <w:hyperlink r:id="rId38">
        <w:r w:rsidR="00AE2B48" w:rsidRPr="0001251B">
          <w:rPr>
            <w:rFonts w:ascii="Times New Roman" w:hAnsi="Times New Roman" w:cs="Times New Roman"/>
            <w:sz w:val="20"/>
            <w:szCs w:val="20"/>
            <w:lang w:val="en-US"/>
          </w:rPr>
          <w:t xml:space="preserve">Ostojic, S. (2011). Interspike interval distributions of spiking neurons driven by fluctuating inputs. </w:t>
        </w:r>
      </w:hyperlink>
      <w:hyperlink r:id="rId39">
        <w:r w:rsidR="00AE2B48" w:rsidRPr="0001251B">
          <w:rPr>
            <w:rFonts w:ascii="Times New Roman" w:hAnsi="Times New Roman" w:cs="Times New Roman"/>
            <w:i/>
            <w:iCs/>
            <w:sz w:val="20"/>
            <w:szCs w:val="20"/>
            <w:lang w:val="en-US"/>
          </w:rPr>
          <w:t>Journal of Neurophysiology</w:t>
        </w:r>
      </w:hyperlink>
      <w:hyperlink r:id="rId40">
        <w:r w:rsidR="00AE2B48" w:rsidRPr="0001251B">
          <w:rPr>
            <w:rFonts w:ascii="Times New Roman" w:hAnsi="Times New Roman" w:cs="Times New Roman"/>
            <w:sz w:val="20"/>
            <w:szCs w:val="20"/>
            <w:lang w:val="en-US"/>
          </w:rPr>
          <w:t xml:space="preserve">, </w:t>
        </w:r>
      </w:hyperlink>
      <w:hyperlink r:id="rId41">
        <w:r w:rsidR="00AE2B48" w:rsidRPr="0001251B">
          <w:rPr>
            <w:rFonts w:ascii="Times New Roman" w:hAnsi="Times New Roman" w:cs="Times New Roman"/>
            <w:i/>
            <w:iCs/>
            <w:sz w:val="20"/>
            <w:szCs w:val="20"/>
            <w:lang w:val="en-US"/>
          </w:rPr>
          <w:t>106</w:t>
        </w:r>
      </w:hyperlink>
      <w:hyperlink r:id="rId42">
        <w:r w:rsidR="00AE2B48" w:rsidRPr="0001251B">
          <w:rPr>
            <w:rFonts w:ascii="Times New Roman" w:hAnsi="Times New Roman" w:cs="Times New Roman"/>
            <w:sz w:val="20"/>
            <w:szCs w:val="20"/>
            <w:lang w:val="en-US"/>
          </w:rPr>
          <w:t xml:space="preserve">(1), 361–373. https://doi.org/10.1152/jn.00830.2010 </w:t>
        </w:r>
      </w:hyperlink>
    </w:p>
    <w:p w14:paraId="2AB321B5" w14:textId="77777777" w:rsidR="00FC44E3" w:rsidRPr="0001251B" w:rsidRDefault="00CF77EB" w:rsidP="00255C18">
      <w:pPr>
        <w:spacing w:after="160"/>
        <w:rPr>
          <w:rFonts w:ascii="Times New Roman" w:hAnsi="Times New Roman" w:cs="Times New Roman"/>
          <w:sz w:val="20"/>
          <w:szCs w:val="20"/>
          <w:lang w:val="en-US"/>
        </w:rPr>
      </w:pPr>
      <w:hyperlink r:id="rId43">
        <w:r w:rsidR="00AE2B48" w:rsidRPr="0001251B">
          <w:rPr>
            <w:rFonts w:ascii="Times New Roman" w:hAnsi="Times New Roman" w:cs="Times New Roman"/>
            <w:sz w:val="20"/>
            <w:szCs w:val="20"/>
            <w:lang w:val="en-US"/>
          </w:rPr>
          <w:t xml:space="preserve">Plenz, D., &amp; Kital, S. T. (1999). A basal ganglia pacemaker formed by the subthalamic nucleus and external globus pallidus. </w:t>
        </w:r>
      </w:hyperlink>
      <w:hyperlink r:id="rId44">
        <w:r w:rsidR="00AE2B48" w:rsidRPr="0001251B">
          <w:rPr>
            <w:rFonts w:ascii="Times New Roman" w:hAnsi="Times New Roman" w:cs="Times New Roman"/>
            <w:i/>
            <w:iCs/>
            <w:sz w:val="20"/>
            <w:szCs w:val="20"/>
            <w:lang w:val="en-US"/>
          </w:rPr>
          <w:t>Nature</w:t>
        </w:r>
      </w:hyperlink>
      <w:hyperlink r:id="rId45">
        <w:r w:rsidR="00AE2B48" w:rsidRPr="0001251B">
          <w:rPr>
            <w:rFonts w:ascii="Times New Roman" w:hAnsi="Times New Roman" w:cs="Times New Roman"/>
            <w:sz w:val="20"/>
            <w:szCs w:val="20"/>
            <w:lang w:val="en-US"/>
          </w:rPr>
          <w:t xml:space="preserve">, </w:t>
        </w:r>
      </w:hyperlink>
      <w:hyperlink r:id="rId46">
        <w:r w:rsidR="00AE2B48" w:rsidRPr="0001251B">
          <w:rPr>
            <w:rFonts w:ascii="Times New Roman" w:hAnsi="Times New Roman" w:cs="Times New Roman"/>
            <w:i/>
            <w:iCs/>
            <w:sz w:val="20"/>
            <w:szCs w:val="20"/>
            <w:lang w:val="en-US"/>
          </w:rPr>
          <w:t>400</w:t>
        </w:r>
      </w:hyperlink>
      <w:hyperlink r:id="rId47">
        <w:r w:rsidR="00AE2B48" w:rsidRPr="0001251B">
          <w:rPr>
            <w:rFonts w:ascii="Times New Roman" w:hAnsi="Times New Roman" w:cs="Times New Roman"/>
            <w:sz w:val="20"/>
            <w:szCs w:val="20"/>
            <w:lang w:val="en-US"/>
          </w:rPr>
          <w:t xml:space="preserve">(6745), 677–682. https://doi.org/10.1038/23281 </w:t>
        </w:r>
      </w:hyperlink>
    </w:p>
    <w:p w14:paraId="3520E822" w14:textId="77777777" w:rsidR="00FC44E3" w:rsidRPr="0001251B" w:rsidRDefault="00CF77EB" w:rsidP="00255C18">
      <w:pPr>
        <w:spacing w:after="160"/>
        <w:rPr>
          <w:rFonts w:ascii="Times New Roman" w:hAnsi="Times New Roman" w:cs="Times New Roman"/>
          <w:sz w:val="20"/>
          <w:szCs w:val="20"/>
          <w:lang w:val="en-US"/>
        </w:rPr>
      </w:pPr>
      <w:hyperlink r:id="rId48">
        <w:r w:rsidR="00AE2B48" w:rsidRPr="0001251B">
          <w:rPr>
            <w:rFonts w:ascii="Times New Roman" w:hAnsi="Times New Roman" w:cs="Times New Roman"/>
            <w:sz w:val="20"/>
            <w:szCs w:val="20"/>
            <w:lang w:val="en-US"/>
          </w:rPr>
          <w:t xml:space="preserve">Schwarz, G. (1978). Estimating the Dimension of a Model. </w:t>
        </w:r>
      </w:hyperlink>
      <w:hyperlink r:id="rId49">
        <w:r w:rsidR="00AE2B48" w:rsidRPr="0001251B">
          <w:rPr>
            <w:rFonts w:ascii="Times New Roman" w:hAnsi="Times New Roman" w:cs="Times New Roman"/>
            <w:i/>
            <w:iCs/>
            <w:sz w:val="20"/>
            <w:szCs w:val="20"/>
            <w:lang w:val="en-US"/>
          </w:rPr>
          <w:t>The Annals of Statistics</w:t>
        </w:r>
      </w:hyperlink>
      <w:hyperlink r:id="rId50">
        <w:r w:rsidR="00AE2B48" w:rsidRPr="0001251B">
          <w:rPr>
            <w:rFonts w:ascii="Times New Roman" w:hAnsi="Times New Roman" w:cs="Times New Roman"/>
            <w:sz w:val="20"/>
            <w:szCs w:val="20"/>
            <w:lang w:val="en-US"/>
          </w:rPr>
          <w:t xml:space="preserve">, </w:t>
        </w:r>
      </w:hyperlink>
      <w:hyperlink r:id="rId51">
        <w:r w:rsidR="00AE2B48" w:rsidRPr="0001251B">
          <w:rPr>
            <w:rFonts w:ascii="Times New Roman" w:hAnsi="Times New Roman" w:cs="Times New Roman"/>
            <w:i/>
            <w:iCs/>
            <w:sz w:val="20"/>
            <w:szCs w:val="20"/>
            <w:lang w:val="en-US"/>
          </w:rPr>
          <w:t>6</w:t>
        </w:r>
      </w:hyperlink>
      <w:hyperlink r:id="rId52">
        <w:r w:rsidR="00AE2B48" w:rsidRPr="0001251B">
          <w:rPr>
            <w:rFonts w:ascii="Times New Roman" w:hAnsi="Times New Roman" w:cs="Times New Roman"/>
            <w:sz w:val="20"/>
            <w:szCs w:val="20"/>
            <w:lang w:val="en-US"/>
          </w:rPr>
          <w:t xml:space="preserve">(2). https://doi.org/10.1214/aos/1176344136 </w:t>
        </w:r>
      </w:hyperlink>
    </w:p>
    <w:p w14:paraId="4A762FDA" w14:textId="77777777" w:rsidR="00FC44E3" w:rsidRPr="0001251B" w:rsidRDefault="00CF77EB" w:rsidP="00255C18">
      <w:pPr>
        <w:spacing w:after="160"/>
        <w:rPr>
          <w:rFonts w:ascii="Times New Roman" w:hAnsi="Times New Roman" w:cs="Times New Roman"/>
          <w:sz w:val="20"/>
          <w:szCs w:val="20"/>
          <w:lang w:val="en-US"/>
        </w:rPr>
      </w:pPr>
      <w:hyperlink r:id="rId53">
        <w:r w:rsidR="00AE2B48" w:rsidRPr="0001251B">
          <w:rPr>
            <w:rFonts w:ascii="Times New Roman" w:hAnsi="Times New Roman" w:cs="Times New Roman"/>
            <w:sz w:val="20"/>
            <w:szCs w:val="20"/>
            <w:lang w:val="en-US"/>
          </w:rPr>
          <w:t xml:space="preserve">Shilnikov, A., Calabrese, R. L., &amp; Cymbalyuk, G. (2005). Mechanism of bistability: Tonic spiking and bursting in a neuron model. </w:t>
        </w:r>
      </w:hyperlink>
      <w:hyperlink r:id="rId54">
        <w:r w:rsidR="00AE2B48" w:rsidRPr="0001251B">
          <w:rPr>
            <w:rFonts w:ascii="Times New Roman" w:hAnsi="Times New Roman" w:cs="Times New Roman"/>
            <w:i/>
            <w:iCs/>
            <w:sz w:val="20"/>
            <w:szCs w:val="20"/>
            <w:lang w:val="en-US"/>
          </w:rPr>
          <w:t>Physical Review E</w:t>
        </w:r>
      </w:hyperlink>
      <w:hyperlink r:id="rId55">
        <w:r w:rsidR="00AE2B48" w:rsidRPr="0001251B">
          <w:rPr>
            <w:rFonts w:ascii="Times New Roman" w:hAnsi="Times New Roman" w:cs="Times New Roman"/>
            <w:sz w:val="20"/>
            <w:szCs w:val="20"/>
            <w:lang w:val="en-US"/>
          </w:rPr>
          <w:t xml:space="preserve">, </w:t>
        </w:r>
      </w:hyperlink>
      <w:hyperlink r:id="rId56">
        <w:r w:rsidR="00AE2B48" w:rsidRPr="0001251B">
          <w:rPr>
            <w:rFonts w:ascii="Times New Roman" w:hAnsi="Times New Roman" w:cs="Times New Roman"/>
            <w:i/>
            <w:iCs/>
            <w:sz w:val="20"/>
            <w:szCs w:val="20"/>
            <w:lang w:val="en-US"/>
          </w:rPr>
          <w:t>71</w:t>
        </w:r>
      </w:hyperlink>
      <w:hyperlink r:id="rId57">
        <w:r w:rsidR="00AE2B48" w:rsidRPr="0001251B">
          <w:rPr>
            <w:rFonts w:ascii="Times New Roman" w:hAnsi="Times New Roman" w:cs="Times New Roman"/>
            <w:sz w:val="20"/>
            <w:szCs w:val="20"/>
            <w:lang w:val="en-US"/>
          </w:rPr>
          <w:t xml:space="preserve">(5), 056214. https://doi.org/10.1103/PhysRevE.71.056214 </w:t>
        </w:r>
      </w:hyperlink>
    </w:p>
    <w:p w14:paraId="33168D52" w14:textId="77777777" w:rsidR="00FC44E3" w:rsidRPr="0001251B" w:rsidRDefault="00CF77EB" w:rsidP="00255C18">
      <w:pPr>
        <w:spacing w:after="160"/>
        <w:rPr>
          <w:rFonts w:ascii="Times New Roman" w:hAnsi="Times New Roman" w:cs="Times New Roman"/>
          <w:sz w:val="20"/>
          <w:szCs w:val="20"/>
          <w:lang w:val="en-US"/>
        </w:rPr>
      </w:pPr>
      <w:hyperlink r:id="rId58">
        <w:r w:rsidR="00AE2B48" w:rsidRPr="0001251B">
          <w:rPr>
            <w:rFonts w:ascii="Times New Roman" w:hAnsi="Times New Roman" w:cs="Times New Roman"/>
            <w:sz w:val="20"/>
            <w:szCs w:val="20"/>
            <w:lang w:val="en-US"/>
          </w:rPr>
          <w:t xml:space="preserve">Tai, C.-H., Yang, Y.-C., Pan, M.-K., Huang, C.-S., &amp; Kuo, C.-C. (2011). Modulation of subthalamic T-type Ca2+ channels remedies locomotor deficits in a rat model of Parkinson disease. </w:t>
        </w:r>
      </w:hyperlink>
      <w:hyperlink r:id="rId59">
        <w:r w:rsidR="00AE2B48" w:rsidRPr="0001251B">
          <w:rPr>
            <w:rFonts w:ascii="Times New Roman" w:hAnsi="Times New Roman" w:cs="Times New Roman"/>
            <w:i/>
            <w:iCs/>
            <w:sz w:val="20"/>
            <w:szCs w:val="20"/>
            <w:lang w:val="en-US"/>
          </w:rPr>
          <w:t>Journal of Clinical Investigation</w:t>
        </w:r>
      </w:hyperlink>
      <w:hyperlink r:id="rId60">
        <w:r w:rsidR="00AE2B48" w:rsidRPr="0001251B">
          <w:rPr>
            <w:rFonts w:ascii="Times New Roman" w:hAnsi="Times New Roman" w:cs="Times New Roman"/>
            <w:sz w:val="20"/>
            <w:szCs w:val="20"/>
            <w:lang w:val="en-US"/>
          </w:rPr>
          <w:t xml:space="preserve">, </w:t>
        </w:r>
      </w:hyperlink>
      <w:hyperlink r:id="rId61">
        <w:r w:rsidR="00AE2B48" w:rsidRPr="0001251B">
          <w:rPr>
            <w:rFonts w:ascii="Times New Roman" w:hAnsi="Times New Roman" w:cs="Times New Roman"/>
            <w:i/>
            <w:iCs/>
            <w:sz w:val="20"/>
            <w:szCs w:val="20"/>
            <w:lang w:val="en-US"/>
          </w:rPr>
          <w:t>121</w:t>
        </w:r>
      </w:hyperlink>
      <w:hyperlink r:id="rId62">
        <w:r w:rsidR="00AE2B48" w:rsidRPr="0001251B">
          <w:rPr>
            <w:rFonts w:ascii="Times New Roman" w:hAnsi="Times New Roman" w:cs="Times New Roman"/>
            <w:sz w:val="20"/>
            <w:szCs w:val="20"/>
            <w:lang w:val="en-US"/>
          </w:rPr>
          <w:t xml:space="preserve">(8), 3289–3305. https://doi.org/10.1172/JCI46482 </w:t>
        </w:r>
      </w:hyperlink>
    </w:p>
    <w:p w14:paraId="03385570" w14:textId="77777777" w:rsidR="00FC44E3" w:rsidRPr="0001251B" w:rsidRDefault="00CF77EB" w:rsidP="00255C18">
      <w:pPr>
        <w:spacing w:after="160"/>
        <w:rPr>
          <w:rFonts w:ascii="Times New Roman" w:hAnsi="Times New Roman" w:cs="Times New Roman"/>
          <w:sz w:val="20"/>
          <w:szCs w:val="20"/>
          <w:lang w:val="en-US"/>
        </w:rPr>
      </w:pPr>
      <w:hyperlink r:id="rId63">
        <w:r w:rsidR="00AE2B48" w:rsidRPr="0001251B">
          <w:rPr>
            <w:rFonts w:ascii="Times New Roman" w:hAnsi="Times New Roman" w:cs="Times New Roman"/>
            <w:sz w:val="20"/>
            <w:szCs w:val="20"/>
            <w:lang w:val="en-US"/>
          </w:rPr>
          <w:t xml:space="preserve">Urbain, N., Rentéro, N., Gervasoni, D., Renaud, B., &amp; Chouvet, G. (2002). The Switch of Subthalamic Neurons From an Irregular to a Bursting Pattern Does Not Solely Depend on Their GABAergic Inputs in the Anesthetic-Free Rat. </w:t>
        </w:r>
      </w:hyperlink>
      <w:hyperlink r:id="rId64">
        <w:r w:rsidR="00AE2B48" w:rsidRPr="0001251B">
          <w:rPr>
            <w:rFonts w:ascii="Times New Roman" w:hAnsi="Times New Roman" w:cs="Times New Roman"/>
            <w:i/>
            <w:iCs/>
            <w:sz w:val="20"/>
            <w:szCs w:val="20"/>
            <w:lang w:val="en-US"/>
          </w:rPr>
          <w:t>The Journal of Neuroscience</w:t>
        </w:r>
      </w:hyperlink>
      <w:hyperlink r:id="rId65">
        <w:r w:rsidR="00AE2B48" w:rsidRPr="0001251B">
          <w:rPr>
            <w:rFonts w:ascii="Times New Roman" w:hAnsi="Times New Roman" w:cs="Times New Roman"/>
            <w:sz w:val="20"/>
            <w:szCs w:val="20"/>
            <w:lang w:val="en-US"/>
          </w:rPr>
          <w:t xml:space="preserve">, </w:t>
        </w:r>
      </w:hyperlink>
      <w:hyperlink r:id="rId66">
        <w:r w:rsidR="00AE2B48" w:rsidRPr="0001251B">
          <w:rPr>
            <w:rFonts w:ascii="Times New Roman" w:hAnsi="Times New Roman" w:cs="Times New Roman"/>
            <w:i/>
            <w:iCs/>
            <w:sz w:val="20"/>
            <w:szCs w:val="20"/>
            <w:lang w:val="en-US"/>
          </w:rPr>
          <w:t>22</w:t>
        </w:r>
      </w:hyperlink>
      <w:hyperlink r:id="rId67">
        <w:r w:rsidR="00AE2B48" w:rsidRPr="0001251B">
          <w:rPr>
            <w:rFonts w:ascii="Times New Roman" w:hAnsi="Times New Roman" w:cs="Times New Roman"/>
            <w:sz w:val="20"/>
            <w:szCs w:val="20"/>
            <w:lang w:val="en-US"/>
          </w:rPr>
          <w:t xml:space="preserve">(19), 8665–8675. https://doi.org/10.1523/JNEUROSCI.22-19-08665.2002 </w:t>
        </w:r>
      </w:hyperlink>
    </w:p>
    <w:p w14:paraId="23326A94" w14:textId="77777777" w:rsidR="00FC44E3" w:rsidRPr="0001251B" w:rsidRDefault="00CF77EB" w:rsidP="00255C18">
      <w:pPr>
        <w:spacing w:after="160"/>
        <w:rPr>
          <w:rFonts w:ascii="Times New Roman" w:hAnsi="Times New Roman" w:cs="Times New Roman"/>
          <w:sz w:val="20"/>
          <w:szCs w:val="20"/>
          <w:lang w:val="en-US"/>
        </w:rPr>
      </w:pPr>
      <w:hyperlink r:id="rId68">
        <w:r w:rsidR="00AE2B48" w:rsidRPr="0001251B">
          <w:rPr>
            <w:rFonts w:ascii="Times New Roman" w:hAnsi="Times New Roman" w:cs="Times New Roman"/>
            <w:sz w:val="20"/>
            <w:szCs w:val="20"/>
            <w:lang w:val="en-US"/>
          </w:rPr>
          <w:t xml:space="preserve">Vissani, M., Cordella, R., Micera, S., Eleopra, R., Romito, L. M., &amp; Mazzoni, A. (2019). Spatio-temporal structure of single neuron subthalamic activity identifies DBS target for anesthetized Tourette syndrome patients. </w:t>
        </w:r>
      </w:hyperlink>
      <w:hyperlink r:id="rId69">
        <w:r w:rsidR="00AE2B48" w:rsidRPr="0001251B">
          <w:rPr>
            <w:rFonts w:ascii="Times New Roman" w:hAnsi="Times New Roman" w:cs="Times New Roman"/>
            <w:i/>
            <w:iCs/>
            <w:sz w:val="20"/>
            <w:szCs w:val="20"/>
            <w:lang w:val="en-US"/>
          </w:rPr>
          <w:t>Journal of Neural Engineering</w:t>
        </w:r>
      </w:hyperlink>
      <w:hyperlink r:id="rId70">
        <w:r w:rsidR="00AE2B48" w:rsidRPr="0001251B">
          <w:rPr>
            <w:rFonts w:ascii="Times New Roman" w:hAnsi="Times New Roman" w:cs="Times New Roman"/>
            <w:sz w:val="20"/>
            <w:szCs w:val="20"/>
            <w:lang w:val="en-US"/>
          </w:rPr>
          <w:t xml:space="preserve">, </w:t>
        </w:r>
      </w:hyperlink>
      <w:hyperlink r:id="rId71">
        <w:r w:rsidR="00AE2B48" w:rsidRPr="0001251B">
          <w:rPr>
            <w:rFonts w:ascii="Times New Roman" w:hAnsi="Times New Roman" w:cs="Times New Roman"/>
            <w:i/>
            <w:iCs/>
            <w:sz w:val="20"/>
            <w:szCs w:val="20"/>
            <w:lang w:val="en-US"/>
          </w:rPr>
          <w:t>16</w:t>
        </w:r>
      </w:hyperlink>
      <w:hyperlink r:id="rId72">
        <w:r w:rsidR="00AE2B48" w:rsidRPr="0001251B">
          <w:rPr>
            <w:rFonts w:ascii="Times New Roman" w:hAnsi="Times New Roman" w:cs="Times New Roman"/>
            <w:sz w:val="20"/>
            <w:szCs w:val="20"/>
            <w:lang w:val="en-US"/>
          </w:rPr>
          <w:t xml:space="preserve">(6), 066011. https://doi.org/10.1088/1741-2552/ab37b4 </w:t>
        </w:r>
      </w:hyperlink>
    </w:p>
    <w:p w14:paraId="602F6EC8" w14:textId="77777777" w:rsidR="00FC44E3" w:rsidRPr="0001251B" w:rsidRDefault="00CF77EB" w:rsidP="00255C18">
      <w:pPr>
        <w:spacing w:after="160"/>
        <w:rPr>
          <w:rFonts w:ascii="Times New Roman" w:hAnsi="Times New Roman" w:cs="Times New Roman"/>
          <w:sz w:val="20"/>
          <w:szCs w:val="20"/>
        </w:rPr>
      </w:pPr>
      <w:hyperlink r:id="rId73">
        <w:r w:rsidR="00AE2B48" w:rsidRPr="0001251B">
          <w:rPr>
            <w:rFonts w:ascii="Times New Roman" w:hAnsi="Times New Roman" w:cs="Times New Roman"/>
            <w:sz w:val="20"/>
            <w:szCs w:val="20"/>
            <w:lang w:val="en-US"/>
          </w:rPr>
          <w:t xml:space="preserve">Vissani, M., Micheli, F., Pecchioli, G., Ramat, S., &amp; Mazzoni, A. (2022). Impulsivity is associated with firing regularity in parkinsonian ventral subthalamic nucleus. </w:t>
        </w:r>
      </w:hyperlink>
      <w:hyperlink r:id="rId74">
        <w:r w:rsidR="00AE2B48" w:rsidRPr="0001251B">
          <w:rPr>
            <w:rFonts w:ascii="Times New Roman" w:hAnsi="Times New Roman" w:cs="Times New Roman"/>
            <w:i/>
            <w:iCs/>
            <w:sz w:val="20"/>
            <w:szCs w:val="20"/>
          </w:rPr>
          <w:t>Annals of Clinical and Translational Neurology</w:t>
        </w:r>
      </w:hyperlink>
      <w:hyperlink r:id="rId75">
        <w:r w:rsidR="00AE2B48" w:rsidRPr="0001251B">
          <w:rPr>
            <w:rFonts w:ascii="Times New Roman" w:hAnsi="Times New Roman" w:cs="Times New Roman"/>
            <w:sz w:val="20"/>
            <w:szCs w:val="20"/>
          </w:rPr>
          <w:t xml:space="preserve">, </w:t>
        </w:r>
      </w:hyperlink>
      <w:hyperlink r:id="rId76">
        <w:r w:rsidR="00AE2B48" w:rsidRPr="0001251B">
          <w:rPr>
            <w:rFonts w:ascii="Times New Roman" w:hAnsi="Times New Roman" w:cs="Times New Roman"/>
            <w:i/>
            <w:iCs/>
            <w:sz w:val="20"/>
            <w:szCs w:val="20"/>
          </w:rPr>
          <w:t>9</w:t>
        </w:r>
      </w:hyperlink>
      <w:hyperlink r:id="rId77">
        <w:r w:rsidR="00AE2B48" w:rsidRPr="0001251B">
          <w:rPr>
            <w:rFonts w:ascii="Times New Roman" w:hAnsi="Times New Roman" w:cs="Times New Roman"/>
            <w:sz w:val="20"/>
            <w:szCs w:val="20"/>
          </w:rPr>
          <w:t xml:space="preserve">(4), 552–557. https://doi.org/10.1002/acn3.51530 </w:t>
        </w:r>
      </w:hyperlink>
    </w:p>
    <w:sectPr w:rsidR="00FC44E3" w:rsidRPr="0001251B" w:rsidSect="00255C18">
      <w:pgSz w:w="11909" w:h="16834"/>
      <w:pgMar w:top="1440" w:right="1080" w:bottom="1440"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fontKey="{AC9640F0-93DA-4886-A0E9-F91AA34C26E1}"/>
    <w:embedItalic r:id="rId2" w:fontKey="{75FD7137-C157-4F9D-8175-FB12E240FB87}"/>
  </w:font>
  <w:font w:name="Arial Unicode MS">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3" w:fontKey="{3F61D2EF-36BF-4DFA-AF51-A745C8AC82AB}"/>
  </w:font>
  <w:font w:name="Cambria">
    <w:panose1 w:val="02040503050406030204"/>
    <w:charset w:val="00"/>
    <w:family w:val="roman"/>
    <w:pitch w:val="variable"/>
    <w:sig w:usb0="E00006FF" w:usb1="420024FF" w:usb2="02000000" w:usb3="00000000" w:csb0="0000019F" w:csb1="00000000"/>
    <w:embedRegular r:id="rId4" w:fontKey="{9B6FF300-5859-4E12-9AE9-220907978EE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4E3"/>
    <w:rsid w:val="0001251B"/>
    <w:rsid w:val="000A0630"/>
    <w:rsid w:val="00181EBC"/>
    <w:rsid w:val="00255C18"/>
    <w:rsid w:val="00280EF7"/>
    <w:rsid w:val="003973A7"/>
    <w:rsid w:val="008E221F"/>
    <w:rsid w:val="00AE2B48"/>
    <w:rsid w:val="00CF77EB"/>
    <w:rsid w:val="00FC4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80376"/>
  <w15:docId w15:val="{358C34B9-EE81-4704-95E2-616583477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zotero.org/google-docs/?ciJLi6" TargetMode="External"/><Relationship Id="rId21" Type="http://schemas.openxmlformats.org/officeDocument/2006/relationships/hyperlink" Target="https://www.zotero.org/google-docs/?ciJLi6" TargetMode="External"/><Relationship Id="rId42" Type="http://schemas.openxmlformats.org/officeDocument/2006/relationships/hyperlink" Target="https://www.zotero.org/google-docs/?ciJLi6" TargetMode="External"/><Relationship Id="rId47" Type="http://schemas.openxmlformats.org/officeDocument/2006/relationships/hyperlink" Target="https://www.zotero.org/google-docs/?ciJLi6" TargetMode="External"/><Relationship Id="rId63" Type="http://schemas.openxmlformats.org/officeDocument/2006/relationships/hyperlink" Target="https://www.zotero.org/google-docs/?ciJLi6" TargetMode="External"/><Relationship Id="rId68" Type="http://schemas.openxmlformats.org/officeDocument/2006/relationships/hyperlink" Target="https://www.zotero.org/google-docs/?ciJLi6" TargetMode="External"/><Relationship Id="rId16" Type="http://schemas.openxmlformats.org/officeDocument/2006/relationships/hyperlink" Target="https://www.zotero.org/google-docs/?ciJLi6" TargetMode="External"/><Relationship Id="rId11" Type="http://schemas.openxmlformats.org/officeDocument/2006/relationships/hyperlink" Target="https://www.zotero.org/google-docs/?OIGlN3" TargetMode="External"/><Relationship Id="rId24" Type="http://schemas.openxmlformats.org/officeDocument/2006/relationships/hyperlink" Target="https://www.zotero.org/google-docs/?ciJLi6" TargetMode="External"/><Relationship Id="rId32" Type="http://schemas.openxmlformats.org/officeDocument/2006/relationships/hyperlink" Target="https://www.zotero.org/google-docs/?ciJLi6" TargetMode="External"/><Relationship Id="rId37" Type="http://schemas.openxmlformats.org/officeDocument/2006/relationships/hyperlink" Target="https://www.zotero.org/google-docs/?ciJLi6" TargetMode="External"/><Relationship Id="rId40" Type="http://schemas.openxmlformats.org/officeDocument/2006/relationships/hyperlink" Target="https://www.zotero.org/google-docs/?ciJLi6" TargetMode="External"/><Relationship Id="rId45" Type="http://schemas.openxmlformats.org/officeDocument/2006/relationships/hyperlink" Target="https://www.zotero.org/google-docs/?ciJLi6" TargetMode="External"/><Relationship Id="rId53" Type="http://schemas.openxmlformats.org/officeDocument/2006/relationships/hyperlink" Target="https://www.zotero.org/google-docs/?ciJLi6" TargetMode="External"/><Relationship Id="rId58" Type="http://schemas.openxmlformats.org/officeDocument/2006/relationships/hyperlink" Target="https://www.zotero.org/google-docs/?ciJLi6" TargetMode="External"/><Relationship Id="rId66" Type="http://schemas.openxmlformats.org/officeDocument/2006/relationships/hyperlink" Target="https://www.zotero.org/google-docs/?ciJLi6" TargetMode="External"/><Relationship Id="rId74" Type="http://schemas.openxmlformats.org/officeDocument/2006/relationships/hyperlink" Target="https://www.zotero.org/google-docs/?ciJLi6" TargetMode="External"/><Relationship Id="rId79" Type="http://schemas.openxmlformats.org/officeDocument/2006/relationships/theme" Target="theme/theme1.xml"/><Relationship Id="rId5" Type="http://schemas.openxmlformats.org/officeDocument/2006/relationships/hyperlink" Target="https://www.zotero.org/google-docs/?5F6RQY" TargetMode="External"/><Relationship Id="rId61" Type="http://schemas.openxmlformats.org/officeDocument/2006/relationships/hyperlink" Target="https://www.zotero.org/google-docs/?ciJLi6" TargetMode="External"/><Relationship Id="rId19" Type="http://schemas.openxmlformats.org/officeDocument/2006/relationships/hyperlink" Target="https://www.zotero.org/google-docs/?ciJLi6" TargetMode="External"/><Relationship Id="rId14" Type="http://schemas.openxmlformats.org/officeDocument/2006/relationships/hyperlink" Target="https://www.zotero.org/google-docs/?rhvo99" TargetMode="External"/><Relationship Id="rId22" Type="http://schemas.openxmlformats.org/officeDocument/2006/relationships/hyperlink" Target="https://www.zotero.org/google-docs/?ciJLi6" TargetMode="External"/><Relationship Id="rId27" Type="http://schemas.openxmlformats.org/officeDocument/2006/relationships/hyperlink" Target="https://www.zotero.org/google-docs/?ciJLi6" TargetMode="External"/><Relationship Id="rId30" Type="http://schemas.openxmlformats.org/officeDocument/2006/relationships/hyperlink" Target="https://www.zotero.org/google-docs/?ciJLi6" TargetMode="External"/><Relationship Id="rId35" Type="http://schemas.openxmlformats.org/officeDocument/2006/relationships/hyperlink" Target="https://www.zotero.org/google-docs/?ciJLi6" TargetMode="External"/><Relationship Id="rId43" Type="http://schemas.openxmlformats.org/officeDocument/2006/relationships/hyperlink" Target="https://www.zotero.org/google-docs/?ciJLi6" TargetMode="External"/><Relationship Id="rId48" Type="http://schemas.openxmlformats.org/officeDocument/2006/relationships/hyperlink" Target="https://www.zotero.org/google-docs/?ciJLi6" TargetMode="External"/><Relationship Id="rId56" Type="http://schemas.openxmlformats.org/officeDocument/2006/relationships/hyperlink" Target="https://www.zotero.org/google-docs/?ciJLi6" TargetMode="External"/><Relationship Id="rId64" Type="http://schemas.openxmlformats.org/officeDocument/2006/relationships/hyperlink" Target="https://www.zotero.org/google-docs/?ciJLi6" TargetMode="External"/><Relationship Id="rId69" Type="http://schemas.openxmlformats.org/officeDocument/2006/relationships/hyperlink" Target="https://www.zotero.org/google-docs/?ciJLi6" TargetMode="External"/><Relationship Id="rId77" Type="http://schemas.openxmlformats.org/officeDocument/2006/relationships/hyperlink" Target="https://www.zotero.org/google-docs/?ciJLi6" TargetMode="External"/><Relationship Id="rId8" Type="http://schemas.openxmlformats.org/officeDocument/2006/relationships/hyperlink" Target="https://www.zotero.org/google-docs/?ca5QYW" TargetMode="External"/><Relationship Id="rId51" Type="http://schemas.openxmlformats.org/officeDocument/2006/relationships/hyperlink" Target="https://www.zotero.org/google-docs/?ciJLi6" TargetMode="External"/><Relationship Id="rId72" Type="http://schemas.openxmlformats.org/officeDocument/2006/relationships/hyperlink" Target="https://www.zotero.org/google-docs/?ciJLi6" TargetMode="External"/><Relationship Id="rId3" Type="http://schemas.openxmlformats.org/officeDocument/2006/relationships/webSettings" Target="webSettings.xml"/><Relationship Id="rId12" Type="http://schemas.openxmlformats.org/officeDocument/2006/relationships/hyperlink" Target="https://www.zotero.org/google-docs/?J8qKFD" TargetMode="External"/><Relationship Id="rId17" Type="http://schemas.openxmlformats.org/officeDocument/2006/relationships/hyperlink" Target="https://www.zotero.org/google-docs/?ciJLi6" TargetMode="External"/><Relationship Id="rId25" Type="http://schemas.openxmlformats.org/officeDocument/2006/relationships/hyperlink" Target="https://www.zotero.org/google-docs/?ciJLi6" TargetMode="External"/><Relationship Id="rId33" Type="http://schemas.openxmlformats.org/officeDocument/2006/relationships/hyperlink" Target="https://www.zotero.org/google-docs/?ciJLi6" TargetMode="External"/><Relationship Id="rId38" Type="http://schemas.openxmlformats.org/officeDocument/2006/relationships/hyperlink" Target="https://www.zotero.org/google-docs/?ciJLi6" TargetMode="External"/><Relationship Id="rId46" Type="http://schemas.openxmlformats.org/officeDocument/2006/relationships/hyperlink" Target="https://www.zotero.org/google-docs/?ciJLi6" TargetMode="External"/><Relationship Id="rId59" Type="http://schemas.openxmlformats.org/officeDocument/2006/relationships/hyperlink" Target="https://www.zotero.org/google-docs/?ciJLi6" TargetMode="External"/><Relationship Id="rId67" Type="http://schemas.openxmlformats.org/officeDocument/2006/relationships/hyperlink" Target="https://www.zotero.org/google-docs/?ciJLi6" TargetMode="External"/><Relationship Id="rId20" Type="http://schemas.openxmlformats.org/officeDocument/2006/relationships/hyperlink" Target="https://www.zotero.org/google-docs/?ciJLi6" TargetMode="External"/><Relationship Id="rId41" Type="http://schemas.openxmlformats.org/officeDocument/2006/relationships/hyperlink" Target="https://www.zotero.org/google-docs/?ciJLi6" TargetMode="External"/><Relationship Id="rId54" Type="http://schemas.openxmlformats.org/officeDocument/2006/relationships/hyperlink" Target="https://www.zotero.org/google-docs/?ciJLi6" TargetMode="External"/><Relationship Id="rId62" Type="http://schemas.openxmlformats.org/officeDocument/2006/relationships/hyperlink" Target="https://www.zotero.org/google-docs/?ciJLi6" TargetMode="External"/><Relationship Id="rId70" Type="http://schemas.openxmlformats.org/officeDocument/2006/relationships/hyperlink" Target="https://www.zotero.org/google-docs/?ciJLi6" TargetMode="External"/><Relationship Id="rId75" Type="http://schemas.openxmlformats.org/officeDocument/2006/relationships/hyperlink" Target="https://www.zotero.org/google-docs/?ciJLi6" TargetMode="External"/><Relationship Id="rId1" Type="http://schemas.openxmlformats.org/officeDocument/2006/relationships/styles" Target="styles.xml"/><Relationship Id="rId6" Type="http://schemas.openxmlformats.org/officeDocument/2006/relationships/hyperlink" Target="https://www.zotero.org/google-docs/?j5mEwf" TargetMode="External"/><Relationship Id="rId15" Type="http://schemas.openxmlformats.org/officeDocument/2006/relationships/image" Target="media/image1.jpeg"/><Relationship Id="rId23" Type="http://schemas.openxmlformats.org/officeDocument/2006/relationships/hyperlink" Target="https://www.zotero.org/google-docs/?ciJLi6" TargetMode="External"/><Relationship Id="rId28" Type="http://schemas.openxmlformats.org/officeDocument/2006/relationships/hyperlink" Target="https://www.zotero.org/google-docs/?ciJLi6" TargetMode="External"/><Relationship Id="rId36" Type="http://schemas.openxmlformats.org/officeDocument/2006/relationships/hyperlink" Target="https://www.zotero.org/google-docs/?ciJLi6" TargetMode="External"/><Relationship Id="rId49" Type="http://schemas.openxmlformats.org/officeDocument/2006/relationships/hyperlink" Target="https://www.zotero.org/google-docs/?ciJLi6" TargetMode="External"/><Relationship Id="rId57" Type="http://schemas.openxmlformats.org/officeDocument/2006/relationships/hyperlink" Target="https://www.zotero.org/google-docs/?ciJLi6" TargetMode="External"/><Relationship Id="rId10" Type="http://schemas.openxmlformats.org/officeDocument/2006/relationships/hyperlink" Target="https://www.zotero.org/google-docs/?vrcu1b" TargetMode="External"/><Relationship Id="rId31" Type="http://schemas.openxmlformats.org/officeDocument/2006/relationships/hyperlink" Target="https://www.zotero.org/google-docs/?ciJLi6" TargetMode="External"/><Relationship Id="rId44" Type="http://schemas.openxmlformats.org/officeDocument/2006/relationships/hyperlink" Target="https://www.zotero.org/google-docs/?ciJLi6" TargetMode="External"/><Relationship Id="rId52" Type="http://schemas.openxmlformats.org/officeDocument/2006/relationships/hyperlink" Target="https://www.zotero.org/google-docs/?ciJLi6" TargetMode="External"/><Relationship Id="rId60" Type="http://schemas.openxmlformats.org/officeDocument/2006/relationships/hyperlink" Target="https://www.zotero.org/google-docs/?ciJLi6" TargetMode="External"/><Relationship Id="rId65" Type="http://schemas.openxmlformats.org/officeDocument/2006/relationships/hyperlink" Target="https://www.zotero.org/google-docs/?ciJLi6" TargetMode="External"/><Relationship Id="rId73" Type="http://schemas.openxmlformats.org/officeDocument/2006/relationships/hyperlink" Target="https://www.zotero.org/google-docs/?ciJLi6" TargetMode="External"/><Relationship Id="rId78" Type="http://schemas.openxmlformats.org/officeDocument/2006/relationships/fontTable" Target="fontTable.xml"/><Relationship Id="rId4" Type="http://schemas.openxmlformats.org/officeDocument/2006/relationships/hyperlink" Target="https://www.zotero.org/google-docs/?fZ57CO" TargetMode="External"/><Relationship Id="rId9" Type="http://schemas.openxmlformats.org/officeDocument/2006/relationships/hyperlink" Target="https://www.zotero.org/google-docs/?NfeyTd" TargetMode="External"/><Relationship Id="rId13" Type="http://schemas.openxmlformats.org/officeDocument/2006/relationships/hyperlink" Target="https://www.zotero.org/google-docs/?VD5jAC" TargetMode="External"/><Relationship Id="rId18" Type="http://schemas.openxmlformats.org/officeDocument/2006/relationships/hyperlink" Target="https://www.zotero.org/google-docs/?ciJLi6" TargetMode="External"/><Relationship Id="rId39" Type="http://schemas.openxmlformats.org/officeDocument/2006/relationships/hyperlink" Target="https://www.zotero.org/google-docs/?ciJLi6" TargetMode="External"/><Relationship Id="rId34" Type="http://schemas.openxmlformats.org/officeDocument/2006/relationships/hyperlink" Target="https://www.zotero.org/google-docs/?ciJLi6" TargetMode="External"/><Relationship Id="rId50" Type="http://schemas.openxmlformats.org/officeDocument/2006/relationships/hyperlink" Target="https://www.zotero.org/google-docs/?ciJLi6" TargetMode="External"/><Relationship Id="rId55" Type="http://schemas.openxmlformats.org/officeDocument/2006/relationships/hyperlink" Target="https://www.zotero.org/google-docs/?ciJLi6" TargetMode="External"/><Relationship Id="rId76" Type="http://schemas.openxmlformats.org/officeDocument/2006/relationships/hyperlink" Target="https://www.zotero.org/google-docs/?ciJLi6" TargetMode="External"/><Relationship Id="rId7" Type="http://schemas.openxmlformats.org/officeDocument/2006/relationships/hyperlink" Target="https://www.zotero.org/google-docs/?zw1ISs" TargetMode="External"/><Relationship Id="rId71" Type="http://schemas.openxmlformats.org/officeDocument/2006/relationships/hyperlink" Target="https://www.zotero.org/google-docs/?ciJLi6" TargetMode="External"/><Relationship Id="rId2" Type="http://schemas.openxmlformats.org/officeDocument/2006/relationships/settings" Target="settings.xml"/><Relationship Id="rId29" Type="http://schemas.openxmlformats.org/officeDocument/2006/relationships/hyperlink" Target="https://www.zotero.org/google-docs/?ciJLi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2641</Words>
  <Characters>15055</Characters>
  <Application>Microsoft Office Word</Application>
  <DocSecurity>0</DocSecurity>
  <Lines>125</Lines>
  <Paragraphs>35</Paragraphs>
  <ScaleCrop>false</ScaleCrop>
  <Company/>
  <LinksUpToDate>false</LinksUpToDate>
  <CharactersWithSpaces>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nikita</cp:lastModifiedBy>
  <cp:revision>12</cp:revision>
  <dcterms:created xsi:type="dcterms:W3CDTF">2026-06-24T13:10:00Z</dcterms:created>
  <dcterms:modified xsi:type="dcterms:W3CDTF">2026-06-25T14:06:00Z</dcterms:modified>
</cp:coreProperties>
</file>