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1F6717" w14:textId="0B136F0E" w:rsidR="00246D88" w:rsidRPr="00246D88" w:rsidRDefault="00246D88" w:rsidP="00246D88">
      <w:pPr>
        <w:spacing w:before="100" w:beforeAutospacing="1" w:after="100" w:afterAutospacing="1"/>
        <w:textAlignment w:val="baseline"/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en-US" w:eastAsia="es-ES_tradnl"/>
        </w:rPr>
      </w:pPr>
      <w:r w:rsidRPr="00246D88">
        <w:rPr>
          <w:rFonts w:ascii="Times New Roman" w:eastAsia="Times New Roman" w:hAnsi="Times New Roman" w:cs="Times New Roman"/>
          <w:color w:val="000000" w:themeColor="text1"/>
          <w:lang w:val="en-US" w:eastAsia="es-ES_tradnl"/>
        </w:rPr>
        <w:t>A</w:t>
      </w:r>
      <w:r w:rsidR="005F2EF5">
        <w:rPr>
          <w:rFonts w:ascii="Times New Roman" w:eastAsia="Times New Roman" w:hAnsi="Times New Roman" w:cs="Times New Roman"/>
          <w:color w:val="000000" w:themeColor="text1"/>
          <w:lang w:val="en-US" w:eastAsia="es-ES_tradnl"/>
        </w:rPr>
        <w:t>dditional file 1</w:t>
      </w:r>
      <w:r w:rsidRPr="00246D88">
        <w:rPr>
          <w:rFonts w:ascii="Times New Roman" w:eastAsia="Times New Roman" w:hAnsi="Times New Roman" w:cs="Times New Roman"/>
          <w:color w:val="000000" w:themeColor="text1"/>
          <w:lang w:val="en-US" w:eastAsia="es-ES_tradnl"/>
        </w:rPr>
        <w:t xml:space="preserve">: Distribution of core and additional indicators per dimension and </w:t>
      </w:r>
      <w:r w:rsidR="005F2EF5">
        <w:rPr>
          <w:rFonts w:ascii="Times New Roman" w:eastAsia="Times New Roman" w:hAnsi="Times New Roman" w:cs="Times New Roman"/>
          <w:color w:val="000000" w:themeColor="text1"/>
          <w:lang w:val="en-US" w:eastAsia="es-ES_tradnl"/>
        </w:rPr>
        <w:t xml:space="preserve">measurement </w:t>
      </w:r>
      <w:r w:rsidRPr="00246D88">
        <w:rPr>
          <w:rFonts w:ascii="Times New Roman" w:eastAsia="Times New Roman" w:hAnsi="Times New Roman" w:cs="Times New Roman"/>
          <w:color w:val="000000" w:themeColor="text1"/>
          <w:lang w:val="en-US" w:eastAsia="es-ES_tradnl"/>
        </w:rPr>
        <w:t>aspect </w:t>
      </w:r>
      <w:r w:rsidR="005F2EF5">
        <w:rPr>
          <w:rFonts w:ascii="Times New Roman" w:eastAsia="Times New Roman" w:hAnsi="Times New Roman" w:cs="Times New Roman"/>
          <w:color w:val="000000" w:themeColor="text1"/>
          <w:lang w:val="en-US" w:eastAsia="es-ES_tradnl"/>
        </w:rPr>
        <w:t>in MULTI-ACT Master Scorecard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0"/>
        <w:gridCol w:w="600"/>
        <w:gridCol w:w="1305"/>
      </w:tblGrid>
      <w:tr w:rsidR="00246D88" w:rsidRPr="00246D88" w14:paraId="06AA6499" w14:textId="77777777" w:rsidTr="00246D88">
        <w:trPr>
          <w:trHeight w:val="300"/>
        </w:trPr>
        <w:tc>
          <w:tcPr>
            <w:tcW w:w="56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5EC2D0AB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fi-FI" w:eastAsia="es-ES_tradnl"/>
              </w:rPr>
              <w:t>Dimension/aspect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72CC1EDD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fi-FI" w:eastAsia="es-ES_tradnl"/>
              </w:rPr>
              <w:t>Core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1BC8EFF6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fi-FI" w:eastAsia="es-ES_tradnl"/>
              </w:rPr>
              <w:t>Additional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08E423BC" w14:textId="77777777" w:rsidTr="00246D88">
        <w:trPr>
          <w:trHeight w:val="300"/>
        </w:trPr>
        <w:tc>
          <w:tcPr>
            <w:tcW w:w="56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51E1E5D9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fi-FI" w:eastAsia="es-ES_tradnl"/>
              </w:rPr>
              <w:t>Patient Reported Dimension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623B8C5F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fi-FI" w:eastAsia="es-ES_tradnl"/>
              </w:rPr>
              <w:t>10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218510D9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352AC93F" w14:textId="77777777" w:rsidTr="00246D88">
        <w:trPr>
          <w:trHeight w:val="300"/>
        </w:trPr>
        <w:tc>
          <w:tcPr>
            <w:tcW w:w="561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3BA10A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Anxiety and depression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9DC9E3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56C75A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390A8051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7751F9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Bladder function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90A05E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64E0A3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05F9CC5E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E9789E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Cognitive function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C541C8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795D36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331C4CD0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21ED6A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Fatigue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9DEF59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F3FC21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37F2A389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BBA4B2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Locomotion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AA3866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4284EF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345AAC37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788905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Patient satisfaction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2D853F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5D8241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52FCDC16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8D8117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Return on engagement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9E114A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3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0A3E16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16C9646E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499408D7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Upper-limb dexterity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4F23F992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322A2B3C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6CBD502E" w14:textId="77777777" w:rsidTr="00246D88">
        <w:trPr>
          <w:trHeight w:val="300"/>
        </w:trPr>
        <w:tc>
          <w:tcPr>
            <w:tcW w:w="56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471E9C50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fi-FI" w:eastAsia="es-ES_tradnl"/>
              </w:rPr>
              <w:t>Economic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7C5F866B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fi-FI" w:eastAsia="es-ES_tradnl"/>
              </w:rPr>
              <w:t>9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77B4C382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fi-FI" w:eastAsia="es-ES_tradnl"/>
              </w:rPr>
              <w:t>11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12885987" w14:textId="77777777" w:rsidTr="00246D88">
        <w:trPr>
          <w:trHeight w:val="300"/>
        </w:trPr>
        <w:tc>
          <w:tcPr>
            <w:tcW w:w="561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B9DB97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Anti-competitive behaviour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29F278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47AB6E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3298E742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DF5D39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Control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0821A1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FF1A19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618BB629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EC8EF8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Economic externalities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358F38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C429FD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3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0EB4EA80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D82846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Financial performance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8DD60D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599BA5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10F692FD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94F702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Improvement of health services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D4DEA4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6E2E65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2A0E9962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71B386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Intellectual property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00FDAF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1112E5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1E652B3F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1F154E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Market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810422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889265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1E97E6BE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38E1C9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Organizational efficiency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3AA3F3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B08980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733E25D0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447BC870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Resources allocated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5BC53A1E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38536B0A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5E4E077E" w14:textId="77777777" w:rsidTr="00246D88">
        <w:trPr>
          <w:trHeight w:val="300"/>
        </w:trPr>
        <w:tc>
          <w:tcPr>
            <w:tcW w:w="56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323D8BD5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fi-FI" w:eastAsia="es-ES_tradnl"/>
              </w:rPr>
              <w:t>Efficacy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7E2A3A2D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fi-FI" w:eastAsia="es-ES_tradnl"/>
              </w:rPr>
              <w:t>9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3506BB59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fi-FI" w:eastAsia="es-ES_tradnl"/>
              </w:rPr>
              <w:t>13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799F7CE2" w14:textId="77777777" w:rsidTr="00246D88">
        <w:trPr>
          <w:trHeight w:val="300"/>
        </w:trPr>
        <w:tc>
          <w:tcPr>
            <w:tcW w:w="561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825585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Drug supply to patient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17CCF9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1F3775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75C963A6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86F431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Governance  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52F303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4193A1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40260E9B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00C12E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Health service assessment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FFCE84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A25867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5C586E23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0B2A13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val="en-US"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Health services and products accessibility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59E59B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CA48D2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65CCAF99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862A5A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Healthcare practitioners human capital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139F48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D245CD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5BC67A4A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797BFC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Improvement of health services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9678F7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AB96D7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1D070FA1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4E4DF5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Influence on patient behaviour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11B17B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D290BB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07A2100D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EF6815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Patient quality of life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78CA3E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F3737C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0207C8AF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6F4E7872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Stakeholder engagement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306F9052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43006AA3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45A53873" w14:textId="77777777" w:rsidTr="00246D88">
        <w:trPr>
          <w:trHeight w:val="300"/>
        </w:trPr>
        <w:tc>
          <w:tcPr>
            <w:tcW w:w="56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7FAA9067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fi-FI" w:eastAsia="es-ES_tradnl"/>
              </w:rPr>
              <w:t>Social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4D72AD6A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fi-FI" w:eastAsia="es-ES_tradnl"/>
              </w:rPr>
              <w:t>7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43739EF0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fi-FI" w:eastAsia="es-ES_tradnl"/>
              </w:rPr>
              <w:t>8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7FAA086C" w14:textId="77777777" w:rsidTr="00246D88">
        <w:trPr>
          <w:trHeight w:val="300"/>
        </w:trPr>
        <w:tc>
          <w:tcPr>
            <w:tcW w:w="561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7376C1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Corporate reputation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9FC84A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D3BA97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58FABFE1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1201B5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Ethical marketing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D85AF1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258F64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2D7EB44C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9FEF56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Labor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AD6C7D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27E4BA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5FDE0113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D7A3D8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Labour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B58650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EE73D2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3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3DB50C31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DC222C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Political externalities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17DDE2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A7F028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4CE94514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A18F96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Socio-environmental impacts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0E5AE4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C197CB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3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384E7650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2C0BE443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Stakeholder engagement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5F40A991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4EB6079A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25E2069F" w14:textId="77777777" w:rsidTr="00246D88">
        <w:trPr>
          <w:trHeight w:val="300"/>
        </w:trPr>
        <w:tc>
          <w:tcPr>
            <w:tcW w:w="56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351DACF6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fi-FI" w:eastAsia="es-ES_tradnl"/>
              </w:rPr>
              <w:lastRenderedPageBreak/>
              <w:t>Excellence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4E81214C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fi-FI" w:eastAsia="es-ES_tradnl"/>
              </w:rPr>
              <w:t>20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4AE748D6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fi-FI" w:eastAsia="es-ES_tradnl"/>
              </w:rPr>
              <w:t>37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3E35B395" w14:textId="77777777" w:rsidTr="00246D88">
        <w:trPr>
          <w:trHeight w:val="300"/>
        </w:trPr>
        <w:tc>
          <w:tcPr>
            <w:tcW w:w="561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24C32C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Academic production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605EC6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20D26F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6B655979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372B01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Anticipatory design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7990F7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BB3823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2A380AC3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267118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Bibliometric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CD5C32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569FAA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0991644F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0191B0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Communication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3EE548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EEB48D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273D3E98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C1F16F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Compliance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57F4C9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56851C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40A6C335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970244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Ethics and integrity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3EDBA0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7C326A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2EBDCA8D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9BA9A9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Financial resources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C89754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6250AD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26E91A9C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10448F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Impact evaluation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230AC7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612C31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08F9DDDE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AE9F19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Influence on public behaviour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1A6669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D7AC4D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330DB7CA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C14398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Influence on subsequent research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4B1608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98F578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364EF267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5086E4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val="en-US"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Informing healthcare practice decision making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53AFBF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8A00D6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47D824EC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B61909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Intellectual property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EB29EA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B3BFF6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474554CF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0D426F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Patient engagement &amp; involvement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BA67D9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2EF3A1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204E7C6B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D363A3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Products generated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A24745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9500D9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3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1B5A8A5B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07EACF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Research partnership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C81484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C7D59B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75DE5225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7A7FE0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Research recognition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88A4C5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25DEBB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25F7D3DF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0247B4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Researchers' human capital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85C4BF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D98CB5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3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7D267E4D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87DCDE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Resources allocated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30F5BC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4FF2E9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52E61D8F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C84FE0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Scientific input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AD209D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C8F183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3D72B08F" w14:textId="77777777" w:rsidTr="00246D88">
        <w:trPr>
          <w:trHeight w:val="300"/>
        </w:trPr>
        <w:tc>
          <w:tcPr>
            <w:tcW w:w="56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6108D129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Stakeholder engagement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2A4D0669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67FBAEED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fi-FI" w:eastAsia="es-ES_tradnl"/>
              </w:rPr>
              <w:t>2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  <w:tr w:rsidR="00246D88" w:rsidRPr="00246D88" w14:paraId="3E68E476" w14:textId="77777777" w:rsidTr="00246D88">
        <w:trPr>
          <w:trHeight w:val="300"/>
        </w:trPr>
        <w:tc>
          <w:tcPr>
            <w:tcW w:w="56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73EC3E74" w14:textId="77777777" w:rsidR="00246D88" w:rsidRPr="00246D88" w:rsidRDefault="00246D88" w:rsidP="00246D88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fi-FI" w:eastAsia="es-ES_tradnl"/>
              </w:rPr>
              <w:t>Total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4924E68B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fi-FI" w:eastAsia="es-ES_tradnl"/>
              </w:rPr>
              <w:t>55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  <w:tc>
          <w:tcPr>
            <w:tcW w:w="130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27AD4CD2" w14:textId="77777777" w:rsidR="00246D88" w:rsidRPr="00246D88" w:rsidRDefault="00246D88" w:rsidP="00246D88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es-ES_tradnl"/>
              </w:rPr>
            </w:pPr>
            <w:r w:rsidRPr="00246D88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fi-FI" w:eastAsia="es-ES_tradnl"/>
              </w:rPr>
              <w:t>71</w:t>
            </w:r>
            <w:r w:rsidRPr="00246D8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 </w:t>
            </w:r>
          </w:p>
        </w:tc>
      </w:tr>
    </w:tbl>
    <w:p w14:paraId="465C6F31" w14:textId="77777777" w:rsidR="00747766" w:rsidRDefault="006B5416"/>
    <w:sectPr w:rsidR="00747766" w:rsidSect="00DB7BE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666F26" w14:textId="77777777" w:rsidR="006B5416" w:rsidRDefault="006B5416" w:rsidP="0018076E">
      <w:r>
        <w:separator/>
      </w:r>
    </w:p>
  </w:endnote>
  <w:endnote w:type="continuationSeparator" w:id="0">
    <w:p w14:paraId="21D6804D" w14:textId="77777777" w:rsidR="006B5416" w:rsidRDefault="006B5416" w:rsidP="00180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BC751B" w14:textId="77777777" w:rsidR="006B5416" w:rsidRDefault="006B5416" w:rsidP="0018076E">
      <w:r>
        <w:separator/>
      </w:r>
    </w:p>
  </w:footnote>
  <w:footnote w:type="continuationSeparator" w:id="0">
    <w:p w14:paraId="238CA5F2" w14:textId="77777777" w:rsidR="006B5416" w:rsidRDefault="006B5416" w:rsidP="001807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hideSpellingErrors/>
  <w:hideGrammaticalError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OwMDa2tDAyMTI2NDBV0lEKTi0uzszPAykwqQUAYmo22SwAAAA="/>
  </w:docVars>
  <w:rsids>
    <w:rsidRoot w:val="00246D88"/>
    <w:rsid w:val="0007718D"/>
    <w:rsid w:val="000A5054"/>
    <w:rsid w:val="001021C0"/>
    <w:rsid w:val="00124996"/>
    <w:rsid w:val="0013439F"/>
    <w:rsid w:val="0018076E"/>
    <w:rsid w:val="00184C29"/>
    <w:rsid w:val="001A3056"/>
    <w:rsid w:val="00205129"/>
    <w:rsid w:val="002318BC"/>
    <w:rsid w:val="00246D88"/>
    <w:rsid w:val="002656B6"/>
    <w:rsid w:val="00283B3E"/>
    <w:rsid w:val="002C2967"/>
    <w:rsid w:val="00307DEE"/>
    <w:rsid w:val="00343136"/>
    <w:rsid w:val="00374E33"/>
    <w:rsid w:val="003B615A"/>
    <w:rsid w:val="003F3E34"/>
    <w:rsid w:val="004B3559"/>
    <w:rsid w:val="004C5558"/>
    <w:rsid w:val="005408F1"/>
    <w:rsid w:val="005D5D49"/>
    <w:rsid w:val="005F2EF5"/>
    <w:rsid w:val="00602B86"/>
    <w:rsid w:val="0060639D"/>
    <w:rsid w:val="00624343"/>
    <w:rsid w:val="00627C82"/>
    <w:rsid w:val="006B2399"/>
    <w:rsid w:val="006B5416"/>
    <w:rsid w:val="006E4C22"/>
    <w:rsid w:val="006F5F9C"/>
    <w:rsid w:val="0077701C"/>
    <w:rsid w:val="00785A2F"/>
    <w:rsid w:val="007B0B9B"/>
    <w:rsid w:val="007F6DFD"/>
    <w:rsid w:val="0088042B"/>
    <w:rsid w:val="008A4ACC"/>
    <w:rsid w:val="00910C0B"/>
    <w:rsid w:val="00915DAA"/>
    <w:rsid w:val="009366B0"/>
    <w:rsid w:val="00937EFA"/>
    <w:rsid w:val="00977E89"/>
    <w:rsid w:val="00A01016"/>
    <w:rsid w:val="00A15944"/>
    <w:rsid w:val="00A360FF"/>
    <w:rsid w:val="00A80B7A"/>
    <w:rsid w:val="00B513A6"/>
    <w:rsid w:val="00C0094E"/>
    <w:rsid w:val="00C01604"/>
    <w:rsid w:val="00C11C11"/>
    <w:rsid w:val="00C2635D"/>
    <w:rsid w:val="00C4462B"/>
    <w:rsid w:val="00C600F4"/>
    <w:rsid w:val="00C8149F"/>
    <w:rsid w:val="00D65137"/>
    <w:rsid w:val="00DB7BEA"/>
    <w:rsid w:val="00DD0CE1"/>
    <w:rsid w:val="00DD2FB7"/>
    <w:rsid w:val="00DF04EB"/>
    <w:rsid w:val="00EA5F6B"/>
    <w:rsid w:val="00EF3AA7"/>
    <w:rsid w:val="00EF69B2"/>
    <w:rsid w:val="00F53B2B"/>
    <w:rsid w:val="00F55818"/>
    <w:rsid w:val="00FE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B1DFF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paragraph">
    <w:name w:val="paragraph"/>
    <w:basedOn w:val="Normaali"/>
    <w:rsid w:val="00246D8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customStyle="1" w:styleId="normaltextrun">
    <w:name w:val="normaltextrun"/>
    <w:basedOn w:val="Kappaleenoletusfontti"/>
    <w:rsid w:val="00246D88"/>
  </w:style>
  <w:style w:type="character" w:customStyle="1" w:styleId="eop">
    <w:name w:val="eop"/>
    <w:basedOn w:val="Kappaleenoletusfontti"/>
    <w:rsid w:val="00246D88"/>
  </w:style>
  <w:style w:type="paragraph" w:styleId="Yltunniste">
    <w:name w:val="header"/>
    <w:basedOn w:val="Normaali"/>
    <w:link w:val="YltunnisteChar"/>
    <w:uiPriority w:val="99"/>
    <w:unhideWhenUsed/>
    <w:rsid w:val="0018076E"/>
    <w:pPr>
      <w:tabs>
        <w:tab w:val="center" w:pos="4513"/>
        <w:tab w:val="right" w:pos="9026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18076E"/>
  </w:style>
  <w:style w:type="paragraph" w:styleId="Alatunniste">
    <w:name w:val="footer"/>
    <w:basedOn w:val="Normaali"/>
    <w:link w:val="AlatunnisteChar"/>
    <w:uiPriority w:val="99"/>
    <w:unhideWhenUsed/>
    <w:rsid w:val="0018076E"/>
    <w:pPr>
      <w:tabs>
        <w:tab w:val="center" w:pos="4513"/>
        <w:tab w:val="right" w:pos="9026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1807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803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1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1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53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885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869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145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34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366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36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65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7043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26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79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00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55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829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223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084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288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0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79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02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06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475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0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53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20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5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70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331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37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016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0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369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61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52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18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142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40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68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13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972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172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22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61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099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494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67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981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780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09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564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272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838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894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91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808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538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48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70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36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35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206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266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175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03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229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10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02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681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527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626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194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6441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740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79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040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7048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13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80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65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84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696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5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280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47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04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0583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6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798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399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525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26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1960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33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94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09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89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209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80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907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39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0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677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55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590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917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95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457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91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892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07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412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47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581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32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123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592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247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412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41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761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94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38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69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28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966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49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13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1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27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40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85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98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02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0285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66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162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20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90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4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8070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006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23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822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865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28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93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23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77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290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6721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33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624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797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7444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24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702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91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79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47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85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97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920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856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049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709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79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283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5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57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455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006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671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222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36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10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12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487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81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3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42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780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02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27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64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678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95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63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555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70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42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358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228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841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50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06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724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60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3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50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825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7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582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2479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049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15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2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1506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652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317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40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05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00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274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3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24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838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72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84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165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912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32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933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74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976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491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406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094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778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5828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97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89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69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382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15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817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8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65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90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97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60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340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68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260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48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216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5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64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76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69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667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88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671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5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624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44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69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60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589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21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57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20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403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32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89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39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620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53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872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519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212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676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05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35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37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458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28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698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824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159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192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013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92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99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41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2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61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92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16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629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367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154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934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9543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244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64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098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83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828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9496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34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71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328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41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034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848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39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65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93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00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51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70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742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9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824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410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4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0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855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878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081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62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47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005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979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79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841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95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439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9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6993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664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744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714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29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047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050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15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834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62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2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23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49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31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34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43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357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8399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5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2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30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893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635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1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9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2021-10-22T11:24:00Z</dcterms:created>
  <dcterms:modified xsi:type="dcterms:W3CDTF">2021-10-22T11:24:00Z</dcterms:modified>
</cp:coreProperties>
</file>