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FB3F" w14:textId="77777777" w:rsidR="00573558" w:rsidRPr="005746C2" w:rsidRDefault="00330520">
      <w:pPr>
        <w:spacing w:line="480" w:lineRule="auto"/>
        <w:jc w:val="center"/>
        <w:rPr>
          <w:rFonts w:ascii="Times New Roman" w:eastAsia="Times New Roman" w:hAnsi="Times New Roman" w:cs="Times New Roman"/>
          <w:b/>
          <w:sz w:val="34"/>
          <w:lang w:val="en-GB"/>
        </w:rPr>
      </w:pPr>
      <w:r w:rsidRPr="005746C2">
        <w:rPr>
          <w:rFonts w:ascii="Times New Roman" w:eastAsia="Times New Roman" w:hAnsi="Times New Roman" w:cs="Times New Roman"/>
          <w:b/>
          <w:sz w:val="34"/>
          <w:lang w:val="en-GB"/>
        </w:rPr>
        <w:t>Supplementary information</w:t>
      </w:r>
    </w:p>
    <w:p w14:paraId="168A6CEA" w14:textId="77777777" w:rsidR="00573558" w:rsidRPr="005746C2" w:rsidRDefault="00573558">
      <w:pPr>
        <w:spacing w:line="480" w:lineRule="auto"/>
        <w:rPr>
          <w:rFonts w:ascii="Times New Roman" w:eastAsia="Times New Roman" w:hAnsi="Times New Roman" w:cs="Times New Roman"/>
          <w:b/>
          <w:sz w:val="34"/>
          <w:lang w:val="en-GB"/>
        </w:rPr>
      </w:pPr>
    </w:p>
    <w:p w14:paraId="0F29B69D" w14:textId="25182506" w:rsidR="00573558" w:rsidRDefault="002C12A3">
      <w:pPr>
        <w:spacing w:line="480" w:lineRule="auto"/>
        <w:rPr>
          <w:rFonts w:ascii="Times New Roman" w:eastAsia="Times New Roman" w:hAnsi="Times New Roman" w:cs="Times New Roman"/>
          <w:b/>
          <w:sz w:val="34"/>
          <w:lang w:val="en-GB"/>
        </w:rPr>
      </w:pPr>
      <w:r w:rsidRPr="002C12A3">
        <w:rPr>
          <w:rFonts w:ascii="Times New Roman" w:eastAsia="Times New Roman" w:hAnsi="Times New Roman" w:cs="Times New Roman"/>
          <w:b/>
          <w:sz w:val="34"/>
          <w:lang w:val="en-GB"/>
        </w:rPr>
        <w:t>Orientation-controlled area-selective deposition of near-single-grain ruthenium interconnects</w:t>
      </w:r>
    </w:p>
    <w:p w14:paraId="2A511FDD" w14:textId="77777777" w:rsidR="002C12A3" w:rsidRPr="005746C2" w:rsidRDefault="002C12A3">
      <w:pPr>
        <w:spacing w:line="480" w:lineRule="auto"/>
        <w:rPr>
          <w:rFonts w:ascii="Times New Roman" w:eastAsia="Times New Roman" w:hAnsi="Times New Roman" w:cs="Times New Roman"/>
          <w:b/>
          <w:lang w:val="en-GB"/>
        </w:rPr>
      </w:pPr>
    </w:p>
    <w:p w14:paraId="4E4F598F" w14:textId="77777777" w:rsidR="00573558" w:rsidRPr="005746C2" w:rsidRDefault="00330520">
      <w:pPr>
        <w:spacing w:line="480" w:lineRule="auto"/>
        <w:jc w:val="center"/>
        <w:rPr>
          <w:rFonts w:ascii="Times New Roman" w:eastAsia="Times New Roman" w:hAnsi="Times New Roman" w:cs="Times New Roman"/>
          <w:b/>
          <w:lang w:val="en-GB"/>
        </w:rPr>
      </w:pPr>
      <w:r w:rsidRPr="005746C2">
        <w:rPr>
          <w:rFonts w:ascii="Times New Roman" w:eastAsia="Times New Roman" w:hAnsi="Times New Roman" w:cs="Times New Roman"/>
          <w:lang w:val="en-GB"/>
        </w:rPr>
        <w:t>Eun-Hyoung Cho et al.</w:t>
      </w:r>
    </w:p>
    <w:p w14:paraId="552BA973" w14:textId="77777777" w:rsidR="00573558" w:rsidRPr="005746C2" w:rsidRDefault="00330520">
      <w:pPr>
        <w:spacing w:after="160" w:line="259" w:lineRule="auto"/>
        <w:jc w:val="both"/>
        <w:rPr>
          <w:rFonts w:ascii="Times New Roman" w:eastAsia="Times New Roman" w:hAnsi="Times New Roman" w:cs="Times New Roman"/>
          <w:b/>
          <w:lang w:val="en-GB"/>
        </w:rPr>
      </w:pPr>
      <w:r w:rsidRPr="005746C2">
        <w:rPr>
          <w:rFonts w:ascii="Times New Roman" w:eastAsia="Times New Roman" w:hAnsi="Times New Roman" w:cs="Times New Roman"/>
          <w:lang w:val="en-GB"/>
        </w:rPr>
        <w:br w:type="page"/>
      </w:r>
    </w:p>
    <w:p w14:paraId="07108D34" w14:textId="77777777" w:rsidR="00573558" w:rsidRPr="005746C2" w:rsidRDefault="00330520">
      <w:pPr>
        <w:spacing w:line="480" w:lineRule="auto"/>
        <w:jc w:val="center"/>
        <w:rPr>
          <w:rFonts w:ascii="Times New Roman" w:eastAsia="Times New Roman" w:hAnsi="Times New Roman" w:cs="Times New Roman"/>
          <w:b/>
          <w:lang w:val="en-GB"/>
        </w:rPr>
      </w:pPr>
      <w:r w:rsidRPr="005746C2">
        <w:rPr>
          <w:rFonts w:ascii="Times New Roman" w:eastAsia="Times New Roman" w:hAnsi="Times New Roman" w:cs="Times New Roman"/>
          <w:noProof/>
        </w:rPr>
        <w:lastRenderedPageBreak/>
        <w:drawing>
          <wp:inline distT="0" distB="0" distL="0" distR="0" wp14:anchorId="6140D83E" wp14:editId="0FB4A74E">
            <wp:extent cx="6588760" cy="2192020"/>
            <wp:effectExtent l="0" t="0" r="2540" b="0"/>
            <wp:docPr id="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88760" cy="2192020"/>
                    </a:xfrm>
                    <a:prstGeom prst="rect">
                      <a:avLst/>
                    </a:prstGeom>
                  </pic:spPr>
                </pic:pic>
              </a:graphicData>
            </a:graphic>
          </wp:inline>
        </w:drawing>
      </w:r>
    </w:p>
    <w:p w14:paraId="2105B100" w14:textId="77777777" w:rsidR="00573558" w:rsidRPr="005746C2" w:rsidRDefault="00330520">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b/>
          <w:lang w:val="en-GB"/>
        </w:rPr>
        <w:t>Fig. S1</w:t>
      </w:r>
      <w:r w:rsidRPr="005746C2">
        <w:rPr>
          <w:rFonts w:ascii="Times New Roman" w:eastAsia="Times New Roman" w:hAnsi="Times New Roman" w:cs="Times New Roman"/>
          <w:lang w:val="en-GB"/>
        </w:rPr>
        <w:t xml:space="preserve">: </w:t>
      </w:r>
      <w:r w:rsidRPr="005746C2">
        <w:rPr>
          <w:rFonts w:ascii="Times New Roman" w:eastAsia="Times New Roman" w:hAnsi="Times New Roman" w:cs="Times New Roman"/>
          <w:b/>
          <w:lang w:val="en-GB"/>
        </w:rPr>
        <w:t>DFT analysis of Ru oxidation on SiO</w:t>
      </w:r>
      <w:r w:rsidRPr="005746C2">
        <w:rPr>
          <w:rFonts w:ascii="Times New Roman" w:eastAsia="Times New Roman" w:hAnsi="Times New Roman" w:cs="Times New Roman"/>
          <w:b/>
          <w:vertAlign w:val="subscript"/>
          <w:lang w:val="en-GB"/>
        </w:rPr>
        <w:t>2</w:t>
      </w:r>
      <w:r w:rsidRPr="005746C2">
        <w:rPr>
          <w:rFonts w:ascii="Times New Roman" w:eastAsia="Times New Roman" w:hAnsi="Times New Roman" w:cs="Times New Roman"/>
          <w:b/>
          <w:lang w:val="en-GB"/>
        </w:rPr>
        <w:t xml:space="preserve"> under ozone exposure.</w:t>
      </w:r>
    </w:p>
    <w:p w14:paraId="72640DCF" w14:textId="7D72290E" w:rsidR="00573558" w:rsidRPr="005746C2"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sidRPr="002E2CCD">
        <w:rPr>
          <w:rFonts w:ascii="Times New Roman" w:eastAsia="Times New Roman" w:hAnsi="Times New Roman" w:cs="Times New Roman"/>
          <w:lang w:val="en-GB"/>
        </w:rPr>
        <w:t>,</w:t>
      </w:r>
      <w:r w:rsidRPr="005746C2">
        <w:rPr>
          <w:rFonts w:ascii="Times New Roman" w:eastAsia="Times New Roman" w:hAnsi="Times New Roman" w:cs="Times New Roman"/>
          <w:lang w:val="en-GB"/>
        </w:rPr>
        <w:t xml:space="preserve"> O</w:t>
      </w:r>
      <w:r w:rsidRPr="005746C2">
        <w:rPr>
          <w:rFonts w:ascii="Times New Roman" w:eastAsia="Times New Roman" w:hAnsi="Times New Roman" w:cs="Times New Roman"/>
          <w:vertAlign w:val="subscript"/>
          <w:lang w:val="en-GB"/>
        </w:rPr>
        <w:t>3</w:t>
      </w:r>
      <w:r w:rsidRPr="005746C2">
        <w:rPr>
          <w:rFonts w:ascii="Times New Roman" w:eastAsia="Times New Roman" w:hAnsi="Times New Roman" w:cs="Times New Roman"/>
          <w:lang w:val="en-GB"/>
        </w:rPr>
        <w:t>-induced desorption mechanism of Ru adatom on SiO</w:t>
      </w:r>
      <w:r w:rsidRPr="005746C2">
        <w:rPr>
          <w:rFonts w:ascii="Times New Roman" w:eastAsia="Times New Roman" w:hAnsi="Times New Roman" w:cs="Times New Roman"/>
          <w:vertAlign w:val="subscript"/>
          <w:lang w:val="en-GB"/>
        </w:rPr>
        <w:t>2</w:t>
      </w:r>
      <w:r w:rsidRPr="005746C2">
        <w:rPr>
          <w:rFonts w:ascii="Times New Roman" w:eastAsia="Times New Roman" w:hAnsi="Times New Roman" w:cs="Times New Roman"/>
          <w:lang w:val="en-GB"/>
        </w:rPr>
        <w:t xml:space="preserve"> with an energy difference of 0.45 eV</w:t>
      </w:r>
      <w:r w:rsidR="005E0389">
        <w:rPr>
          <w:rFonts w:ascii="Times New Roman" w:eastAsia="Times New Roman" w:hAnsi="Times New Roman" w:cs="Times New Roman"/>
          <w:lang w:val="en-GB"/>
        </w:rPr>
        <w:t>,</w:t>
      </w:r>
      <w:r w:rsidRPr="005746C2">
        <w:rPr>
          <w:rFonts w:ascii="Times New Roman" w:eastAsia="Times New Roman" w:hAnsi="Times New Roman" w:cs="Times New Roman"/>
          <w:lang w:val="en-GB"/>
        </w:rPr>
        <w:t xml:space="preserve"> favo</w:t>
      </w:r>
      <w:r w:rsidR="005746C2">
        <w:rPr>
          <w:rFonts w:ascii="Times New Roman" w:eastAsia="Times New Roman" w:hAnsi="Times New Roman" w:cs="Times New Roman"/>
          <w:lang w:val="en-GB"/>
        </w:rPr>
        <w:t>u</w:t>
      </w:r>
      <w:r w:rsidRPr="005746C2">
        <w:rPr>
          <w:rFonts w:ascii="Times New Roman" w:eastAsia="Times New Roman" w:hAnsi="Times New Roman" w:cs="Times New Roman"/>
          <w:lang w:val="en-GB"/>
        </w:rPr>
        <w:t>ring RuO</w:t>
      </w:r>
      <w:r w:rsidRPr="005746C2">
        <w:rPr>
          <w:rFonts w:ascii="Times New Roman" w:eastAsia="Times New Roman" w:hAnsi="Times New Roman" w:cs="Times New Roman"/>
          <w:vertAlign w:val="subscript"/>
          <w:lang w:val="en-GB"/>
        </w:rPr>
        <w:t>4</w:t>
      </w:r>
      <w:r w:rsidRPr="005746C2">
        <w:rPr>
          <w:rFonts w:ascii="Times New Roman" w:eastAsia="Times New Roman" w:hAnsi="Times New Roman" w:cs="Times New Roman"/>
          <w:lang w:val="en-GB"/>
        </w:rPr>
        <w:t xml:space="preserve"> desorption. </w:t>
      </w:r>
      <w:r w:rsidRPr="005746C2">
        <w:rPr>
          <w:rFonts w:ascii="Times New Roman" w:eastAsia="Times New Roman" w:hAnsi="Times New Roman" w:cs="Times New Roman"/>
          <w:b/>
          <w:lang w:val="en-GB"/>
        </w:rPr>
        <w:t>b</w:t>
      </w:r>
      <w:r w:rsidRPr="002E2CCD">
        <w:rPr>
          <w:rFonts w:ascii="Times New Roman" w:eastAsia="Times New Roman" w:hAnsi="Times New Roman" w:cs="Times New Roman"/>
          <w:lang w:val="en-GB"/>
        </w:rPr>
        <w:t>,</w:t>
      </w:r>
      <w:r w:rsidRPr="002C12A3">
        <w:rPr>
          <w:rFonts w:ascii="Times New Roman" w:eastAsia="Times New Roman" w:hAnsi="Times New Roman" w:cs="Times New Roman"/>
          <w:b/>
          <w:bCs/>
          <w:lang w:val="en-GB"/>
        </w:rPr>
        <w:t xml:space="preserve"> </w:t>
      </w:r>
      <w:r w:rsidRPr="005746C2">
        <w:rPr>
          <w:rFonts w:ascii="Times New Roman" w:eastAsia="Times New Roman" w:hAnsi="Times New Roman" w:cs="Times New Roman"/>
          <w:lang w:val="en-GB"/>
        </w:rPr>
        <w:t>RuO</w:t>
      </w:r>
      <w:r w:rsidRPr="005746C2">
        <w:rPr>
          <w:rFonts w:ascii="Times New Roman" w:eastAsia="Times New Roman" w:hAnsi="Times New Roman" w:cs="Times New Roman"/>
          <w:vertAlign w:val="subscript"/>
          <w:lang w:val="en-GB"/>
        </w:rPr>
        <w:t>4</w:t>
      </w:r>
      <w:r w:rsidRPr="005746C2">
        <w:rPr>
          <w:rFonts w:ascii="Times New Roman" w:eastAsia="Times New Roman" w:hAnsi="Times New Roman" w:cs="Times New Roman"/>
          <w:lang w:val="en-GB"/>
        </w:rPr>
        <w:t xml:space="preserve"> desorption energy of oxidised Ru</w:t>
      </w:r>
      <w:r w:rsidRPr="005746C2">
        <w:rPr>
          <w:rFonts w:ascii="Times New Roman" w:eastAsia="Times New Roman" w:hAnsi="Times New Roman" w:cs="Times New Roman"/>
          <w:vertAlign w:val="subscript"/>
          <w:lang w:val="en-GB"/>
        </w:rPr>
        <w:t>2</w:t>
      </w:r>
      <w:r w:rsidRPr="005746C2">
        <w:rPr>
          <w:rFonts w:ascii="Times New Roman" w:eastAsia="Times New Roman" w:hAnsi="Times New Roman" w:cs="Times New Roman"/>
          <w:lang w:val="en-GB"/>
        </w:rPr>
        <w:t xml:space="preserve"> or Ru</w:t>
      </w:r>
      <w:r w:rsidRPr="005746C2">
        <w:rPr>
          <w:rFonts w:ascii="Times New Roman" w:eastAsia="Times New Roman" w:hAnsi="Times New Roman" w:cs="Times New Roman"/>
          <w:vertAlign w:val="subscript"/>
          <w:lang w:val="en-GB"/>
        </w:rPr>
        <w:t>3</w:t>
      </w:r>
      <w:r w:rsidRPr="005746C2">
        <w:rPr>
          <w:rFonts w:ascii="Times New Roman" w:eastAsia="Times New Roman" w:hAnsi="Times New Roman" w:cs="Times New Roman"/>
          <w:lang w:val="en-GB"/>
        </w:rPr>
        <w:t xml:space="preserve"> nuclei on SiO</w:t>
      </w:r>
      <w:r w:rsidRPr="005746C2">
        <w:rPr>
          <w:rFonts w:ascii="Times New Roman" w:eastAsia="Times New Roman" w:hAnsi="Times New Roman" w:cs="Times New Roman"/>
          <w:vertAlign w:val="subscript"/>
          <w:lang w:val="en-GB"/>
        </w:rPr>
        <w:t>2</w:t>
      </w:r>
      <w:r w:rsidRPr="005746C2">
        <w:rPr>
          <w:rFonts w:ascii="Times New Roman" w:eastAsia="Times New Roman" w:hAnsi="Times New Roman" w:cs="Times New Roman"/>
          <w:lang w:val="en-GB"/>
        </w:rPr>
        <w:t>. The atom colours in (</w:t>
      </w:r>
      <w:r w:rsidRPr="005746C2">
        <w:rPr>
          <w:rFonts w:ascii="Times New Roman" w:eastAsia="Times New Roman" w:hAnsi="Times New Roman" w:cs="Times New Roman"/>
          <w:b/>
          <w:lang w:val="en-GB"/>
        </w:rPr>
        <w:t>a</w:t>
      </w:r>
      <w:r w:rsidRPr="005746C2">
        <w:rPr>
          <w:rFonts w:ascii="Times New Roman" w:eastAsia="Times New Roman" w:hAnsi="Times New Roman" w:cs="Times New Roman"/>
          <w:lang w:val="en-GB"/>
        </w:rPr>
        <w:t>) and (</w:t>
      </w:r>
      <w:r w:rsidRPr="005746C2">
        <w:rPr>
          <w:rFonts w:ascii="Times New Roman" w:eastAsia="Times New Roman" w:hAnsi="Times New Roman" w:cs="Times New Roman"/>
          <w:b/>
          <w:lang w:val="en-GB"/>
        </w:rPr>
        <w:t>b</w:t>
      </w:r>
      <w:r w:rsidRPr="005746C2">
        <w:rPr>
          <w:rFonts w:ascii="Times New Roman" w:eastAsia="Times New Roman" w:hAnsi="Times New Roman" w:cs="Times New Roman"/>
          <w:lang w:val="en-GB"/>
        </w:rPr>
        <w:t>) are Ru (light grey), H (white), O (red or pink), and Si (light blue). These results demonstrate that Ru-containing species can be oxidised and desorbed as volatile RuO</w:t>
      </w:r>
      <w:r w:rsidRPr="005746C2">
        <w:rPr>
          <w:rFonts w:ascii="Times New Roman" w:eastAsia="Times New Roman" w:hAnsi="Times New Roman" w:cs="Times New Roman"/>
          <w:vertAlign w:val="subscript"/>
          <w:lang w:val="en-GB"/>
        </w:rPr>
        <w:t>4</w:t>
      </w:r>
      <w:r w:rsidRPr="005746C2">
        <w:rPr>
          <w:rFonts w:ascii="Times New Roman" w:eastAsia="Times New Roman" w:hAnsi="Times New Roman" w:cs="Times New Roman"/>
          <w:lang w:val="en-GB"/>
        </w:rPr>
        <w:t xml:space="preserve"> under ozone exposure, supporting the proposed oxidation-driven removal mechanism.</w:t>
      </w:r>
    </w:p>
    <w:p w14:paraId="0372C2FA" w14:textId="77777777" w:rsidR="00573558" w:rsidRPr="005746C2" w:rsidRDefault="00330520">
      <w:pPr>
        <w:spacing w:after="160" w:line="259" w:lineRule="auto"/>
        <w:jc w:val="both"/>
        <w:rPr>
          <w:rFonts w:ascii="Times New Roman" w:eastAsia="Times New Roman" w:hAnsi="Times New Roman" w:cs="Times New Roman"/>
          <w:lang w:val="en-GB"/>
        </w:rPr>
      </w:pPr>
      <w:r w:rsidRPr="005746C2">
        <w:rPr>
          <w:rFonts w:ascii="Times New Roman" w:eastAsia="Times New Roman" w:hAnsi="Times New Roman" w:cs="Times New Roman"/>
          <w:lang w:val="en-GB"/>
        </w:rPr>
        <w:br w:type="page"/>
      </w:r>
    </w:p>
    <w:p w14:paraId="6F5ABFCA" w14:textId="77777777" w:rsidR="0060661E" w:rsidRPr="0060661E" w:rsidRDefault="0060661E" w:rsidP="0060661E">
      <w:pPr>
        <w:spacing w:line="480" w:lineRule="auto"/>
        <w:jc w:val="both"/>
        <w:rPr>
          <w:rFonts w:ascii="Times New Roman" w:eastAsia="맑은 고딕" w:hAnsi="Times New Roman" w:cs="Times New Roman"/>
          <w:lang w:val="en-GB"/>
        </w:rPr>
      </w:pPr>
      <w:r w:rsidRPr="0060661E">
        <w:rPr>
          <w:rFonts w:ascii="Times New Roman" w:eastAsia="맑은 고딕" w:hAnsi="Times New Roman" w:cs="Times New Roman"/>
          <w:lang w:val="en-GB"/>
        </w:rPr>
        <w:lastRenderedPageBreak/>
        <w:t>To directly examine the role of periodic ozone exposure during OC-ASD, STEM images were acquired immediately before and after the ozone treatment step on both Ru and SiO₂ surfaces. On Ru, the film surface became noticeably rougher prior to ozone exposure (Fig. S2a), whereas the subsequent ozone treatment reduced the surface roughness without causing a significant change in film thickness (Fig. S2b). This observation suggests that ozone preferentially removes protruding or weakly bonded surface species while largely preserving the continuous Ru film.</w:t>
      </w:r>
    </w:p>
    <w:p w14:paraId="34F458A5" w14:textId="75B54DE8" w:rsidR="0060661E" w:rsidRDefault="004A18E9" w:rsidP="0060661E">
      <w:pPr>
        <w:spacing w:line="480" w:lineRule="auto"/>
        <w:jc w:val="both"/>
        <w:rPr>
          <w:rFonts w:ascii="Times New Roman" w:eastAsia="맑은 고딕" w:hAnsi="Times New Roman" w:cs="Times New Roman"/>
          <w:lang w:val="en-GB"/>
        </w:rPr>
      </w:pPr>
      <w:r>
        <w:rPr>
          <w:rFonts w:ascii="Times New Roman" w:eastAsia="맑은 고딕" w:hAnsi="Times New Roman" w:cs="Times New Roman"/>
          <w:lang w:val="en-GB"/>
        </w:rPr>
        <w:tab/>
      </w:r>
      <w:r w:rsidR="0060661E" w:rsidRPr="0060661E">
        <w:rPr>
          <w:rFonts w:ascii="Times New Roman" w:eastAsia="맑은 고딕" w:hAnsi="Times New Roman" w:cs="Times New Roman"/>
          <w:lang w:val="en-GB"/>
        </w:rPr>
        <w:t>In contrast, discrete Ru nuclei were observed on SiO₂ prior to ozone exposure (Fig. S2c). Following ozone treatment, these nuclei were no longer detected (Fig. S2d), indicating their complete removal from the dielectric surface. The markedly different response of Ru and SiO₂ surfaces to ozone exposure supports the proposed OC-ASD mechanism, in which periodic ozone treatment continuously eliminates parasitic Ru nucleation on SiO₂ while maintaining net Ru growth on the metallic surface. This selective removal process suppresses dielectric nucleation and enables sustained bottom-up growth from the Ru template.</w:t>
      </w:r>
    </w:p>
    <w:p w14:paraId="58A41768" w14:textId="0E42D50F" w:rsidR="008B1201" w:rsidRDefault="008B1201" w:rsidP="0060661E">
      <w:pPr>
        <w:spacing w:line="480" w:lineRule="auto"/>
        <w:jc w:val="both"/>
        <w:rPr>
          <w:rFonts w:ascii="Times New Roman" w:eastAsia="맑은 고딕" w:hAnsi="Times New Roman" w:cs="Times New Roman"/>
          <w:lang w:val="en-GB"/>
        </w:rPr>
      </w:pPr>
      <w:r>
        <w:rPr>
          <w:noProof/>
        </w:rPr>
        <w:drawing>
          <wp:inline distT="0" distB="0" distL="0" distR="0" wp14:anchorId="345692CD" wp14:editId="7AAC37DE">
            <wp:extent cx="6588760" cy="2874010"/>
            <wp:effectExtent l="0" t="0" r="2540" b="254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88760" cy="2874010"/>
                    </a:xfrm>
                    <a:prstGeom prst="rect">
                      <a:avLst/>
                    </a:prstGeom>
                  </pic:spPr>
                </pic:pic>
              </a:graphicData>
            </a:graphic>
          </wp:inline>
        </w:drawing>
      </w:r>
    </w:p>
    <w:p w14:paraId="0BA4FC3C" w14:textId="3FEF391C" w:rsidR="008B1201" w:rsidRDefault="008B1201" w:rsidP="0060661E">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b/>
          <w:lang w:val="en-GB"/>
        </w:rPr>
        <w:t>Fig. S2</w:t>
      </w:r>
      <w:r w:rsidRPr="005746C2">
        <w:rPr>
          <w:rFonts w:ascii="Times New Roman" w:eastAsia="Times New Roman" w:hAnsi="Times New Roman" w:cs="Times New Roman"/>
          <w:lang w:val="en-GB"/>
        </w:rPr>
        <w:t xml:space="preserve">: </w:t>
      </w:r>
      <w:r w:rsidR="0072305D">
        <w:rPr>
          <w:rFonts w:ascii="Times New Roman" w:eastAsia="Times New Roman" w:hAnsi="Times New Roman" w:cs="Times New Roman"/>
          <w:b/>
          <w:lang w:val="en-GB"/>
        </w:rPr>
        <w:t>Effect of periodic ozone exposure on Ru and SiO</w:t>
      </w:r>
      <w:r w:rsidR="0072305D" w:rsidRPr="0072305D">
        <w:rPr>
          <w:rFonts w:ascii="Times New Roman" w:eastAsia="Times New Roman" w:hAnsi="Times New Roman" w:cs="Times New Roman"/>
          <w:b/>
          <w:vertAlign w:val="subscript"/>
          <w:lang w:val="en-GB"/>
        </w:rPr>
        <w:t>2</w:t>
      </w:r>
      <w:r w:rsidR="0072305D">
        <w:rPr>
          <w:rFonts w:ascii="Times New Roman" w:eastAsia="Times New Roman" w:hAnsi="Times New Roman" w:cs="Times New Roman"/>
          <w:b/>
          <w:lang w:val="en-GB"/>
        </w:rPr>
        <w:t xml:space="preserve"> surfaces during OC-ASD.</w:t>
      </w:r>
    </w:p>
    <w:p w14:paraId="576EC25C" w14:textId="321CFC6E" w:rsidR="0072305D" w:rsidRPr="0072305D" w:rsidRDefault="0072305D" w:rsidP="0060661E">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Pr>
          <w:rFonts w:ascii="Times New Roman" w:eastAsia="Times New Roman" w:hAnsi="Times New Roman" w:cs="Times New Roman"/>
          <w:b/>
          <w:lang w:val="en-GB"/>
        </w:rPr>
        <w:t>,b</w:t>
      </w:r>
      <w:r w:rsidRPr="002E2CCD">
        <w:rPr>
          <w:rFonts w:ascii="Times New Roman" w:eastAsia="Times New Roman" w:hAnsi="Times New Roman" w:cs="Times New Roman"/>
          <w:lang w:val="en-GB"/>
        </w:rPr>
        <w:t>,</w:t>
      </w:r>
      <w:r w:rsidRPr="005746C2">
        <w:rPr>
          <w:rFonts w:ascii="Times New Roman" w:eastAsia="Times New Roman" w:hAnsi="Times New Roman" w:cs="Times New Roman"/>
          <w:lang w:val="en-GB"/>
        </w:rPr>
        <w:t xml:space="preserve"> </w:t>
      </w:r>
      <w:r>
        <w:rPr>
          <w:rFonts w:ascii="Times New Roman" w:eastAsia="Times New Roman" w:hAnsi="Times New Roman" w:cs="Times New Roman"/>
          <w:lang w:val="en-GB"/>
        </w:rPr>
        <w:t>Cross-sectional STEM images of Ru surfaces after 100 cycle of OC-ASD acquired immediately before (</w:t>
      </w:r>
      <w:r w:rsidRPr="0072305D">
        <w:rPr>
          <w:rFonts w:ascii="Times New Roman" w:eastAsia="Times New Roman" w:hAnsi="Times New Roman" w:cs="Times New Roman"/>
          <w:b/>
          <w:lang w:val="en-GB"/>
        </w:rPr>
        <w:t>a</w:t>
      </w:r>
      <w:r>
        <w:rPr>
          <w:rFonts w:ascii="Times New Roman" w:eastAsia="Times New Roman" w:hAnsi="Times New Roman" w:cs="Times New Roman"/>
          <w:lang w:val="en-GB"/>
        </w:rPr>
        <w:t>) and after (</w:t>
      </w:r>
      <w:r w:rsidRPr="0072305D">
        <w:rPr>
          <w:rFonts w:ascii="Times New Roman" w:eastAsia="Times New Roman" w:hAnsi="Times New Roman" w:cs="Times New Roman"/>
          <w:b/>
          <w:lang w:val="en-GB"/>
        </w:rPr>
        <w:t>b</w:t>
      </w:r>
      <w:r>
        <w:rPr>
          <w:rFonts w:ascii="Times New Roman" w:eastAsia="Times New Roman" w:hAnsi="Times New Roman" w:cs="Times New Roman"/>
          <w:lang w:val="en-GB"/>
        </w:rPr>
        <w:t xml:space="preserve">) the last periodic ozone exposure step. The ozone treatment reduces surface roughness while preserving the overall film thickness. </w:t>
      </w:r>
      <w:r>
        <w:rPr>
          <w:rFonts w:ascii="Times New Roman" w:eastAsia="Times New Roman" w:hAnsi="Times New Roman" w:cs="Times New Roman"/>
          <w:b/>
          <w:lang w:val="en-GB"/>
        </w:rPr>
        <w:t>c,d</w:t>
      </w:r>
      <w:r w:rsidRPr="002E2CCD">
        <w:rPr>
          <w:rFonts w:ascii="Times New Roman" w:eastAsia="Times New Roman" w:hAnsi="Times New Roman" w:cs="Times New Roman"/>
          <w:lang w:val="en-GB"/>
        </w:rPr>
        <w:t>,</w:t>
      </w:r>
      <w:r>
        <w:rPr>
          <w:rFonts w:ascii="Times New Roman" w:eastAsia="Times New Roman" w:hAnsi="Times New Roman" w:cs="Times New Roman"/>
          <w:lang w:val="en-GB"/>
        </w:rPr>
        <w:t xml:space="preserve"> STEM images of SiO</w:t>
      </w:r>
      <w:r w:rsidRPr="0060661E">
        <w:rPr>
          <w:rFonts w:ascii="Times New Roman" w:eastAsia="Times New Roman" w:hAnsi="Times New Roman" w:cs="Times New Roman"/>
          <w:vertAlign w:val="subscript"/>
          <w:lang w:val="en-GB"/>
        </w:rPr>
        <w:t>2</w:t>
      </w:r>
      <w:r>
        <w:rPr>
          <w:rFonts w:ascii="Times New Roman" w:eastAsia="Times New Roman" w:hAnsi="Times New Roman" w:cs="Times New Roman"/>
          <w:lang w:val="en-GB"/>
        </w:rPr>
        <w:t xml:space="preserve"> surfaces after 100 cycles of OC-ASD </w:t>
      </w:r>
      <w:r>
        <w:rPr>
          <w:rFonts w:ascii="Times New Roman" w:eastAsia="Times New Roman" w:hAnsi="Times New Roman" w:cs="Times New Roman"/>
          <w:lang w:val="en-GB"/>
        </w:rPr>
        <w:lastRenderedPageBreak/>
        <w:t xml:space="preserve">acquired immediately before (c) and after (d) </w:t>
      </w:r>
      <w:r w:rsidR="0060661E">
        <w:rPr>
          <w:rFonts w:ascii="Times New Roman" w:eastAsia="Times New Roman" w:hAnsi="Times New Roman" w:cs="Times New Roman"/>
          <w:lang w:val="en-GB"/>
        </w:rPr>
        <w:t>last ozone exposure. Discrete Ru nuclei are observed on SiO</w:t>
      </w:r>
      <w:r w:rsidR="0060661E" w:rsidRPr="0060661E">
        <w:rPr>
          <w:rFonts w:ascii="Times New Roman" w:eastAsia="Times New Roman" w:hAnsi="Times New Roman" w:cs="Times New Roman"/>
          <w:vertAlign w:val="subscript"/>
          <w:lang w:val="en-GB"/>
        </w:rPr>
        <w:t>2</w:t>
      </w:r>
      <w:r w:rsidR="0060661E">
        <w:rPr>
          <w:rFonts w:ascii="Times New Roman" w:eastAsia="Times New Roman" w:hAnsi="Times New Roman" w:cs="Times New Roman"/>
          <w:lang w:val="en-GB"/>
        </w:rPr>
        <w:t xml:space="preserve"> prior to ozone treatment and are completely removed after ozone exposure.</w:t>
      </w:r>
    </w:p>
    <w:p w14:paraId="413E66C2" w14:textId="404D009C" w:rsidR="008B1201" w:rsidRDefault="008B1201">
      <w:pPr>
        <w:spacing w:after="160" w:line="259" w:lineRule="auto"/>
        <w:jc w:val="both"/>
        <w:rPr>
          <w:rFonts w:ascii="Times New Roman" w:eastAsia="Times New Roman" w:hAnsi="Times New Roman" w:cs="Times New Roman"/>
          <w:lang w:val="en-GB"/>
        </w:rPr>
      </w:pPr>
    </w:p>
    <w:p w14:paraId="2B1E7F00" w14:textId="77777777" w:rsidR="00E87F1A" w:rsidRDefault="00E87F1A">
      <w:pPr>
        <w:spacing w:after="160" w:line="259" w:lineRule="auto"/>
        <w:jc w:val="both"/>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64AE9F33" w14:textId="651D2B99" w:rsidR="00573558" w:rsidRPr="005746C2" w:rsidRDefault="002C12A3">
      <w:pPr>
        <w:spacing w:line="480" w:lineRule="auto"/>
        <w:jc w:val="both"/>
        <w:rPr>
          <w:rFonts w:ascii="Times New Roman" w:eastAsia="Times New Roman" w:hAnsi="Times New Roman" w:cs="Times New Roman"/>
          <w:lang w:val="en-GB"/>
        </w:rPr>
      </w:pPr>
      <w:r>
        <w:rPr>
          <w:noProof/>
        </w:rPr>
        <w:lastRenderedPageBreak/>
        <w:drawing>
          <wp:inline distT="0" distB="0" distL="0" distR="0" wp14:anchorId="2B445627" wp14:editId="757A657B">
            <wp:extent cx="6588760" cy="346710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8760" cy="3467100"/>
                    </a:xfrm>
                    <a:prstGeom prst="rect">
                      <a:avLst/>
                    </a:prstGeom>
                  </pic:spPr>
                </pic:pic>
              </a:graphicData>
            </a:graphic>
          </wp:inline>
        </w:drawing>
      </w:r>
    </w:p>
    <w:p w14:paraId="1A1E5214" w14:textId="3CC7C81B" w:rsidR="00573558" w:rsidRPr="005746C2"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Fig. S</w:t>
      </w:r>
      <w:r w:rsidR="008B1201">
        <w:rPr>
          <w:rFonts w:ascii="Times New Roman" w:eastAsia="Times New Roman" w:hAnsi="Times New Roman" w:cs="Times New Roman"/>
          <w:b/>
          <w:lang w:val="en-GB"/>
        </w:rPr>
        <w:t>3</w:t>
      </w:r>
      <w:r w:rsidRPr="005746C2">
        <w:rPr>
          <w:rFonts w:ascii="Times New Roman" w:eastAsia="Times New Roman" w:hAnsi="Times New Roman" w:cs="Times New Roman"/>
          <w:lang w:val="en-GB"/>
        </w:rPr>
        <w:t xml:space="preserve">: </w:t>
      </w:r>
      <w:r w:rsidRPr="005746C2">
        <w:rPr>
          <w:rFonts w:ascii="Times New Roman" w:eastAsia="Times New Roman" w:hAnsi="Times New Roman" w:cs="Times New Roman"/>
          <w:b/>
          <w:lang w:val="en-GB"/>
        </w:rPr>
        <w:t>Bottom-up gap filling across extended pattern areas and different sizes.</w:t>
      </w:r>
    </w:p>
    <w:p w14:paraId="183F87FC" w14:textId="57548F4C" w:rsidR="00573558"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sidRPr="002C12A3">
        <w:rPr>
          <w:rFonts w:ascii="Times New Roman" w:eastAsia="Times New Roman" w:hAnsi="Times New Roman" w:cs="Times New Roman"/>
          <w:b/>
          <w:bCs/>
          <w:lang w:val="en-GB"/>
        </w:rPr>
        <w:t>–</w:t>
      </w:r>
      <w:r w:rsidRPr="005746C2">
        <w:rPr>
          <w:rFonts w:ascii="Times New Roman" w:eastAsia="Times New Roman" w:hAnsi="Times New Roman" w:cs="Times New Roman"/>
          <w:b/>
          <w:lang w:val="en-GB"/>
        </w:rPr>
        <w:t>c</w:t>
      </w:r>
      <w:r w:rsidRPr="005746C2">
        <w:rPr>
          <w:rFonts w:ascii="Times New Roman" w:eastAsia="Times New Roman" w:hAnsi="Times New Roman" w:cs="Times New Roman"/>
          <w:lang w:val="en-GB"/>
        </w:rPr>
        <w:t>, Cross-sectional TEM images of dense arrays of 20 nm CD features at the early (</w:t>
      </w:r>
      <w:r w:rsidRPr="005746C2">
        <w:rPr>
          <w:rFonts w:ascii="Times New Roman" w:eastAsia="Times New Roman" w:hAnsi="Times New Roman" w:cs="Times New Roman"/>
          <w:b/>
          <w:lang w:val="en-GB"/>
        </w:rPr>
        <w:t>d</w:t>
      </w:r>
      <w:r w:rsidRPr="005746C2">
        <w:rPr>
          <w:rFonts w:ascii="Times New Roman" w:eastAsia="Times New Roman" w:hAnsi="Times New Roman" w:cs="Times New Roman"/>
          <w:lang w:val="en-GB"/>
        </w:rPr>
        <w:t>), intermediate (</w:t>
      </w:r>
      <w:r w:rsidRPr="005746C2">
        <w:rPr>
          <w:rFonts w:ascii="Times New Roman" w:eastAsia="Times New Roman" w:hAnsi="Times New Roman" w:cs="Times New Roman"/>
          <w:b/>
          <w:lang w:val="en-GB"/>
        </w:rPr>
        <w:t>e</w:t>
      </w:r>
      <w:r w:rsidRPr="005746C2">
        <w:rPr>
          <w:rFonts w:ascii="Times New Roman" w:eastAsia="Times New Roman" w:hAnsi="Times New Roman" w:cs="Times New Roman"/>
          <w:lang w:val="en-GB"/>
        </w:rPr>
        <w:t>), and near-complete (</w:t>
      </w:r>
      <w:r w:rsidRPr="005746C2">
        <w:rPr>
          <w:rFonts w:ascii="Times New Roman" w:eastAsia="Times New Roman" w:hAnsi="Times New Roman" w:cs="Times New Roman"/>
          <w:b/>
          <w:lang w:val="en-GB"/>
        </w:rPr>
        <w:t>f</w:t>
      </w:r>
      <w:r w:rsidRPr="005746C2">
        <w:rPr>
          <w:rFonts w:ascii="Times New Roman" w:eastAsia="Times New Roman" w:hAnsi="Times New Roman" w:cs="Times New Roman"/>
          <w:lang w:val="en-GB"/>
        </w:rPr>
        <w:t xml:space="preserve">) stages. In both cases, Ru growth initiates from the bottom and progresses upward while suppressing sidewall nucleation, resulting in seamless filling without void formation. </w:t>
      </w:r>
      <w:r w:rsidRPr="005746C2">
        <w:rPr>
          <w:rFonts w:ascii="Times New Roman" w:eastAsia="Times New Roman" w:hAnsi="Times New Roman" w:cs="Times New Roman"/>
          <w:b/>
          <w:lang w:val="en-GB"/>
        </w:rPr>
        <w:t>d</w:t>
      </w:r>
      <w:r w:rsidRPr="002C12A3">
        <w:rPr>
          <w:rFonts w:ascii="Times New Roman" w:eastAsia="Times New Roman" w:hAnsi="Times New Roman" w:cs="Times New Roman"/>
          <w:b/>
          <w:bCs/>
          <w:lang w:val="en-GB"/>
        </w:rPr>
        <w:t>–</w:t>
      </w:r>
      <w:r w:rsidRPr="005746C2">
        <w:rPr>
          <w:rFonts w:ascii="Times New Roman" w:eastAsia="Times New Roman" w:hAnsi="Times New Roman" w:cs="Times New Roman"/>
          <w:b/>
          <w:lang w:val="en-GB"/>
        </w:rPr>
        <w:t>f</w:t>
      </w:r>
      <w:r w:rsidR="00414037" w:rsidRPr="002C12A3">
        <w:rPr>
          <w:rFonts w:ascii="Times New Roman" w:eastAsia="Times New Roman" w:hAnsi="Times New Roman" w:cs="Times New Roman"/>
          <w:bCs/>
          <w:lang w:val="en-GB"/>
        </w:rPr>
        <w:t>,</w:t>
      </w:r>
      <w:r w:rsidRPr="005746C2">
        <w:rPr>
          <w:rFonts w:ascii="Times New Roman" w:eastAsia="Times New Roman" w:hAnsi="Times New Roman" w:cs="Times New Roman"/>
          <w:lang w:val="en-GB"/>
        </w:rPr>
        <w:t xml:space="preserve"> Cross-sectional TEM images of the Ru bottom-up gap filled with CDs of approximately 70, 30, and 20 nm. The consistent filling behaviour observed across extended areas and multiple features confirms that the bottom-up growth mechanism is highly reproducible and maintained across spatial and varying feature-sized scales.</w:t>
      </w:r>
    </w:p>
    <w:p w14:paraId="620A2821" w14:textId="3AB26BCE" w:rsidR="008B1201" w:rsidRDefault="008B1201">
      <w:pPr>
        <w:spacing w:after="160" w:line="259"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br w:type="page"/>
      </w:r>
    </w:p>
    <w:p w14:paraId="1841260C" w14:textId="3148E760" w:rsidR="004A18E9" w:rsidRDefault="004A18E9" w:rsidP="004A18E9">
      <w:pPr>
        <w:spacing w:line="480" w:lineRule="auto"/>
        <w:jc w:val="both"/>
        <w:rPr>
          <w:rFonts w:ascii="Times New Roman" w:eastAsia="맑은 고딕" w:hAnsi="Times New Roman" w:cs="Times New Roman"/>
          <w:lang w:val="en-GB"/>
        </w:rPr>
      </w:pPr>
      <w:r w:rsidRPr="004A18E9">
        <w:rPr>
          <w:rFonts w:ascii="Times New Roman" w:eastAsia="맑은 고딕" w:hAnsi="Times New Roman" w:cs="Times New Roman"/>
          <w:lang w:val="en-GB"/>
        </w:rPr>
        <w:lastRenderedPageBreak/>
        <w:t>To evaluate the long-term stability of the selective growth mechanism, OC-ASD was performed for up to 3000 cycles on substrates containing both Ru and SiO₂ surfaces. Cross-sectional SEM images acquired from Ru regions show a continuous increase in film thickness with increasing cycle number, confirming sustained net Ru growth throughout the deposition process (Fig. S</w:t>
      </w:r>
      <w:r>
        <w:rPr>
          <w:rFonts w:ascii="Times New Roman" w:eastAsia="맑은 고딕" w:hAnsi="Times New Roman" w:cs="Times New Roman"/>
          <w:lang w:val="en-GB"/>
        </w:rPr>
        <w:t>4</w:t>
      </w:r>
      <w:r w:rsidRPr="004A18E9">
        <w:rPr>
          <w:rFonts w:ascii="Times New Roman" w:eastAsia="맑은 고딕" w:hAnsi="Times New Roman" w:cs="Times New Roman"/>
          <w:lang w:val="en-GB"/>
        </w:rPr>
        <w:t>a–d).</w:t>
      </w:r>
    </w:p>
    <w:p w14:paraId="5E7DA2D3" w14:textId="62AF95B2" w:rsidR="004A18E9" w:rsidRDefault="004A18E9" w:rsidP="004A18E9">
      <w:pPr>
        <w:spacing w:line="480" w:lineRule="auto"/>
        <w:jc w:val="both"/>
        <w:rPr>
          <w:rFonts w:ascii="Times New Roman" w:eastAsia="맑은 고딕" w:hAnsi="Times New Roman" w:cs="Times New Roman"/>
          <w:lang w:val="en-GB"/>
        </w:rPr>
      </w:pPr>
      <w:r>
        <w:rPr>
          <w:rFonts w:ascii="Times New Roman" w:eastAsia="맑은 고딕" w:hAnsi="Times New Roman" w:cs="Times New Roman"/>
          <w:lang w:val="en-GB"/>
        </w:rPr>
        <w:tab/>
      </w:r>
      <w:r w:rsidRPr="004A18E9">
        <w:rPr>
          <w:rFonts w:ascii="Times New Roman" w:eastAsia="맑은 고딕" w:hAnsi="Times New Roman" w:cs="Times New Roman"/>
          <w:lang w:val="en-GB"/>
        </w:rPr>
        <w:t>In contrast, STEM analysis of neighbo</w:t>
      </w:r>
      <w:r w:rsidR="00F85009">
        <w:rPr>
          <w:rFonts w:ascii="Times New Roman" w:eastAsia="맑은 고딕" w:hAnsi="Times New Roman" w:cs="Times New Roman"/>
          <w:lang w:val="en-GB"/>
        </w:rPr>
        <w:t>u</w:t>
      </w:r>
      <w:r w:rsidRPr="004A18E9">
        <w:rPr>
          <w:rFonts w:ascii="Times New Roman" w:eastAsia="맑은 고딕" w:hAnsi="Times New Roman" w:cs="Times New Roman"/>
          <w:lang w:val="en-GB"/>
        </w:rPr>
        <w:t>ring SiO₂ regions revealed no detectable Ru nuclei after 600, 1200, 1800, or even 3000 OC-ASD cycles. The absence of parasitic nucleation on SiO₂ despite extensive Ru accumulation on adjacent metallic surfaces demonstrates that the selective-removal mechanism remains effective over prolonged deposition times.</w:t>
      </w:r>
      <w:r>
        <w:rPr>
          <w:rFonts w:ascii="Times New Roman" w:eastAsia="맑은 고딕" w:hAnsi="Times New Roman" w:cs="Times New Roman"/>
          <w:lang w:val="en-GB"/>
        </w:rPr>
        <w:t xml:space="preserve"> </w:t>
      </w:r>
      <w:r w:rsidRPr="004A18E9">
        <w:rPr>
          <w:rFonts w:ascii="Times New Roman" w:eastAsia="맑은 고딕" w:hAnsi="Times New Roman" w:cs="Times New Roman"/>
          <w:lang w:val="en-GB"/>
        </w:rPr>
        <w:t>These observations provide experimental support for the mechanism proposed in Fig. 1</w:t>
      </w:r>
      <w:r>
        <w:rPr>
          <w:rFonts w:ascii="Times New Roman" w:eastAsia="맑은 고딕" w:hAnsi="Times New Roman" w:cs="Times New Roman"/>
          <w:lang w:val="en-GB"/>
        </w:rPr>
        <w:t>e</w:t>
      </w:r>
      <w:r w:rsidRPr="004A18E9">
        <w:rPr>
          <w:rFonts w:ascii="Times New Roman" w:eastAsia="맑은 고딕" w:hAnsi="Times New Roman" w:cs="Times New Roman"/>
          <w:lang w:val="en-GB"/>
        </w:rPr>
        <w:t>, whereby periodic ozone exposure continuously eliminates incipient Ru nuclei on dielectric surfaces while maintaining net growth on Ru. The persistence of this behavio</w:t>
      </w:r>
      <w:r w:rsidR="00F85009">
        <w:rPr>
          <w:rFonts w:ascii="Times New Roman" w:eastAsia="맑은 고딕" w:hAnsi="Times New Roman" w:cs="Times New Roman"/>
          <w:lang w:val="en-GB"/>
        </w:rPr>
        <w:t>u</w:t>
      </w:r>
      <w:r w:rsidRPr="004A18E9">
        <w:rPr>
          <w:rFonts w:ascii="Times New Roman" w:eastAsia="맑은 고딕" w:hAnsi="Times New Roman" w:cs="Times New Roman"/>
          <w:lang w:val="en-GB"/>
        </w:rPr>
        <w:t>r over 3000 cycles confirms that OC-ASD is not limited to early-stage nucleation control but can sustain high growth selectivity throughout extended film deposition.</w:t>
      </w:r>
    </w:p>
    <w:p w14:paraId="69DE944D" w14:textId="0927FF66" w:rsidR="008B1201" w:rsidRDefault="008B1201">
      <w:pPr>
        <w:spacing w:line="480" w:lineRule="auto"/>
        <w:jc w:val="both"/>
        <w:rPr>
          <w:rFonts w:ascii="Times New Roman" w:eastAsia="맑은 고딕" w:hAnsi="Times New Roman" w:cs="Times New Roman"/>
          <w:lang w:val="en-GB"/>
        </w:rPr>
      </w:pPr>
      <w:r>
        <w:rPr>
          <w:noProof/>
        </w:rPr>
        <w:drawing>
          <wp:inline distT="0" distB="0" distL="0" distR="0" wp14:anchorId="56680E11" wp14:editId="408B1605">
            <wp:extent cx="6588760" cy="1863090"/>
            <wp:effectExtent l="0" t="0" r="2540" b="381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88760" cy="1863090"/>
                    </a:xfrm>
                    <a:prstGeom prst="rect">
                      <a:avLst/>
                    </a:prstGeom>
                  </pic:spPr>
                </pic:pic>
              </a:graphicData>
            </a:graphic>
          </wp:inline>
        </w:drawing>
      </w:r>
    </w:p>
    <w:p w14:paraId="04D7F243" w14:textId="7B2E1053" w:rsidR="004A18E9" w:rsidRPr="004A18E9" w:rsidRDefault="008B1201" w:rsidP="004A18E9">
      <w:pPr>
        <w:spacing w:line="480" w:lineRule="auto"/>
        <w:jc w:val="both"/>
        <w:rPr>
          <w:rFonts w:ascii="Times New Roman" w:eastAsia="맑은 고딕" w:hAnsi="Times New Roman" w:cs="Times New Roman"/>
        </w:rPr>
      </w:pPr>
      <w:r w:rsidRPr="005746C2">
        <w:rPr>
          <w:rFonts w:ascii="Times New Roman" w:eastAsia="Times New Roman" w:hAnsi="Times New Roman" w:cs="Times New Roman"/>
          <w:b/>
          <w:lang w:val="en-GB"/>
        </w:rPr>
        <w:t>Fig. S</w:t>
      </w:r>
      <w:r>
        <w:rPr>
          <w:rFonts w:ascii="Times New Roman" w:eastAsia="Times New Roman" w:hAnsi="Times New Roman" w:cs="Times New Roman"/>
          <w:b/>
          <w:lang w:val="en-GB"/>
        </w:rPr>
        <w:t>4</w:t>
      </w:r>
      <w:r w:rsidRPr="005746C2">
        <w:rPr>
          <w:rFonts w:ascii="Times New Roman" w:eastAsia="Times New Roman" w:hAnsi="Times New Roman" w:cs="Times New Roman"/>
          <w:lang w:val="en-GB"/>
        </w:rPr>
        <w:t xml:space="preserve">: </w:t>
      </w:r>
      <w:r w:rsidR="004A18E9" w:rsidRPr="004A18E9">
        <w:rPr>
          <w:rFonts w:ascii="Times New Roman" w:eastAsia="맑은 고딕" w:hAnsi="Times New Roman" w:cs="Times New Roman"/>
          <w:b/>
        </w:rPr>
        <w:t>Sustained growth selectivity during extended OC-ASD cycling.</w:t>
      </w:r>
    </w:p>
    <w:p w14:paraId="7185E423" w14:textId="19F642A5" w:rsidR="008B1201" w:rsidRPr="004A18E9" w:rsidRDefault="004A18E9" w:rsidP="004A18E9">
      <w:pPr>
        <w:spacing w:line="480" w:lineRule="auto"/>
        <w:jc w:val="both"/>
        <w:rPr>
          <w:rFonts w:ascii="Times New Roman" w:eastAsia="맑은 고딕" w:hAnsi="Times New Roman" w:cs="Times New Roman"/>
        </w:rPr>
      </w:pPr>
      <w:r w:rsidRPr="004A18E9">
        <w:rPr>
          <w:rFonts w:ascii="Times New Roman" w:eastAsia="맑은 고딕" w:hAnsi="Times New Roman" w:cs="Times New Roman"/>
          <w:b/>
        </w:rPr>
        <w:t>a–d</w:t>
      </w:r>
      <w:r w:rsidRPr="004A18E9">
        <w:rPr>
          <w:rFonts w:ascii="Times New Roman" w:eastAsia="맑은 고딕" w:hAnsi="Times New Roman" w:cs="Times New Roman"/>
        </w:rPr>
        <w:t>, Cross-sectional SEM images of Ru films grown on an initial ~8.8 nm Ru layer after 600 (</w:t>
      </w:r>
      <w:r w:rsidRPr="004A18E9">
        <w:rPr>
          <w:rFonts w:ascii="Times New Roman" w:eastAsia="맑은 고딕" w:hAnsi="Times New Roman" w:cs="Times New Roman"/>
          <w:b/>
        </w:rPr>
        <w:t>a</w:t>
      </w:r>
      <w:r w:rsidRPr="004A18E9">
        <w:rPr>
          <w:rFonts w:ascii="Times New Roman" w:eastAsia="맑은 고딕" w:hAnsi="Times New Roman" w:cs="Times New Roman"/>
        </w:rPr>
        <w:t>), 1200 (</w:t>
      </w:r>
      <w:r w:rsidRPr="004A18E9">
        <w:rPr>
          <w:rFonts w:ascii="Times New Roman" w:eastAsia="맑은 고딕" w:hAnsi="Times New Roman" w:cs="Times New Roman"/>
          <w:b/>
        </w:rPr>
        <w:t>b</w:t>
      </w:r>
      <w:r w:rsidRPr="004A18E9">
        <w:rPr>
          <w:rFonts w:ascii="Times New Roman" w:eastAsia="맑은 고딕" w:hAnsi="Times New Roman" w:cs="Times New Roman"/>
        </w:rPr>
        <w:t>), 1800 (</w:t>
      </w:r>
      <w:r w:rsidRPr="004A18E9">
        <w:rPr>
          <w:rFonts w:ascii="Times New Roman" w:eastAsia="맑은 고딕" w:hAnsi="Times New Roman" w:cs="Times New Roman"/>
          <w:b/>
        </w:rPr>
        <w:t>c</w:t>
      </w:r>
      <w:r w:rsidRPr="004A18E9">
        <w:rPr>
          <w:rFonts w:ascii="Times New Roman" w:eastAsia="맑은 고딕" w:hAnsi="Times New Roman" w:cs="Times New Roman"/>
        </w:rPr>
        <w:t>), and 3000 (</w:t>
      </w:r>
      <w:r w:rsidRPr="004A18E9">
        <w:rPr>
          <w:rFonts w:ascii="Times New Roman" w:eastAsia="맑은 고딕" w:hAnsi="Times New Roman" w:cs="Times New Roman"/>
          <w:b/>
        </w:rPr>
        <w:t>d</w:t>
      </w:r>
      <w:r w:rsidRPr="004A18E9">
        <w:rPr>
          <w:rFonts w:ascii="Times New Roman" w:eastAsia="맑은 고딕" w:hAnsi="Times New Roman" w:cs="Times New Roman"/>
        </w:rPr>
        <w:t>) cycles of OC-ASD. The Ru thickness continuously increases with cycle number, indicating sustained net growth on the metallic surface. Corresponding STEM images acquired from adjacent SiO₂ regions are shown below each SEM image. No detectable Ru nuclei are observed on SiO₂ even after 3000 OC-ASD cycles, demonstrating persistent suppression of dielectric nucleation throughout extended deposition.</w:t>
      </w:r>
    </w:p>
    <w:p w14:paraId="23C9CFA8" w14:textId="4BFAE47D" w:rsidR="00573558" w:rsidRPr="005746C2" w:rsidRDefault="008B1201" w:rsidP="00E87F1A">
      <w:pPr>
        <w:spacing w:after="160" w:line="259" w:lineRule="auto"/>
        <w:jc w:val="both"/>
        <w:rPr>
          <w:rFonts w:ascii="Times New Roman" w:eastAsia="Times New Roman" w:hAnsi="Times New Roman" w:cs="Times New Roman"/>
          <w:lang w:val="en-GB"/>
        </w:rPr>
      </w:pPr>
      <w:r>
        <w:rPr>
          <w:rFonts w:ascii="Times New Roman" w:eastAsia="Times New Roman" w:hAnsi="Times New Roman" w:cs="Times New Roman"/>
          <w:lang w:val="en-GB"/>
        </w:rPr>
        <w:br w:type="page"/>
      </w:r>
      <w:r w:rsidR="007A5B99">
        <w:rPr>
          <w:noProof/>
        </w:rPr>
        <w:lastRenderedPageBreak/>
        <w:drawing>
          <wp:inline distT="0" distB="0" distL="0" distR="0" wp14:anchorId="770318F5" wp14:editId="6132534A">
            <wp:extent cx="6588760" cy="3670300"/>
            <wp:effectExtent l="0" t="0" r="254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8760" cy="3670300"/>
                    </a:xfrm>
                    <a:prstGeom prst="rect">
                      <a:avLst/>
                    </a:prstGeom>
                  </pic:spPr>
                </pic:pic>
              </a:graphicData>
            </a:graphic>
          </wp:inline>
        </w:drawing>
      </w:r>
    </w:p>
    <w:p w14:paraId="103019BB" w14:textId="2F864BBF" w:rsidR="00573558" w:rsidRPr="005746C2" w:rsidRDefault="00330520">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b/>
          <w:lang w:val="en-GB"/>
        </w:rPr>
        <w:t>Fig. S</w:t>
      </w:r>
      <w:r w:rsidR="008B1201">
        <w:rPr>
          <w:rFonts w:ascii="Times New Roman" w:eastAsia="Times New Roman" w:hAnsi="Times New Roman" w:cs="Times New Roman"/>
          <w:b/>
          <w:lang w:val="en-GB"/>
        </w:rPr>
        <w:t>5</w:t>
      </w:r>
      <w:r w:rsidRPr="005746C2">
        <w:rPr>
          <w:rFonts w:ascii="Times New Roman" w:eastAsia="Times New Roman" w:hAnsi="Times New Roman" w:cs="Times New Roman"/>
          <w:lang w:val="en-GB"/>
        </w:rPr>
        <w:t xml:space="preserve">: </w:t>
      </w:r>
      <w:r w:rsidRPr="005746C2">
        <w:rPr>
          <w:rFonts w:ascii="Times New Roman" w:eastAsia="Times New Roman" w:hAnsi="Times New Roman" w:cs="Times New Roman"/>
          <w:b/>
          <w:lang w:val="en-GB"/>
        </w:rPr>
        <w:t>Structural evolution associated with orientation-preserving bottom-up Ru growth.</w:t>
      </w:r>
    </w:p>
    <w:p w14:paraId="2057C92B" w14:textId="02631E19" w:rsidR="00573558" w:rsidRPr="005746C2" w:rsidRDefault="00240A14">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sidRPr="002E2CCD">
        <w:rPr>
          <w:rFonts w:ascii="Times New Roman" w:eastAsia="Times New Roman" w:hAnsi="Times New Roman" w:cs="Times New Roman"/>
          <w:lang w:val="en-GB"/>
        </w:rPr>
        <w:t>,</w:t>
      </w:r>
      <w:r w:rsidRPr="005746C2">
        <w:rPr>
          <w:rFonts w:ascii="Times New Roman" w:eastAsia="Times New Roman" w:hAnsi="Times New Roman" w:cs="Times New Roman"/>
          <w:b/>
          <w:lang w:val="en-GB"/>
        </w:rPr>
        <w:t>b</w:t>
      </w:r>
      <w:r w:rsidRPr="002C12A3">
        <w:rPr>
          <w:rFonts w:ascii="Times New Roman" w:eastAsia="Times New Roman" w:hAnsi="Times New Roman" w:cs="Times New Roman"/>
          <w:bCs/>
          <w:lang w:val="en-GB"/>
        </w:rPr>
        <w:t>,</w:t>
      </w:r>
      <w:r w:rsidRPr="005746C2">
        <w:rPr>
          <w:rFonts w:ascii="Times New Roman" w:eastAsia="Times New Roman" w:hAnsi="Times New Roman" w:cs="Times New Roman"/>
          <w:lang w:val="en-GB"/>
        </w:rPr>
        <w:t xml:space="preserve"> PED orientation maps of the as-deposited Ru film before and after post-annealing</w:t>
      </w:r>
      <w:r>
        <w:rPr>
          <w:rFonts w:ascii="Times New Roman" w:eastAsia="Times New Roman" w:hAnsi="Times New Roman" w:cs="Times New Roman"/>
          <w:lang w:val="en-GB"/>
        </w:rPr>
        <w:t>.</w:t>
      </w:r>
      <w:r w:rsidRPr="005746C2">
        <w:rPr>
          <w:rFonts w:ascii="Times New Roman" w:eastAsia="Times New Roman" w:hAnsi="Times New Roman" w:cs="Times New Roman"/>
          <w:lang w:val="en-GB"/>
        </w:rPr>
        <w:t xml:space="preserve"> The as-deposited film exhibits fine grains with broadly distributed orientations, whereas post-annealing results in substantial grain growth together with the emergence of a strong (0001) alignment.</w:t>
      </w:r>
      <w:r>
        <w:rPr>
          <w:rFonts w:ascii="Times New Roman" w:eastAsia="Times New Roman" w:hAnsi="Times New Roman" w:cs="Times New Roman"/>
          <w:lang w:val="en-GB"/>
        </w:rPr>
        <w:t xml:space="preserve"> </w:t>
      </w:r>
      <w:r w:rsidR="00284B14">
        <w:rPr>
          <w:rFonts w:ascii="Times New Roman" w:eastAsia="Times New Roman" w:hAnsi="Times New Roman" w:cs="Times New Roman"/>
          <w:b/>
          <w:lang w:val="en-GB"/>
        </w:rPr>
        <w:t>c</w:t>
      </w:r>
      <w:r w:rsidR="00330520" w:rsidRPr="002E2CCD">
        <w:rPr>
          <w:rFonts w:ascii="Times New Roman" w:eastAsia="Times New Roman" w:hAnsi="Times New Roman" w:cs="Times New Roman"/>
          <w:lang w:val="en-GB"/>
        </w:rPr>
        <w:t>,</w:t>
      </w:r>
      <w:r w:rsidR="00330520" w:rsidRPr="005746C2">
        <w:rPr>
          <w:rFonts w:ascii="Times New Roman" w:eastAsia="Times New Roman" w:hAnsi="Times New Roman" w:cs="Times New Roman"/>
          <w:lang w:val="en-GB"/>
        </w:rPr>
        <w:t xml:space="preserve"> Plan-view TEM images of the patterned region of the ALD gap-filled structures. </w:t>
      </w:r>
      <w:r w:rsidR="00284B14">
        <w:rPr>
          <w:rFonts w:ascii="Times New Roman" w:eastAsia="Times New Roman" w:hAnsi="Times New Roman" w:cs="Times New Roman"/>
          <w:b/>
          <w:lang w:val="en-GB"/>
        </w:rPr>
        <w:t>d</w:t>
      </w:r>
      <w:r w:rsidR="00330520" w:rsidRPr="002E2CCD">
        <w:rPr>
          <w:rFonts w:ascii="Times New Roman" w:eastAsia="Times New Roman" w:hAnsi="Times New Roman" w:cs="Times New Roman"/>
          <w:lang w:val="en-GB"/>
        </w:rPr>
        <w:t>,</w:t>
      </w:r>
      <w:r w:rsidR="00330520" w:rsidRPr="005746C2">
        <w:rPr>
          <w:rFonts w:ascii="Times New Roman" w:eastAsia="Times New Roman" w:hAnsi="Times New Roman" w:cs="Times New Roman"/>
          <w:lang w:val="en-GB"/>
        </w:rPr>
        <w:t xml:space="preserve"> FFT pattern obtained from the region indicated by the dashed box in (</w:t>
      </w:r>
      <w:r w:rsidR="00284B14">
        <w:rPr>
          <w:rFonts w:ascii="Times New Roman" w:eastAsia="Times New Roman" w:hAnsi="Times New Roman" w:cs="Times New Roman"/>
          <w:b/>
          <w:lang w:val="en-GB"/>
        </w:rPr>
        <w:t>c</w:t>
      </w:r>
      <w:r w:rsidR="00330520" w:rsidRPr="005746C2">
        <w:rPr>
          <w:rFonts w:ascii="Times New Roman" w:eastAsia="Times New Roman" w:hAnsi="Times New Roman" w:cs="Times New Roman"/>
          <w:lang w:val="en-GB"/>
        </w:rPr>
        <w:t>)</w:t>
      </w:r>
      <w:r w:rsidR="002B53B0">
        <w:rPr>
          <w:rFonts w:ascii="Times New Roman" w:eastAsia="Times New Roman" w:hAnsi="Times New Roman" w:cs="Times New Roman"/>
          <w:lang w:val="en-GB"/>
        </w:rPr>
        <w:t>,</w:t>
      </w:r>
      <w:r w:rsidR="00330520" w:rsidRPr="005746C2">
        <w:rPr>
          <w:rFonts w:ascii="Times New Roman" w:eastAsia="Times New Roman" w:hAnsi="Times New Roman" w:cs="Times New Roman"/>
          <w:lang w:val="en-GB"/>
        </w:rPr>
        <w:t xml:space="preserve"> showing diffuse diffraction features characteristic of a polycrystalline structure with multiple orientations. </w:t>
      </w:r>
      <w:r w:rsidR="00284B14">
        <w:rPr>
          <w:rFonts w:ascii="Times New Roman" w:eastAsia="Times New Roman" w:hAnsi="Times New Roman" w:cs="Times New Roman"/>
          <w:b/>
          <w:lang w:val="en-GB"/>
        </w:rPr>
        <w:t>e</w:t>
      </w:r>
      <w:r w:rsidR="00330520" w:rsidRPr="002E2CCD">
        <w:rPr>
          <w:rFonts w:ascii="Times New Roman" w:eastAsia="Times New Roman" w:hAnsi="Times New Roman" w:cs="Times New Roman"/>
          <w:lang w:val="en-GB"/>
        </w:rPr>
        <w:t>,</w:t>
      </w:r>
      <w:r w:rsidR="00330520" w:rsidRPr="005746C2">
        <w:rPr>
          <w:rFonts w:ascii="Times New Roman" w:eastAsia="Times New Roman" w:hAnsi="Times New Roman" w:cs="Times New Roman"/>
          <w:lang w:val="en-GB"/>
        </w:rPr>
        <w:t xml:space="preserve"> Plan-view TEM images of the OC-ASD bottom-up field structure. </w:t>
      </w:r>
      <w:r w:rsidR="00284B14">
        <w:rPr>
          <w:rFonts w:ascii="Times New Roman" w:eastAsia="Times New Roman" w:hAnsi="Times New Roman" w:cs="Times New Roman"/>
          <w:b/>
          <w:lang w:val="en-GB"/>
        </w:rPr>
        <w:t>f</w:t>
      </w:r>
      <w:r w:rsidR="00330520" w:rsidRPr="002E2CCD">
        <w:rPr>
          <w:rFonts w:ascii="Times New Roman" w:eastAsia="Times New Roman" w:hAnsi="Times New Roman" w:cs="Times New Roman"/>
          <w:lang w:val="en-GB"/>
        </w:rPr>
        <w:t>,</w:t>
      </w:r>
      <w:r w:rsidR="00330520" w:rsidRPr="005746C2">
        <w:rPr>
          <w:rFonts w:ascii="Times New Roman" w:eastAsia="Times New Roman" w:hAnsi="Times New Roman" w:cs="Times New Roman"/>
          <w:lang w:val="en-GB"/>
        </w:rPr>
        <w:t xml:space="preserve"> Corresponding FFT pattern obtained from the patterned region in (</w:t>
      </w:r>
      <w:r w:rsidR="00284B14">
        <w:rPr>
          <w:rFonts w:ascii="Times New Roman" w:eastAsia="Times New Roman" w:hAnsi="Times New Roman" w:cs="Times New Roman"/>
          <w:b/>
          <w:lang w:val="en-GB"/>
        </w:rPr>
        <w:t>e</w:t>
      </w:r>
      <w:r w:rsidR="00330520" w:rsidRPr="005746C2">
        <w:rPr>
          <w:rFonts w:ascii="Times New Roman" w:eastAsia="Times New Roman" w:hAnsi="Times New Roman" w:cs="Times New Roman"/>
          <w:lang w:val="en-GB"/>
        </w:rPr>
        <w:t>), exhibiting a well-defined six-fold symmetric diffraction pattern consistent with a (0001)-oriented, single-crystal-like structure.</w:t>
      </w:r>
    </w:p>
    <w:p w14:paraId="62CD2CDE" w14:textId="77777777" w:rsidR="00573558" w:rsidRPr="005746C2" w:rsidRDefault="00573558">
      <w:pPr>
        <w:spacing w:line="480" w:lineRule="auto"/>
        <w:jc w:val="both"/>
        <w:rPr>
          <w:rFonts w:ascii="Times New Roman" w:eastAsia="Times New Roman" w:hAnsi="Times New Roman" w:cs="Times New Roman"/>
          <w:lang w:val="en-GB"/>
        </w:rPr>
      </w:pPr>
    </w:p>
    <w:p w14:paraId="0AC94284" w14:textId="77777777" w:rsidR="008B1201" w:rsidRDefault="008B1201">
      <w:pPr>
        <w:spacing w:after="160" w:line="259" w:lineRule="auto"/>
        <w:jc w:val="both"/>
        <w:rPr>
          <w:rFonts w:ascii="Times New Roman" w:eastAsia="맑은 고딕" w:hAnsi="Times New Roman" w:cs="Times New Roman"/>
          <w:lang w:val="en-GB"/>
        </w:rPr>
      </w:pPr>
      <w:r>
        <w:rPr>
          <w:rFonts w:ascii="Times New Roman" w:eastAsia="맑은 고딕" w:hAnsi="Times New Roman" w:cs="Times New Roman"/>
          <w:lang w:val="en-GB"/>
        </w:rPr>
        <w:br w:type="page"/>
      </w:r>
    </w:p>
    <w:p w14:paraId="7B5AEED7" w14:textId="1991D5F1" w:rsidR="004878BB" w:rsidRPr="006674DF" w:rsidRDefault="004878BB">
      <w:pPr>
        <w:spacing w:line="480" w:lineRule="auto"/>
        <w:jc w:val="both"/>
        <w:rPr>
          <w:rFonts w:ascii="Times New Roman" w:eastAsia="맑은 고딕" w:hAnsi="Times New Roman" w:cs="Times New Roman"/>
          <w:lang w:val="en-GB"/>
        </w:rPr>
      </w:pPr>
      <w:r>
        <w:rPr>
          <w:rFonts w:ascii="Times New Roman" w:eastAsia="맑은 고딕" w:hAnsi="Times New Roman" w:cs="Times New Roman" w:hint="eastAsia"/>
          <w:lang w:val="en-GB"/>
        </w:rPr>
        <w:lastRenderedPageBreak/>
        <w:t>T</w:t>
      </w:r>
      <w:r>
        <w:rPr>
          <w:rFonts w:ascii="Times New Roman" w:eastAsia="맑은 고딕" w:hAnsi="Times New Roman" w:cs="Times New Roman"/>
          <w:lang w:val="en-GB"/>
        </w:rPr>
        <w:t>o further verify the crystallographic orientation of the OC-ASD-filled structures, NBD patterns were acquired from multiple locations within both cross-sectional and plain-view specimens. Representative diffraction patterns are shown in Supplementary Fig. S4 together with corresponding simulations.</w:t>
      </w:r>
    </w:p>
    <w:p w14:paraId="58C1F4BA" w14:textId="6310174E" w:rsidR="004878BB" w:rsidRDefault="004878BB" w:rsidP="006674DF">
      <w:pPr>
        <w:spacing w:line="480" w:lineRule="auto"/>
        <w:ind w:firstLine="799"/>
        <w:jc w:val="both"/>
        <w:rPr>
          <w:rFonts w:ascii="Times New Roman" w:eastAsia="Times New Roman" w:hAnsi="Times New Roman" w:cs="Times New Roman"/>
          <w:lang w:val="en-GB"/>
        </w:rPr>
      </w:pPr>
      <w:r w:rsidRPr="00DC2368">
        <w:rPr>
          <w:rFonts w:ascii="Times New Roman" w:eastAsia="Times New Roman" w:hAnsi="Times New Roman" w:cs="Times New Roman"/>
          <w:lang w:val="en-GB"/>
        </w:rPr>
        <w:t>The diffraction patterns obtained from representative regions (Regions 1–3 in Fig. S4) show</w:t>
      </w:r>
      <w:r>
        <w:rPr>
          <w:rFonts w:ascii="Times New Roman" w:eastAsia="Times New Roman" w:hAnsi="Times New Roman" w:cs="Times New Roman"/>
          <w:lang w:val="en-GB"/>
        </w:rPr>
        <w:t>ed</w:t>
      </w:r>
      <w:r w:rsidRPr="00DC2368">
        <w:rPr>
          <w:rFonts w:ascii="Times New Roman" w:eastAsia="Times New Roman" w:hAnsi="Times New Roman" w:cs="Times New Roman"/>
          <w:lang w:val="en-GB"/>
        </w:rPr>
        <w:t xml:space="preserve"> excellent agreement with simulated patterns, confirming the crystallographic a</w:t>
      </w:r>
      <w:r>
        <w:rPr>
          <w:rFonts w:ascii="Times New Roman" w:eastAsia="Times New Roman" w:hAnsi="Times New Roman" w:cs="Times New Roman"/>
          <w:lang w:val="en-GB"/>
        </w:rPr>
        <w:t>lignmen</w:t>
      </w:r>
      <w:r w:rsidRPr="00DC2368">
        <w:rPr>
          <w:rFonts w:ascii="Times New Roman" w:eastAsia="Times New Roman" w:hAnsi="Times New Roman" w:cs="Times New Roman"/>
          <w:lang w:val="en-GB"/>
        </w:rPr>
        <w:t>t. In cross-sectional regions (Regions 1 and 2), the diffraction patterns exhibit</w:t>
      </w:r>
      <w:r>
        <w:rPr>
          <w:rFonts w:ascii="Times New Roman" w:eastAsia="Times New Roman" w:hAnsi="Times New Roman" w:cs="Times New Roman"/>
          <w:lang w:val="en-GB"/>
        </w:rPr>
        <w:t>ed</w:t>
      </w:r>
      <w:r w:rsidRPr="00DC2368">
        <w:rPr>
          <w:rFonts w:ascii="Times New Roman" w:eastAsia="Times New Roman" w:hAnsi="Times New Roman" w:cs="Times New Roman"/>
          <w:lang w:val="en-GB"/>
        </w:rPr>
        <w:t xml:space="preserve"> slight angular deviations from the surface normal but remain</w:t>
      </w:r>
      <w:r>
        <w:rPr>
          <w:rFonts w:ascii="Times New Roman" w:eastAsia="Times New Roman" w:hAnsi="Times New Roman" w:cs="Times New Roman"/>
          <w:lang w:val="en-GB"/>
        </w:rPr>
        <w:t>ed</w:t>
      </w:r>
      <w:r w:rsidRPr="00DC2368">
        <w:rPr>
          <w:rFonts w:ascii="Times New Roman" w:eastAsia="Times New Roman" w:hAnsi="Times New Roman" w:cs="Times New Roman"/>
          <w:lang w:val="en-GB"/>
        </w:rPr>
        <w:t xml:space="preserve"> closely aligned with (0001). In the plan-view configuration (Region 3, Supplementary Fig. S4c), a clear six-fold symmetric diffraction pattern—characteristic of the basal plane of hexagonal close-packed Ru—</w:t>
      </w:r>
      <w:r>
        <w:rPr>
          <w:rFonts w:ascii="Times New Roman" w:eastAsia="Times New Roman" w:hAnsi="Times New Roman" w:cs="Times New Roman"/>
          <w:lang w:val="en-GB"/>
        </w:rPr>
        <w:t>wa</w:t>
      </w:r>
      <w:r w:rsidRPr="00DC2368">
        <w:rPr>
          <w:rFonts w:ascii="Times New Roman" w:eastAsia="Times New Roman" w:hAnsi="Times New Roman" w:cs="Times New Roman"/>
          <w:lang w:val="en-GB"/>
        </w:rPr>
        <w:t>s observed, further confirming the (0001) orientation.</w:t>
      </w:r>
    </w:p>
    <w:p w14:paraId="743F2DF7" w14:textId="4C9DB1FC" w:rsidR="00573558" w:rsidRPr="005746C2" w:rsidRDefault="00330520">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noProof/>
        </w:rPr>
        <w:drawing>
          <wp:inline distT="0" distB="0" distL="0" distR="0" wp14:anchorId="38ED2B72" wp14:editId="7DA873E0">
            <wp:extent cx="6588760" cy="4050665"/>
            <wp:effectExtent l="0" t="0" r="2540" b="6985"/>
            <wp:docPr id="4"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6588760" cy="4050665"/>
                    </a:xfrm>
                    <a:prstGeom prst="rect">
                      <a:avLst/>
                    </a:prstGeom>
                  </pic:spPr>
                </pic:pic>
              </a:graphicData>
            </a:graphic>
          </wp:inline>
        </w:drawing>
      </w:r>
    </w:p>
    <w:p w14:paraId="36D35D75" w14:textId="1277FF52" w:rsidR="00573558" w:rsidRPr="005746C2" w:rsidRDefault="00330520">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b/>
          <w:lang w:val="en-GB"/>
        </w:rPr>
        <w:t>Fig. S</w:t>
      </w:r>
      <w:r w:rsidR="008B1201">
        <w:rPr>
          <w:rFonts w:ascii="Times New Roman" w:eastAsia="Times New Roman" w:hAnsi="Times New Roman" w:cs="Times New Roman"/>
          <w:b/>
          <w:lang w:val="en-GB"/>
        </w:rPr>
        <w:t>6</w:t>
      </w:r>
      <w:r w:rsidRPr="005746C2">
        <w:rPr>
          <w:rFonts w:ascii="Times New Roman" w:eastAsia="Times New Roman" w:hAnsi="Times New Roman" w:cs="Times New Roman"/>
          <w:b/>
          <w:lang w:val="en-GB"/>
        </w:rPr>
        <w:t>: NBD analysis confirms crystallographic orientation and local lattice coherence in OC-ASD-filled structures.</w:t>
      </w:r>
    </w:p>
    <w:p w14:paraId="65B52DBD" w14:textId="7FA21C0C" w:rsidR="00573558" w:rsidRPr="005746C2"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sidRPr="005746C2">
        <w:rPr>
          <w:rFonts w:ascii="Times New Roman" w:eastAsia="Times New Roman" w:hAnsi="Times New Roman" w:cs="Times New Roman"/>
          <w:lang w:val="en-GB"/>
        </w:rPr>
        <w:t>,</w:t>
      </w:r>
      <w:r w:rsidRPr="005746C2">
        <w:rPr>
          <w:rFonts w:ascii="Times New Roman" w:eastAsia="Times New Roman" w:hAnsi="Times New Roman" w:cs="Times New Roman"/>
          <w:b/>
          <w:lang w:val="en-GB"/>
        </w:rPr>
        <w:t>b</w:t>
      </w:r>
      <w:r w:rsidRPr="005746C2">
        <w:rPr>
          <w:rFonts w:ascii="Times New Roman" w:eastAsia="Times New Roman" w:hAnsi="Times New Roman" w:cs="Times New Roman"/>
          <w:lang w:val="en-GB"/>
        </w:rPr>
        <w:t xml:space="preserve">, NBD patterns acquired from representative cross-sectional regions (Regions 1 and 2) and the corresponding simulated diffraction patterns. The experimental results show excellent agreement with the </w:t>
      </w:r>
      <w:r w:rsidRPr="005746C2">
        <w:rPr>
          <w:rFonts w:ascii="Times New Roman" w:eastAsia="Times New Roman" w:hAnsi="Times New Roman" w:cs="Times New Roman"/>
          <w:lang w:val="en-GB"/>
        </w:rPr>
        <w:lastRenderedPageBreak/>
        <w:t xml:space="preserve">simulations and indicate that despite small angular deviations, the local crystallographic orientation remains close to the (0001) orientation. </w:t>
      </w:r>
      <w:r w:rsidRPr="005746C2">
        <w:rPr>
          <w:rFonts w:ascii="Times New Roman" w:eastAsia="Times New Roman" w:hAnsi="Times New Roman" w:cs="Times New Roman"/>
          <w:b/>
          <w:lang w:val="en-GB"/>
        </w:rPr>
        <w:t>c</w:t>
      </w:r>
      <w:r w:rsidRPr="005746C2">
        <w:rPr>
          <w:rFonts w:ascii="Times New Roman" w:eastAsia="Times New Roman" w:hAnsi="Times New Roman" w:cs="Times New Roman"/>
          <w:lang w:val="en-GB"/>
        </w:rPr>
        <w:t>, Plan-view NBD pattern obtained from Region 3, showing a clear six-fold symmetric diffraction pattern characteristic of the basal plane of hexagonal Ru, confirming (0001) alignment across the filled structure.</w:t>
      </w:r>
    </w:p>
    <w:p w14:paraId="6A72777C" w14:textId="77777777" w:rsidR="004878BB" w:rsidRDefault="004878BB">
      <w:pPr>
        <w:spacing w:after="160" w:line="259" w:lineRule="auto"/>
        <w:jc w:val="both"/>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72A89C80" w14:textId="74869797" w:rsidR="00573558" w:rsidRPr="005746C2"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noProof/>
        </w:rPr>
        <w:lastRenderedPageBreak/>
        <w:drawing>
          <wp:inline distT="0" distB="0" distL="0" distR="0" wp14:anchorId="427252CF" wp14:editId="36DFA18C">
            <wp:extent cx="6588760" cy="1770380"/>
            <wp:effectExtent l="0" t="0" r="2540" b="1270"/>
            <wp:docPr id="5"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a:xfrm>
                      <a:off x="0" y="0"/>
                      <a:ext cx="6588760" cy="1770380"/>
                    </a:xfrm>
                    <a:prstGeom prst="rect">
                      <a:avLst/>
                    </a:prstGeom>
                  </pic:spPr>
                </pic:pic>
              </a:graphicData>
            </a:graphic>
          </wp:inline>
        </w:drawing>
      </w:r>
    </w:p>
    <w:p w14:paraId="4988C978" w14:textId="00500C99" w:rsidR="00573558" w:rsidRPr="005746C2" w:rsidRDefault="00330520">
      <w:pPr>
        <w:spacing w:line="480" w:lineRule="auto"/>
        <w:jc w:val="both"/>
        <w:rPr>
          <w:rFonts w:ascii="Times New Roman" w:eastAsia="Times New Roman" w:hAnsi="Times New Roman" w:cs="Times New Roman"/>
          <w:b/>
          <w:lang w:val="en-GB"/>
        </w:rPr>
      </w:pPr>
      <w:r w:rsidRPr="005746C2">
        <w:rPr>
          <w:rFonts w:ascii="Times New Roman" w:eastAsia="Times New Roman" w:hAnsi="Times New Roman" w:cs="Times New Roman"/>
          <w:b/>
          <w:lang w:val="en-GB"/>
        </w:rPr>
        <w:t>Fig. S</w:t>
      </w:r>
      <w:r w:rsidR="008B1201">
        <w:rPr>
          <w:rFonts w:ascii="Times New Roman" w:eastAsia="Times New Roman" w:hAnsi="Times New Roman" w:cs="Times New Roman"/>
          <w:b/>
          <w:lang w:val="en-GB"/>
        </w:rPr>
        <w:t>7</w:t>
      </w:r>
      <w:r w:rsidRPr="005746C2">
        <w:rPr>
          <w:rFonts w:ascii="Times New Roman" w:eastAsia="Times New Roman" w:hAnsi="Times New Roman" w:cs="Times New Roman"/>
          <w:b/>
          <w:lang w:val="en-GB"/>
        </w:rPr>
        <w:t>: DFT analysis of facet-dependent adsorption and desorption behavio</w:t>
      </w:r>
      <w:r w:rsidR="005746C2">
        <w:rPr>
          <w:rFonts w:ascii="Times New Roman" w:eastAsia="Times New Roman" w:hAnsi="Times New Roman" w:cs="Times New Roman"/>
          <w:b/>
          <w:lang w:val="en-GB"/>
        </w:rPr>
        <w:t>u</w:t>
      </w:r>
      <w:r w:rsidRPr="005746C2">
        <w:rPr>
          <w:rFonts w:ascii="Times New Roman" w:eastAsia="Times New Roman" w:hAnsi="Times New Roman" w:cs="Times New Roman"/>
          <w:b/>
          <w:lang w:val="en-GB"/>
        </w:rPr>
        <w:t>r on Ru surfaces.</w:t>
      </w:r>
    </w:p>
    <w:p w14:paraId="1FA5DAE2" w14:textId="78074528" w:rsidR="00573558" w:rsidRPr="005746C2" w:rsidRDefault="00330520">
      <w:pPr>
        <w:spacing w:line="480" w:lineRule="auto"/>
        <w:jc w:val="both"/>
        <w:rPr>
          <w:rFonts w:ascii="Times New Roman" w:eastAsia="Times New Roman" w:hAnsi="Times New Roman" w:cs="Times New Roman"/>
          <w:lang w:val="en-GB"/>
        </w:rPr>
      </w:pPr>
      <w:r w:rsidRPr="005746C2">
        <w:rPr>
          <w:rFonts w:ascii="Times New Roman" w:eastAsia="Times New Roman" w:hAnsi="Times New Roman" w:cs="Times New Roman"/>
          <w:b/>
          <w:lang w:val="en-GB"/>
        </w:rPr>
        <w:t>a</w:t>
      </w:r>
      <w:r w:rsidRPr="005746C2">
        <w:rPr>
          <w:rFonts w:ascii="Times New Roman" w:eastAsia="Times New Roman" w:hAnsi="Times New Roman" w:cs="Times New Roman"/>
          <w:lang w:val="en-GB"/>
        </w:rPr>
        <w:t xml:space="preserve">, DFT-calculated adsorption energies of oxygen atoms on the Ru(0001), Ru(1011), and Ru(1010) surfaces. </w:t>
      </w:r>
      <w:r w:rsidRPr="005746C2">
        <w:rPr>
          <w:rFonts w:ascii="Times New Roman" w:eastAsia="Times New Roman" w:hAnsi="Times New Roman" w:cs="Times New Roman"/>
          <w:b/>
          <w:lang w:val="en-GB"/>
        </w:rPr>
        <w:t>b</w:t>
      </w:r>
      <w:r w:rsidRPr="005746C2">
        <w:rPr>
          <w:rFonts w:ascii="Times New Roman" w:eastAsia="Times New Roman" w:hAnsi="Times New Roman" w:cs="Times New Roman"/>
          <w:lang w:val="en-GB"/>
        </w:rPr>
        <w:t>, Optimized structure of RuO</w:t>
      </w:r>
      <w:r w:rsidRPr="005746C2">
        <w:rPr>
          <w:rFonts w:ascii="Times New Roman" w:eastAsia="Times New Roman" w:hAnsi="Times New Roman" w:cs="Times New Roman"/>
          <w:vertAlign w:val="subscript"/>
          <w:lang w:val="en-GB"/>
        </w:rPr>
        <w:t>4</w:t>
      </w:r>
      <w:r w:rsidRPr="005746C2">
        <w:rPr>
          <w:rFonts w:ascii="Times New Roman" w:eastAsia="Times New Roman" w:hAnsi="Times New Roman" w:cs="Times New Roman"/>
          <w:lang w:val="en-GB"/>
        </w:rPr>
        <w:t xml:space="preserve"> desorbed on different Ru facets. Atom colours: Ru (light grey), O</w:t>
      </w:r>
      <w:r w:rsidRPr="005746C2">
        <w:rPr>
          <w:rFonts w:ascii="Times New Roman" w:eastAsia="Times New Roman" w:hAnsi="Times New Roman" w:cs="Times New Roman"/>
          <w:vertAlign w:val="subscript"/>
          <w:lang w:val="en-GB"/>
        </w:rPr>
        <w:t>surface</w:t>
      </w:r>
      <w:r w:rsidRPr="005746C2">
        <w:rPr>
          <w:rFonts w:ascii="Times New Roman" w:eastAsia="Times New Roman" w:hAnsi="Times New Roman" w:cs="Times New Roman"/>
          <w:lang w:val="en-GB"/>
        </w:rPr>
        <w:t xml:space="preserve"> (red), and O</w:t>
      </w:r>
      <w:r w:rsidRPr="005746C2">
        <w:rPr>
          <w:rFonts w:ascii="Times New Roman" w:eastAsia="Times New Roman" w:hAnsi="Times New Roman" w:cs="Times New Roman"/>
          <w:vertAlign w:val="subscript"/>
          <w:lang w:val="en-GB"/>
        </w:rPr>
        <w:t>added</w:t>
      </w:r>
      <w:r w:rsidRPr="005746C2">
        <w:rPr>
          <w:rFonts w:ascii="Times New Roman" w:eastAsia="Times New Roman" w:hAnsi="Times New Roman" w:cs="Times New Roman"/>
          <w:lang w:val="en-GB"/>
        </w:rPr>
        <w:t xml:space="preserve"> (orange).</w:t>
      </w:r>
      <w:bookmarkStart w:id="0" w:name="_GoBack"/>
      <w:bookmarkEnd w:id="0"/>
    </w:p>
    <w:sectPr w:rsidR="00573558" w:rsidRPr="005746C2">
      <w:pgSz w:w="11906" w:h="16838"/>
      <w:pgMar w:top="1701" w:right="765" w:bottom="1440" w:left="765" w:header="851" w:footer="992" w:gutter="0"/>
      <w:cols w:space="4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1A6EB29" w16cex:dateUtc="2026-05-23T15:26:00Z"/>
  <w16cex:commentExtensible w16cex:durableId="391944F9" w16cex:dateUtc="2026-05-23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EEA668" w16cid:durableId="51A6EB29"/>
  <w16cid:commentId w16cid:paraId="4549D135" w16cid:durableId="391944F9"/>
  <w16cid:commentId w16cid:paraId="5E25D1FF" w16cid:durableId="5E25D1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E7743" w14:textId="77777777" w:rsidR="00B4731E" w:rsidRDefault="00B4731E" w:rsidP="00A3505D">
      <w:r>
        <w:separator/>
      </w:r>
    </w:p>
  </w:endnote>
  <w:endnote w:type="continuationSeparator" w:id="0">
    <w:p w14:paraId="31E20CEE" w14:textId="77777777" w:rsidR="00B4731E" w:rsidRDefault="00B4731E" w:rsidP="00A3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Microsoft YaHei"/>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6BC09" w14:textId="77777777" w:rsidR="00B4731E" w:rsidRDefault="00B4731E" w:rsidP="00A3505D">
      <w:r>
        <w:separator/>
      </w:r>
    </w:p>
  </w:footnote>
  <w:footnote w:type="continuationSeparator" w:id="0">
    <w:p w14:paraId="2540BB05" w14:textId="77777777" w:rsidR="00B4731E" w:rsidRDefault="00B4731E" w:rsidP="00A35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bordersDoNotSurroundHeader/>
  <w:bordersDoNotSurroundFooter/>
  <w:defaultTabStop w:val="80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558"/>
    <w:rsid w:val="000A33EF"/>
    <w:rsid w:val="00240A14"/>
    <w:rsid w:val="00271615"/>
    <w:rsid w:val="00284B14"/>
    <w:rsid w:val="002B53B0"/>
    <w:rsid w:val="002B7824"/>
    <w:rsid w:val="002C12A3"/>
    <w:rsid w:val="002E2CCD"/>
    <w:rsid w:val="00330520"/>
    <w:rsid w:val="0040239E"/>
    <w:rsid w:val="00414037"/>
    <w:rsid w:val="004878BB"/>
    <w:rsid w:val="004A18E9"/>
    <w:rsid w:val="00573558"/>
    <w:rsid w:val="005746C2"/>
    <w:rsid w:val="005C5BC6"/>
    <w:rsid w:val="005E0389"/>
    <w:rsid w:val="0060661E"/>
    <w:rsid w:val="006152BF"/>
    <w:rsid w:val="006674DF"/>
    <w:rsid w:val="0069222F"/>
    <w:rsid w:val="0072305D"/>
    <w:rsid w:val="007A5B99"/>
    <w:rsid w:val="008A4512"/>
    <w:rsid w:val="008B1201"/>
    <w:rsid w:val="009C7508"/>
    <w:rsid w:val="00A15C84"/>
    <w:rsid w:val="00A27AD1"/>
    <w:rsid w:val="00A3505D"/>
    <w:rsid w:val="00B4731E"/>
    <w:rsid w:val="00BC0B74"/>
    <w:rsid w:val="00BD6E76"/>
    <w:rsid w:val="00E87F1A"/>
    <w:rsid w:val="00F85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D0726"/>
  <w15:docId w15:val="{809B7B58-D1E7-49D7-BE04-CE2530FF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jc w:val="left"/>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uiPriority w:val="16"/>
    <w:semiHidden/>
    <w:unhideWhenUsed/>
    <w:pPr>
      <w:spacing w:after="160" w:line="360" w:lineRule="auto"/>
      <w:ind w:left="1440" w:right="1440"/>
      <w:jc w:val="both"/>
    </w:pPr>
    <w:rPr>
      <w:rFonts w:ascii="Calibri" w:eastAsia="Calibri" w:hAnsi="Calibri" w:cs="Calibri"/>
      <w:sz w:val="22"/>
    </w:rPr>
  </w:style>
  <w:style w:type="paragraph" w:customStyle="1" w:styleId="AbstractSubheading">
    <w:name w:val="Abstract Subheading"/>
    <w:basedOn w:val="a"/>
    <w:next w:val="a"/>
    <w:uiPriority w:val="16"/>
    <w:semiHidden/>
    <w:unhideWhenUsed/>
    <w:pPr>
      <w:keepNext/>
      <w:keepLines/>
      <w:numPr>
        <w:ilvl w:val="8"/>
      </w:numPr>
      <w:ind w:left="1440"/>
      <w:outlineLvl w:val="8"/>
    </w:pPr>
    <w:rPr>
      <w:sz w:val="22"/>
    </w:rPr>
  </w:style>
  <w:style w:type="paragraph" w:customStyle="1" w:styleId="Acknowledgements">
    <w:name w:val="Acknowledgements"/>
    <w:basedOn w:val="a"/>
    <w:uiPriority w:val="16"/>
    <w:semiHidden/>
    <w:unhideWhenUsed/>
    <w:pPr>
      <w:shd w:val="clear" w:color="auto" w:fill="F9EDFF"/>
      <w:spacing w:after="160" w:line="396" w:lineRule="auto"/>
      <w:jc w:val="both"/>
    </w:pPr>
    <w:rPr>
      <w:rFonts w:ascii="Calibri" w:eastAsia="Calibri" w:hAnsi="Calibri" w:cs="Calibri"/>
      <w:sz w:val="20"/>
    </w:rPr>
  </w:style>
  <w:style w:type="paragraph" w:customStyle="1" w:styleId="Affiliation">
    <w:name w:val="Affiliation"/>
    <w:basedOn w:val="a"/>
    <w:uiPriority w:val="16"/>
    <w:semiHidden/>
    <w:unhideWhenUsed/>
    <w:pPr>
      <w:shd w:val="clear" w:color="auto" w:fill="F4FFED"/>
      <w:spacing w:before="240" w:after="120" w:line="396" w:lineRule="auto"/>
      <w:ind w:left="400" w:hanging="400"/>
    </w:pPr>
    <w:rPr>
      <w:rFonts w:ascii="Calibri" w:eastAsia="Calibri" w:hAnsi="Calibri" w:cs="Calibri"/>
      <w:sz w:val="20"/>
    </w:rPr>
  </w:style>
  <w:style w:type="paragraph" w:customStyle="1" w:styleId="Annotation">
    <w:name w:val="Annotation"/>
    <w:basedOn w:val="a"/>
    <w:uiPriority w:val="16"/>
    <w:semiHidden/>
    <w:unhideWhenUsed/>
    <w:pPr>
      <w:spacing w:after="160" w:line="360" w:lineRule="auto"/>
      <w:ind w:left="400"/>
    </w:pPr>
    <w:rPr>
      <w:rFonts w:ascii="Calibri" w:eastAsia="Calibri" w:hAnsi="Calibri" w:cs="Calibri"/>
      <w:sz w:val="22"/>
    </w:rPr>
  </w:style>
  <w:style w:type="paragraph" w:customStyle="1" w:styleId="Authors">
    <w:name w:val="Authors"/>
    <w:basedOn w:val="a"/>
    <w:uiPriority w:val="16"/>
    <w:semiHidden/>
    <w:unhideWhenUsed/>
    <w:pPr>
      <w:spacing w:before="360" w:after="120" w:line="283" w:lineRule="auto"/>
    </w:pPr>
    <w:rPr>
      <w:rFonts w:ascii="Calibri" w:eastAsia="Calibri" w:hAnsi="Calibri" w:cs="Calibri"/>
      <w:sz w:val="28"/>
    </w:rPr>
  </w:style>
  <w:style w:type="paragraph" w:customStyle="1" w:styleId="Biography">
    <w:name w:val="Biography"/>
    <w:basedOn w:val="a"/>
    <w:uiPriority w:val="16"/>
    <w:semiHidden/>
    <w:unhideWhenUsed/>
    <w:pPr>
      <w:shd w:val="clear" w:color="auto" w:fill="EEFEF4"/>
      <w:spacing w:after="160" w:line="396" w:lineRule="auto"/>
    </w:pPr>
    <w:rPr>
      <w:rFonts w:ascii="Calibri" w:eastAsia="Calibri" w:hAnsi="Calibri" w:cs="Calibri"/>
      <w:sz w:val="20"/>
    </w:rPr>
  </w:style>
  <w:style w:type="paragraph" w:styleId="a3">
    <w:name w:val="Block Text"/>
    <w:basedOn w:val="a"/>
    <w:uiPriority w:val="16"/>
    <w:semiHidden/>
    <w:unhideWhenUsed/>
    <w:pPr>
      <w:spacing w:after="160" w:line="360" w:lineRule="auto"/>
      <w:ind w:left="1200"/>
    </w:pPr>
    <w:rPr>
      <w:rFonts w:ascii="Calibri" w:eastAsia="Calibri" w:hAnsi="Calibri" w:cs="Calibri"/>
      <w:sz w:val="22"/>
    </w:rPr>
  </w:style>
  <w:style w:type="paragraph" w:customStyle="1" w:styleId="Caption1">
    <w:name w:val="Caption1"/>
    <w:basedOn w:val="a"/>
    <w:uiPriority w:val="16"/>
    <w:semiHidden/>
    <w:unhideWhenUsed/>
    <w:pPr>
      <w:shd w:val="clear" w:color="auto" w:fill="FFF5ED"/>
      <w:spacing w:before="240" w:line="349" w:lineRule="auto"/>
      <w:jc w:val="both"/>
    </w:pPr>
    <w:rPr>
      <w:rFonts w:ascii="Calibri" w:eastAsia="Calibri" w:hAnsi="Calibri" w:cs="Calibri"/>
      <w:sz w:val="22"/>
    </w:rPr>
  </w:style>
  <w:style w:type="paragraph" w:customStyle="1" w:styleId="ChapterNumber">
    <w:name w:val="Chapter Number"/>
    <w:basedOn w:val="a"/>
    <w:uiPriority w:val="16"/>
    <w:semiHidden/>
    <w:unhideWhenUsed/>
    <w:rPr>
      <w:rFonts w:ascii="Calibri" w:eastAsia="Calibri" w:hAnsi="Calibri" w:cs="Calibri"/>
    </w:rPr>
  </w:style>
  <w:style w:type="paragraph" w:customStyle="1" w:styleId="Copyright">
    <w:name w:val="Copyright"/>
    <w:basedOn w:val="a"/>
    <w:uiPriority w:val="16"/>
    <w:semiHidden/>
    <w:unhideWhenUsed/>
    <w:pPr>
      <w:shd w:val="clear" w:color="auto" w:fill="E9F9FF"/>
    </w:pPr>
    <w:rPr>
      <w:rFonts w:ascii="Calibri" w:eastAsia="Calibri" w:hAnsi="Calibri" w:cs="Calibri"/>
      <w:sz w:val="18"/>
    </w:rPr>
  </w:style>
  <w:style w:type="paragraph" w:customStyle="1" w:styleId="Correspondence">
    <w:name w:val="Correspondence"/>
    <w:basedOn w:val="a"/>
    <w:uiPriority w:val="16"/>
    <w:semiHidden/>
    <w:unhideWhenUsed/>
    <w:pPr>
      <w:shd w:val="clear" w:color="auto" w:fill="F3F7F9"/>
      <w:spacing w:before="240" w:after="120" w:line="396" w:lineRule="auto"/>
      <w:ind w:left="400" w:hanging="400"/>
    </w:pPr>
    <w:rPr>
      <w:rFonts w:ascii="Calibri" w:eastAsia="Calibri" w:hAnsi="Calibri" w:cs="Calibri"/>
      <w:sz w:val="20"/>
    </w:rPr>
  </w:style>
  <w:style w:type="paragraph" w:customStyle="1" w:styleId="Formula">
    <w:name w:val="Formula"/>
    <w:basedOn w:val="a"/>
    <w:uiPriority w:val="16"/>
    <w:semiHidden/>
    <w:unhideWhenUsed/>
    <w:pPr>
      <w:shd w:val="clear" w:color="auto" w:fill="FFF5ED"/>
      <w:spacing w:before="120" w:after="120" w:line="360" w:lineRule="auto"/>
    </w:pPr>
    <w:rPr>
      <w:rFonts w:ascii="Calibri" w:eastAsia="Calibri" w:hAnsi="Calibri" w:cs="Calibri"/>
      <w:sz w:val="22"/>
    </w:rPr>
  </w:style>
  <w:style w:type="paragraph" w:customStyle="1" w:styleId="Glossary">
    <w:name w:val="Glossary"/>
    <w:basedOn w:val="a"/>
    <w:uiPriority w:val="16"/>
    <w:semiHidden/>
    <w:unhideWhenUsed/>
    <w:pPr>
      <w:shd w:val="clear" w:color="auto" w:fill="FFEDF0"/>
      <w:spacing w:before="120" w:after="120" w:line="432" w:lineRule="auto"/>
    </w:pPr>
    <w:rPr>
      <w:rFonts w:ascii="Calibri" w:eastAsia="Calibri" w:hAnsi="Calibri" w:cs="Calibri"/>
      <w:sz w:val="20"/>
    </w:rPr>
  </w:style>
  <w:style w:type="paragraph" w:customStyle="1" w:styleId="Keywords">
    <w:name w:val="Keywords"/>
    <w:basedOn w:val="a"/>
    <w:uiPriority w:val="16"/>
    <w:semiHidden/>
    <w:unhideWhenUsed/>
    <w:pPr>
      <w:spacing w:line="396" w:lineRule="auto"/>
      <w:ind w:left="1000"/>
    </w:pPr>
    <w:rPr>
      <w:rFonts w:ascii="Calibri" w:eastAsia="Calibri" w:hAnsi="Calibri" w:cs="Calibri"/>
      <w:sz w:val="20"/>
    </w:rPr>
  </w:style>
  <w:style w:type="paragraph" w:customStyle="1" w:styleId="Note">
    <w:name w:val="Note"/>
    <w:basedOn w:val="a"/>
    <w:uiPriority w:val="16"/>
    <w:semiHidden/>
    <w:unhideWhenUsed/>
    <w:pPr>
      <w:shd w:val="clear" w:color="auto" w:fill="EDF0FF"/>
      <w:spacing w:line="432" w:lineRule="auto"/>
    </w:pPr>
    <w:rPr>
      <w:rFonts w:ascii="Calibri" w:eastAsia="Calibri" w:hAnsi="Calibri" w:cs="Calibri"/>
      <w:sz w:val="20"/>
    </w:rPr>
  </w:style>
  <w:style w:type="paragraph" w:customStyle="1" w:styleId="Quotation">
    <w:name w:val="Quotation"/>
    <w:basedOn w:val="a"/>
    <w:uiPriority w:val="16"/>
    <w:semiHidden/>
    <w:unhideWhenUsed/>
    <w:pPr>
      <w:spacing w:after="160" w:line="360" w:lineRule="auto"/>
      <w:ind w:left="1200" w:right="1200"/>
      <w:jc w:val="both"/>
    </w:pPr>
    <w:rPr>
      <w:rFonts w:ascii="Calibri" w:eastAsia="Calibri" w:hAnsi="Calibri" w:cs="Calibri"/>
      <w:sz w:val="22"/>
    </w:rPr>
  </w:style>
  <w:style w:type="paragraph" w:customStyle="1" w:styleId="QuotationSource">
    <w:name w:val="Quotation Source"/>
    <w:basedOn w:val="a"/>
    <w:uiPriority w:val="16"/>
    <w:semiHidden/>
    <w:unhideWhenUsed/>
    <w:pPr>
      <w:spacing w:after="170" w:line="360" w:lineRule="auto"/>
      <w:ind w:left="1200"/>
      <w:jc w:val="right"/>
    </w:pPr>
    <w:rPr>
      <w:rFonts w:ascii="Calibri" w:eastAsia="Calibri" w:hAnsi="Calibri" w:cs="Calibri"/>
      <w:sz w:val="22"/>
    </w:rPr>
  </w:style>
  <w:style w:type="paragraph" w:customStyle="1" w:styleId="Reference">
    <w:name w:val="Reference"/>
    <w:basedOn w:val="a"/>
    <w:uiPriority w:val="16"/>
    <w:semiHidden/>
    <w:unhideWhenUsed/>
    <w:pPr>
      <w:spacing w:after="320" w:line="360" w:lineRule="auto"/>
      <w:ind w:left="400" w:hanging="400"/>
      <w:jc w:val="both"/>
    </w:pPr>
    <w:rPr>
      <w:rFonts w:ascii="Calibri" w:eastAsia="Calibri" w:hAnsi="Calibri" w:cs="Calibri"/>
      <w:sz w:val="22"/>
    </w:rPr>
  </w:style>
  <w:style w:type="paragraph" w:customStyle="1" w:styleId="Statement">
    <w:name w:val="Statement"/>
    <w:basedOn w:val="a"/>
    <w:uiPriority w:val="16"/>
    <w:semiHidden/>
    <w:unhideWhenUsed/>
    <w:pPr>
      <w:ind w:left="900"/>
    </w:pPr>
    <w:rPr>
      <w:rFonts w:ascii="Calibri" w:eastAsia="Calibri" w:hAnsi="Calibri" w:cs="Calibri"/>
      <w:sz w:val="22"/>
    </w:rPr>
  </w:style>
  <w:style w:type="paragraph" w:styleId="a4">
    <w:name w:val="Subtitle"/>
    <w:basedOn w:val="a"/>
    <w:uiPriority w:val="16"/>
    <w:semiHidden/>
    <w:unhideWhenUsed/>
    <w:pPr>
      <w:spacing w:after="160" w:line="208" w:lineRule="auto"/>
    </w:pPr>
    <w:rPr>
      <w:rFonts w:ascii="Calibri" w:eastAsia="Calibri" w:hAnsi="Calibri" w:cs="Calibri"/>
      <w:sz w:val="38"/>
    </w:rPr>
  </w:style>
  <w:style w:type="paragraph" w:customStyle="1" w:styleId="Surtitle">
    <w:name w:val="Surtitle"/>
    <w:basedOn w:val="a"/>
    <w:uiPriority w:val="16"/>
    <w:semiHidden/>
    <w:unhideWhenUsed/>
    <w:pPr>
      <w:spacing w:after="160" w:line="208" w:lineRule="auto"/>
    </w:pPr>
    <w:rPr>
      <w:rFonts w:ascii="Calibri" w:eastAsia="Calibri" w:hAnsi="Calibri" w:cs="Calibri"/>
      <w:sz w:val="38"/>
    </w:rPr>
  </w:style>
  <w:style w:type="paragraph" w:customStyle="1" w:styleId="TableBody">
    <w:name w:val="Table Body"/>
    <w:basedOn w:val="a"/>
    <w:uiPriority w:val="16"/>
    <w:semiHidden/>
    <w:unhideWhenUsed/>
    <w:pPr>
      <w:spacing w:after="160" w:line="396" w:lineRule="auto"/>
    </w:pPr>
    <w:rPr>
      <w:rFonts w:ascii="Calibri" w:eastAsia="Calibri" w:hAnsi="Calibri" w:cs="Calibri"/>
      <w:sz w:val="20"/>
    </w:rPr>
  </w:style>
  <w:style w:type="paragraph" w:customStyle="1" w:styleId="TableHead">
    <w:name w:val="Table Head"/>
    <w:basedOn w:val="a"/>
    <w:uiPriority w:val="16"/>
    <w:semiHidden/>
    <w:unhideWhenUsed/>
    <w:pPr>
      <w:shd w:val="clear" w:color="auto" w:fill="FFEDFA"/>
    </w:pPr>
    <w:rPr>
      <w:rFonts w:ascii="Calibri" w:eastAsia="Calibri" w:hAnsi="Calibri" w:cs="Calibri"/>
      <w:sz w:val="20"/>
    </w:rPr>
  </w:style>
  <w:style w:type="paragraph" w:customStyle="1" w:styleId="TableList">
    <w:name w:val="Table List"/>
    <w:basedOn w:val="a"/>
    <w:uiPriority w:val="16"/>
    <w:semiHidden/>
    <w:unhideWhenUsed/>
    <w:pPr>
      <w:ind w:left="300" w:hanging="300"/>
    </w:pPr>
    <w:rPr>
      <w:sz w:val="20"/>
    </w:rPr>
  </w:style>
  <w:style w:type="paragraph" w:customStyle="1" w:styleId="TableNote">
    <w:name w:val="Table Note"/>
    <w:basedOn w:val="a"/>
    <w:uiPriority w:val="16"/>
    <w:semiHidden/>
    <w:unhideWhenUsed/>
    <w:rPr>
      <w:rFonts w:ascii="Calibri" w:eastAsia="Calibri" w:hAnsi="Calibri" w:cs="Calibri"/>
      <w:sz w:val="18"/>
    </w:rPr>
  </w:style>
  <w:style w:type="character" w:customStyle="1" w:styleId="ArticleTitle">
    <w:name w:val="Article Title"/>
    <w:basedOn w:val="a0"/>
    <w:uiPriority w:val="17"/>
    <w:semiHidden/>
    <w:unhideWhenUsed/>
    <w:rPr>
      <w:shd w:val="clear" w:color="auto" w:fill="E9F9FF"/>
    </w:rPr>
  </w:style>
  <w:style w:type="character" w:customStyle="1" w:styleId="City">
    <w:name w:val="City"/>
    <w:basedOn w:val="a0"/>
    <w:uiPriority w:val="17"/>
    <w:semiHidden/>
    <w:unhideWhenUsed/>
    <w:rPr>
      <w:shd w:val="clear" w:color="auto" w:fill="D7D7D7"/>
    </w:rPr>
  </w:style>
  <w:style w:type="character" w:customStyle="1" w:styleId="Conference">
    <w:name w:val="Conference"/>
    <w:basedOn w:val="a0"/>
    <w:uiPriority w:val="17"/>
    <w:semiHidden/>
    <w:unhideWhenUsed/>
    <w:rPr>
      <w:shd w:val="clear" w:color="auto" w:fill="FFAFBC"/>
    </w:rPr>
  </w:style>
  <w:style w:type="character" w:customStyle="1" w:styleId="Country">
    <w:name w:val="Country"/>
    <w:basedOn w:val="a0"/>
    <w:uiPriority w:val="17"/>
    <w:semiHidden/>
    <w:unhideWhenUsed/>
    <w:rPr>
      <w:shd w:val="clear" w:color="auto" w:fill="97C5D1"/>
    </w:rPr>
  </w:style>
  <w:style w:type="character" w:customStyle="1" w:styleId="Cross-reference">
    <w:name w:val="Cross-reference"/>
    <w:basedOn w:val="a0"/>
    <w:uiPriority w:val="17"/>
    <w:semiHidden/>
    <w:unhideWhenUsed/>
    <w:rPr>
      <w:shd w:val="clear" w:color="auto" w:fill="FFE3C9"/>
    </w:rPr>
  </w:style>
  <w:style w:type="character" w:customStyle="1" w:styleId="DatabaseLink">
    <w:name w:val="Database Link"/>
    <w:basedOn w:val="a0"/>
    <w:uiPriority w:val="17"/>
    <w:semiHidden/>
    <w:unhideWhenUsed/>
    <w:rPr>
      <w:shd w:val="clear" w:color="auto" w:fill="AFBEFF"/>
    </w:rPr>
  </w:style>
  <w:style w:type="character" w:customStyle="1" w:styleId="Edition">
    <w:name w:val="Edition"/>
    <w:basedOn w:val="a0"/>
    <w:uiPriority w:val="17"/>
    <w:semiHidden/>
    <w:unhideWhenUsed/>
    <w:rPr>
      <w:shd w:val="clear" w:color="auto" w:fill="FFF6A4"/>
    </w:rPr>
  </w:style>
  <w:style w:type="character" w:customStyle="1" w:styleId="FamilyName">
    <w:name w:val="Family Name"/>
    <w:basedOn w:val="a0"/>
    <w:uiPriority w:val="17"/>
    <w:semiHidden/>
    <w:unhideWhenUsed/>
    <w:rPr>
      <w:shd w:val="clear" w:color="auto" w:fill="88F4BE"/>
    </w:rPr>
  </w:style>
  <w:style w:type="character" w:customStyle="1" w:styleId="GeneSequence">
    <w:name w:val="Gene Sequence"/>
    <w:basedOn w:val="a0"/>
    <w:uiPriority w:val="17"/>
    <w:semiHidden/>
    <w:unhideWhenUsed/>
    <w:rPr>
      <w:shd w:val="clear" w:color="auto" w:fill="FFCDF2"/>
    </w:rPr>
  </w:style>
  <w:style w:type="character" w:customStyle="1" w:styleId="GivenName">
    <w:name w:val="Given Name"/>
    <w:basedOn w:val="a0"/>
    <w:uiPriority w:val="17"/>
    <w:semiHidden/>
    <w:unhideWhenUsed/>
    <w:rPr>
      <w:shd w:val="clear" w:color="auto" w:fill="D0FCE2"/>
    </w:rPr>
  </w:style>
  <w:style w:type="character" w:customStyle="1" w:styleId="GlossaryTerm">
    <w:name w:val="Glossary Term"/>
    <w:basedOn w:val="a0"/>
    <w:uiPriority w:val="17"/>
    <w:semiHidden/>
    <w:unhideWhenUsed/>
    <w:rPr>
      <w:shd w:val="clear" w:color="auto" w:fill="FFCFD7"/>
    </w:rPr>
  </w:style>
  <w:style w:type="character" w:customStyle="1" w:styleId="GrantID">
    <w:name w:val="Grant ID"/>
    <w:basedOn w:val="a0"/>
    <w:uiPriority w:val="17"/>
    <w:semiHidden/>
    <w:unhideWhenUsed/>
    <w:rPr>
      <w:shd w:val="clear" w:color="auto" w:fill="DDA5FF"/>
    </w:rPr>
  </w:style>
  <w:style w:type="character" w:customStyle="1" w:styleId="Heading">
    <w:name w:val="Heading:"/>
    <w:basedOn w:val="a0"/>
    <w:uiPriority w:val="17"/>
    <w:semiHidden/>
    <w:unhideWhenUsed/>
    <w:rPr>
      <w:color w:val="5B89C1"/>
    </w:rPr>
  </w:style>
  <w:style w:type="character" w:styleId="a5">
    <w:name w:val="Hyperlink"/>
    <w:basedOn w:val="a0"/>
    <w:uiPriority w:val="17"/>
    <w:semiHidden/>
    <w:unhideWhenUsed/>
    <w:rPr>
      <w:color w:val="0563C1"/>
    </w:rPr>
  </w:style>
  <w:style w:type="character" w:customStyle="1" w:styleId="IssueNumber">
    <w:name w:val="Issue Number"/>
    <w:basedOn w:val="a0"/>
    <w:uiPriority w:val="17"/>
    <w:semiHidden/>
    <w:unhideWhenUsed/>
    <w:rPr>
      <w:shd w:val="clear" w:color="auto" w:fill="CDD5FF"/>
    </w:rPr>
  </w:style>
  <w:style w:type="character" w:customStyle="1" w:styleId="Label">
    <w:name w:val="Label"/>
    <w:basedOn w:val="a0"/>
    <w:uiPriority w:val="17"/>
    <w:semiHidden/>
    <w:unhideWhenUsed/>
    <w:rPr>
      <w:shd w:val="clear" w:color="auto" w:fill="FFC391"/>
      <w:vertAlign w:val="baseline"/>
    </w:rPr>
  </w:style>
  <w:style w:type="character" w:customStyle="1" w:styleId="Location">
    <w:name w:val="Location"/>
    <w:basedOn w:val="a0"/>
    <w:uiPriority w:val="17"/>
    <w:semiHidden/>
    <w:unhideWhenUsed/>
    <w:rPr>
      <w:shd w:val="clear" w:color="auto" w:fill="F9EDFF"/>
    </w:rPr>
  </w:style>
  <w:style w:type="character" w:customStyle="1" w:styleId="Miscellaneous">
    <w:name w:val="Miscellaneous"/>
    <w:basedOn w:val="a0"/>
    <w:uiPriority w:val="17"/>
    <w:semiHidden/>
    <w:unhideWhenUsed/>
    <w:rPr>
      <w:shd w:val="clear" w:color="auto" w:fill="F0F0F0"/>
    </w:rPr>
  </w:style>
  <w:style w:type="character" w:customStyle="1" w:styleId="NameScientific">
    <w:name w:val="Name Scientific"/>
    <w:basedOn w:val="a0"/>
    <w:uiPriority w:val="17"/>
    <w:semiHidden/>
    <w:unhideWhenUsed/>
    <w:rPr>
      <w:shd w:val="clear" w:color="auto" w:fill="91E0FF"/>
    </w:rPr>
  </w:style>
  <w:style w:type="character" w:customStyle="1" w:styleId="Organization">
    <w:name w:val="Organization"/>
    <w:basedOn w:val="a0"/>
    <w:uiPriority w:val="17"/>
    <w:semiHidden/>
    <w:unhideWhenUsed/>
    <w:rPr>
      <w:shd w:val="clear" w:color="auto" w:fill="D1FFB5"/>
    </w:rPr>
  </w:style>
  <w:style w:type="character" w:customStyle="1" w:styleId="PageNumbers">
    <w:name w:val="Page Numbers"/>
    <w:basedOn w:val="a0"/>
    <w:uiPriority w:val="17"/>
    <w:semiHidden/>
    <w:unhideWhenUsed/>
    <w:rPr>
      <w:shd w:val="clear" w:color="auto" w:fill="FFEDF0"/>
    </w:rPr>
  </w:style>
  <w:style w:type="character" w:customStyle="1" w:styleId="Postcode">
    <w:name w:val="Postcode"/>
    <w:basedOn w:val="a0"/>
    <w:uiPriority w:val="17"/>
    <w:semiHidden/>
    <w:unhideWhenUsed/>
    <w:rPr>
      <w:shd w:val="clear" w:color="auto" w:fill="BEBEBE"/>
    </w:rPr>
  </w:style>
  <w:style w:type="character" w:customStyle="1" w:styleId="Publisher">
    <w:name w:val="Publisher"/>
    <w:basedOn w:val="a0"/>
    <w:uiPriority w:val="17"/>
    <w:semiHidden/>
    <w:unhideWhenUsed/>
    <w:rPr>
      <w:shd w:val="clear" w:color="auto" w:fill="F2DDFF"/>
    </w:rPr>
  </w:style>
  <w:style w:type="character" w:customStyle="1" w:styleId="Region">
    <w:name w:val="Region"/>
    <w:basedOn w:val="a0"/>
    <w:uiPriority w:val="17"/>
    <w:semiHidden/>
    <w:unhideWhenUsed/>
    <w:rPr>
      <w:shd w:val="clear" w:color="auto" w:fill="D8E9EE"/>
    </w:rPr>
  </w:style>
  <w:style w:type="character" w:customStyle="1" w:styleId="Source">
    <w:name w:val="Source"/>
    <w:basedOn w:val="a0"/>
    <w:uiPriority w:val="17"/>
    <w:semiHidden/>
    <w:unhideWhenUsed/>
    <w:rPr>
      <w:shd w:val="clear" w:color="auto" w:fill="C1EDFF"/>
    </w:rPr>
  </w:style>
  <w:style w:type="character" w:customStyle="1" w:styleId="VolumeNumber">
    <w:name w:val="Volume Number"/>
    <w:basedOn w:val="a0"/>
    <w:uiPriority w:val="17"/>
    <w:semiHidden/>
    <w:unhideWhenUsed/>
    <w:rPr>
      <w:shd w:val="clear" w:color="auto" w:fill="EDF0FF"/>
    </w:rPr>
  </w:style>
  <w:style w:type="character" w:customStyle="1" w:styleId="Year">
    <w:name w:val="Year"/>
    <w:basedOn w:val="a0"/>
    <w:uiPriority w:val="17"/>
    <w:semiHidden/>
    <w:unhideWhenUsed/>
    <w:rPr>
      <w:shd w:val="clear" w:color="auto" w:fill="FFF9C9"/>
    </w:rPr>
  </w:style>
  <w:style w:type="paragraph" w:customStyle="1" w:styleId="TOC11">
    <w:name w:val="TOC 11"/>
    <w:basedOn w:val="a"/>
    <w:uiPriority w:val="39"/>
    <w:semiHidden/>
    <w:unhideWhenUsed/>
    <w:pPr>
      <w:spacing w:line="305" w:lineRule="auto"/>
    </w:pPr>
    <w:rPr>
      <w:rFonts w:ascii="Calibri" w:eastAsia="Calibri" w:hAnsi="Calibri" w:cs="Calibri"/>
      <w:sz w:val="26"/>
    </w:rPr>
  </w:style>
  <w:style w:type="paragraph" w:customStyle="1" w:styleId="TOC21">
    <w:name w:val="TOC 21"/>
    <w:basedOn w:val="a"/>
    <w:uiPriority w:val="39"/>
    <w:semiHidden/>
    <w:unhideWhenUsed/>
    <w:pPr>
      <w:spacing w:line="330" w:lineRule="auto"/>
    </w:pPr>
    <w:rPr>
      <w:rFonts w:ascii="Calibri" w:eastAsia="Calibri" w:hAnsi="Calibri" w:cs="Calibri"/>
    </w:rPr>
  </w:style>
  <w:style w:type="paragraph" w:customStyle="1" w:styleId="TOC31">
    <w:name w:val="TOC 31"/>
    <w:basedOn w:val="a"/>
    <w:uiPriority w:val="39"/>
    <w:semiHidden/>
    <w:unhideWhenUsed/>
    <w:pPr>
      <w:spacing w:line="360" w:lineRule="auto"/>
    </w:pPr>
    <w:rPr>
      <w:rFonts w:ascii="Calibri" w:eastAsia="Calibri" w:hAnsi="Calibri" w:cs="Calibri"/>
      <w:sz w:val="22"/>
    </w:rPr>
  </w:style>
  <w:style w:type="paragraph" w:customStyle="1" w:styleId="TOC41">
    <w:name w:val="TOC 41"/>
    <w:basedOn w:val="a"/>
    <w:uiPriority w:val="39"/>
    <w:semiHidden/>
    <w:unhideWhenUsed/>
    <w:pPr>
      <w:spacing w:line="330" w:lineRule="exact"/>
    </w:pPr>
    <w:rPr>
      <w:rFonts w:ascii="Calibri" w:eastAsia="Calibri" w:hAnsi="Calibri" w:cs="Calibri"/>
    </w:rPr>
  </w:style>
  <w:style w:type="paragraph" w:customStyle="1" w:styleId="TOC51">
    <w:name w:val="TOC 51"/>
    <w:basedOn w:val="a"/>
    <w:uiPriority w:val="39"/>
    <w:semiHidden/>
    <w:unhideWhenUsed/>
    <w:pPr>
      <w:spacing w:line="330" w:lineRule="exact"/>
    </w:pPr>
    <w:rPr>
      <w:rFonts w:ascii="Calibri" w:eastAsia="Calibri" w:hAnsi="Calibri" w:cs="Calibri"/>
    </w:rPr>
  </w:style>
  <w:style w:type="paragraph" w:customStyle="1" w:styleId="TOC61">
    <w:name w:val="TOC 61"/>
    <w:basedOn w:val="a"/>
    <w:uiPriority w:val="39"/>
    <w:semiHidden/>
    <w:unhideWhenUsed/>
    <w:pPr>
      <w:spacing w:line="330" w:lineRule="exact"/>
    </w:pPr>
    <w:rPr>
      <w:rFonts w:ascii="Calibri" w:eastAsia="Calibri" w:hAnsi="Calibri" w:cs="Calibri"/>
    </w:rPr>
  </w:style>
  <w:style w:type="paragraph" w:customStyle="1" w:styleId="TOC71">
    <w:name w:val="TOC 71"/>
    <w:basedOn w:val="a"/>
    <w:uiPriority w:val="39"/>
    <w:semiHidden/>
    <w:unhideWhenUsed/>
    <w:pPr>
      <w:spacing w:line="330" w:lineRule="exact"/>
    </w:pPr>
    <w:rPr>
      <w:rFonts w:ascii="Calibri" w:eastAsia="Calibri" w:hAnsi="Calibri" w:cs="Calibri"/>
    </w:rPr>
  </w:style>
  <w:style w:type="paragraph" w:customStyle="1" w:styleId="TOC81">
    <w:name w:val="TOC 81"/>
    <w:basedOn w:val="a"/>
    <w:uiPriority w:val="39"/>
    <w:semiHidden/>
    <w:unhideWhenUsed/>
    <w:pPr>
      <w:spacing w:line="330" w:lineRule="exact"/>
    </w:pPr>
    <w:rPr>
      <w:rFonts w:ascii="Calibri" w:eastAsia="Calibri" w:hAnsi="Calibri" w:cs="Calibri"/>
    </w:rPr>
  </w:style>
  <w:style w:type="paragraph" w:customStyle="1" w:styleId="TOC91">
    <w:name w:val="TOC 91"/>
    <w:basedOn w:val="a"/>
    <w:uiPriority w:val="39"/>
    <w:semiHidden/>
    <w:unhideWhenUsed/>
    <w:pPr>
      <w:spacing w:line="330" w:lineRule="exact"/>
    </w:pPr>
    <w:rPr>
      <w:rFonts w:ascii="Calibri" w:eastAsia="Calibri" w:hAnsi="Calibri" w:cs="Calibri"/>
    </w:rPr>
  </w:style>
  <w:style w:type="character" w:customStyle="1" w:styleId="CommentReference1">
    <w:name w:val="Comment Reference1"/>
    <w:basedOn w:val="a0"/>
    <w:uiPriority w:val="99"/>
    <w:semiHidden/>
    <w:unhideWhenUsed/>
    <w:rPr>
      <w:sz w:val="16"/>
    </w:rPr>
  </w:style>
  <w:style w:type="paragraph" w:customStyle="1" w:styleId="CommentText1">
    <w:name w:val="Comment Text1"/>
    <w:basedOn w:val="a"/>
    <w:uiPriority w:val="99"/>
    <w:semiHidden/>
    <w:unhideWhenUsed/>
    <w:rPr>
      <w:rFonts w:ascii="Calibri" w:eastAsia="Calibri" w:hAnsi="Calibri" w:cs="Calibri"/>
      <w:sz w:val="20"/>
    </w:rPr>
  </w:style>
  <w:style w:type="character" w:customStyle="1" w:styleId="EndnoteReference1">
    <w:name w:val="Endnote Reference1"/>
    <w:basedOn w:val="a0"/>
    <w:uiPriority w:val="99"/>
    <w:semiHidden/>
    <w:unhideWhenUsed/>
    <w:rPr>
      <w:vertAlign w:val="superscript"/>
    </w:rPr>
  </w:style>
  <w:style w:type="paragraph" w:customStyle="1" w:styleId="EndnoteText1">
    <w:name w:val="Endnote Text1"/>
    <w:basedOn w:val="a"/>
    <w:uiPriority w:val="99"/>
    <w:semiHidden/>
    <w:unhideWhenUsed/>
    <w:rPr>
      <w:rFonts w:ascii="Calibri" w:eastAsia="Calibri" w:hAnsi="Calibri" w:cs="Calibri"/>
    </w:rPr>
  </w:style>
  <w:style w:type="paragraph" w:styleId="a6">
    <w:name w:val="footer"/>
    <w:basedOn w:val="a"/>
    <w:uiPriority w:val="99"/>
    <w:unhideWhenUsed/>
    <w:pPr>
      <w:tabs>
        <w:tab w:val="center" w:pos="4513"/>
        <w:tab w:val="right" w:pos="9026"/>
      </w:tabs>
      <w:snapToGrid w:val="0"/>
    </w:pPr>
  </w:style>
  <w:style w:type="character" w:customStyle="1" w:styleId="FootnoteReference1">
    <w:name w:val="Footnote Reference1"/>
    <w:basedOn w:val="a0"/>
    <w:uiPriority w:val="99"/>
    <w:semiHidden/>
    <w:unhideWhenUsed/>
    <w:rPr>
      <w:vertAlign w:val="superscript"/>
    </w:rPr>
  </w:style>
  <w:style w:type="paragraph" w:customStyle="1" w:styleId="FootnoteText1">
    <w:name w:val="Footnote Text1"/>
    <w:basedOn w:val="a"/>
    <w:uiPriority w:val="99"/>
    <w:semiHidden/>
    <w:unhideWhenUsed/>
    <w:rPr>
      <w:rFonts w:ascii="Calibri" w:eastAsia="Calibri" w:hAnsi="Calibri" w:cs="Calibri"/>
    </w:rPr>
  </w:style>
  <w:style w:type="paragraph" w:styleId="a7">
    <w:name w:val="header"/>
    <w:basedOn w:val="a"/>
    <w:uiPriority w:val="99"/>
    <w:unhideWhenUsed/>
    <w:pPr>
      <w:tabs>
        <w:tab w:val="center" w:pos="4513"/>
        <w:tab w:val="right" w:pos="9026"/>
      </w:tabs>
      <w:snapToGrid w:val="0"/>
    </w:pPr>
  </w:style>
  <w:style w:type="paragraph" w:styleId="a8">
    <w:name w:val="List"/>
    <w:basedOn w:val="a"/>
    <w:uiPriority w:val="99"/>
    <w:semiHidden/>
    <w:unhideWhenUsed/>
    <w:pPr>
      <w:spacing w:line="360" w:lineRule="auto"/>
      <w:ind w:left="400" w:hanging="400"/>
      <w:jc w:val="both"/>
    </w:pPr>
    <w:rPr>
      <w:rFonts w:ascii="Calibri" w:eastAsia="Calibri" w:hAnsi="Calibri" w:cs="Calibri"/>
      <w:sz w:val="22"/>
    </w:rPr>
  </w:style>
  <w:style w:type="paragraph" w:customStyle="1" w:styleId="List1">
    <w:name w:val="List 1"/>
    <w:basedOn w:val="a"/>
    <w:uiPriority w:val="99"/>
    <w:semiHidden/>
    <w:unhideWhenUsed/>
    <w:pPr>
      <w:ind w:left="1200" w:hanging="600"/>
      <w:jc w:val="both"/>
    </w:pPr>
    <w:rPr>
      <w:rFonts w:ascii="Times New Roman" w:eastAsia="Times New Roman" w:hAnsi="Times New Roman" w:cs="Times New Roman"/>
      <w:sz w:val="22"/>
    </w:rPr>
  </w:style>
  <w:style w:type="paragraph" w:styleId="2">
    <w:name w:val="List 2"/>
    <w:basedOn w:val="a"/>
    <w:uiPriority w:val="99"/>
    <w:semiHidden/>
    <w:unhideWhenUsed/>
    <w:pPr>
      <w:spacing w:line="360" w:lineRule="auto"/>
      <w:ind w:left="800" w:hanging="400"/>
      <w:jc w:val="both"/>
    </w:pPr>
    <w:rPr>
      <w:rFonts w:ascii="Calibri" w:eastAsia="Calibri" w:hAnsi="Calibri" w:cs="Calibri"/>
      <w:sz w:val="22"/>
    </w:rPr>
  </w:style>
  <w:style w:type="paragraph" w:styleId="3">
    <w:name w:val="List 3"/>
    <w:basedOn w:val="a"/>
    <w:uiPriority w:val="99"/>
    <w:semiHidden/>
    <w:unhideWhenUsed/>
    <w:pPr>
      <w:spacing w:line="360" w:lineRule="auto"/>
      <w:ind w:left="1200" w:hanging="400"/>
      <w:jc w:val="both"/>
    </w:pPr>
    <w:rPr>
      <w:rFonts w:ascii="Calibri" w:eastAsia="Calibri" w:hAnsi="Calibri" w:cs="Calibri"/>
      <w:sz w:val="22"/>
    </w:rPr>
  </w:style>
  <w:style w:type="paragraph" w:styleId="4">
    <w:name w:val="List 4"/>
    <w:basedOn w:val="a"/>
    <w:uiPriority w:val="99"/>
    <w:semiHidden/>
    <w:unhideWhenUsed/>
    <w:pPr>
      <w:spacing w:line="360" w:lineRule="auto"/>
      <w:ind w:left="1600" w:hanging="400"/>
    </w:pPr>
    <w:rPr>
      <w:rFonts w:ascii="Calibri" w:eastAsia="Calibri" w:hAnsi="Calibri" w:cs="Calibri"/>
      <w:sz w:val="22"/>
    </w:rPr>
  </w:style>
  <w:style w:type="paragraph" w:styleId="5">
    <w:name w:val="List 5"/>
    <w:basedOn w:val="a"/>
    <w:uiPriority w:val="99"/>
    <w:semiHidden/>
    <w:unhideWhenUsed/>
    <w:pPr>
      <w:spacing w:line="360" w:lineRule="auto"/>
      <w:ind w:left="1800" w:hanging="400"/>
    </w:pPr>
    <w:rPr>
      <w:rFonts w:ascii="Calibri" w:eastAsia="Calibri" w:hAnsi="Calibri" w:cs="Calibri"/>
      <w:sz w:val="22"/>
    </w:rPr>
  </w:style>
  <w:style w:type="paragraph" w:customStyle="1" w:styleId="List6">
    <w:name w:val="List 6"/>
    <w:basedOn w:val="a"/>
    <w:uiPriority w:val="99"/>
    <w:semiHidden/>
    <w:unhideWhenUsed/>
    <w:pPr>
      <w:spacing w:line="360" w:lineRule="auto"/>
      <w:ind w:left="1860" w:hanging="400"/>
    </w:pPr>
    <w:rPr>
      <w:rFonts w:ascii="Calibri" w:eastAsia="Calibri" w:hAnsi="Calibri" w:cs="Calibri"/>
      <w:sz w:val="22"/>
    </w:rPr>
  </w:style>
  <w:style w:type="paragraph" w:customStyle="1" w:styleId="List7">
    <w:name w:val="List 7"/>
    <w:basedOn w:val="a"/>
    <w:uiPriority w:val="99"/>
    <w:semiHidden/>
    <w:unhideWhenUsed/>
    <w:pPr>
      <w:spacing w:line="360" w:lineRule="auto"/>
      <w:ind w:left="1920" w:hanging="400"/>
    </w:pPr>
    <w:rPr>
      <w:rFonts w:ascii="Calibri" w:eastAsia="Calibri" w:hAnsi="Calibri" w:cs="Calibri"/>
      <w:sz w:val="22"/>
    </w:rPr>
  </w:style>
  <w:style w:type="paragraph" w:customStyle="1" w:styleId="List8">
    <w:name w:val="List 8"/>
    <w:basedOn w:val="a"/>
    <w:uiPriority w:val="99"/>
    <w:semiHidden/>
    <w:unhideWhenUsed/>
    <w:pPr>
      <w:spacing w:line="360" w:lineRule="auto"/>
      <w:ind w:left="1980" w:hanging="400"/>
    </w:pPr>
    <w:rPr>
      <w:rFonts w:ascii="Calibri" w:eastAsia="Calibri" w:hAnsi="Calibri" w:cs="Calibri"/>
      <w:sz w:val="22"/>
    </w:rPr>
  </w:style>
  <w:style w:type="paragraph" w:customStyle="1" w:styleId="List9">
    <w:name w:val="List 9"/>
    <w:basedOn w:val="a"/>
    <w:uiPriority w:val="99"/>
    <w:semiHidden/>
    <w:unhideWhenUsed/>
    <w:pPr>
      <w:ind w:left="1200" w:hanging="600"/>
      <w:jc w:val="both"/>
    </w:pPr>
    <w:rPr>
      <w:rFonts w:ascii="Times New Roman" w:eastAsia="Times New Roman" w:hAnsi="Times New Roman" w:cs="Times New Roman"/>
      <w:sz w:val="22"/>
    </w:rPr>
  </w:style>
  <w:style w:type="paragraph" w:styleId="a9">
    <w:name w:val="annotation text"/>
    <w:basedOn w:val="a"/>
    <w:link w:val="Char"/>
    <w:uiPriority w:val="99"/>
    <w:semiHidden/>
    <w:unhideWhenUsed/>
    <w:rPr>
      <w:sz w:val="20"/>
      <w:szCs w:val="20"/>
    </w:rPr>
  </w:style>
  <w:style w:type="character" w:customStyle="1" w:styleId="Char">
    <w:name w:val="메모 텍스트 Char"/>
    <w:basedOn w:val="a0"/>
    <w:link w:val="a9"/>
    <w:uiPriority w:val="99"/>
    <w:semiHidden/>
    <w:rPr>
      <w:szCs w:val="20"/>
    </w:rPr>
  </w:style>
  <w:style w:type="character" w:styleId="aa">
    <w:name w:val="annotation reference"/>
    <w:basedOn w:val="a0"/>
    <w:uiPriority w:val="99"/>
    <w:semiHidden/>
    <w:unhideWhenUsed/>
    <w:rPr>
      <w:sz w:val="16"/>
      <w:szCs w:val="16"/>
    </w:rPr>
  </w:style>
  <w:style w:type="paragraph" w:styleId="ab">
    <w:name w:val="Revision"/>
    <w:hidden/>
    <w:uiPriority w:val="99"/>
    <w:semiHidden/>
    <w:rsid w:val="005746C2"/>
    <w:pPr>
      <w:spacing w:after="0" w:line="240" w:lineRule="auto"/>
      <w:jc w:val="left"/>
    </w:pPr>
    <w:rPr>
      <w:sz w:val="24"/>
    </w:rPr>
  </w:style>
  <w:style w:type="paragraph" w:styleId="ac">
    <w:name w:val="annotation subject"/>
    <w:basedOn w:val="a9"/>
    <w:next w:val="a9"/>
    <w:link w:val="Char0"/>
    <w:uiPriority w:val="99"/>
    <w:semiHidden/>
    <w:unhideWhenUsed/>
    <w:rsid w:val="005C5BC6"/>
    <w:rPr>
      <w:b/>
      <w:bCs/>
    </w:rPr>
  </w:style>
  <w:style w:type="character" w:customStyle="1" w:styleId="Char0">
    <w:name w:val="메모 주제 Char"/>
    <w:basedOn w:val="Char"/>
    <w:link w:val="ac"/>
    <w:uiPriority w:val="99"/>
    <w:semiHidden/>
    <w:rsid w:val="005C5BC6"/>
    <w:rPr>
      <w:b/>
      <w:bCs/>
      <w:szCs w:val="20"/>
    </w:rPr>
  </w:style>
  <w:style w:type="paragraph" w:styleId="ad">
    <w:name w:val="Balloon Text"/>
    <w:basedOn w:val="a"/>
    <w:link w:val="Char1"/>
    <w:uiPriority w:val="99"/>
    <w:semiHidden/>
    <w:unhideWhenUsed/>
    <w:rsid w:val="00A15C84"/>
    <w:rPr>
      <w:rFonts w:asciiTheme="majorHAnsi" w:eastAsiaTheme="majorEastAsia" w:hAnsiTheme="majorHAnsi" w:cstheme="majorBidi"/>
      <w:sz w:val="18"/>
      <w:szCs w:val="18"/>
    </w:rPr>
  </w:style>
  <w:style w:type="character" w:customStyle="1" w:styleId="Char1">
    <w:name w:val="풍선 도움말 텍스트 Char"/>
    <w:basedOn w:val="a0"/>
    <w:link w:val="ad"/>
    <w:uiPriority w:val="99"/>
    <w:semiHidden/>
    <w:rsid w:val="00A15C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26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6/09/relationships/commentsIds" Target="commentsIds.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1151</Words>
  <Characters>6564</Characters>
  <Application>Microsoft Office Word</Application>
  <DocSecurity>0</DocSecurity>
  <Lines>54</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조은형/EUN-HYOUNG CHO</dc:creator>
  <cp:lastModifiedBy>Administrator</cp:lastModifiedBy>
  <cp:revision>11</cp:revision>
  <dcterms:created xsi:type="dcterms:W3CDTF">2026-06-05T02:04:00Z</dcterms:created>
  <dcterms:modified xsi:type="dcterms:W3CDTF">2026-06-25T00:48:00Z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6</vt:lpwstr>
  </property>
  <property fmtid="{D5CDD505-2E9C-101B-9397-08002B2CF9AE}" pid="8" name="Merops client version">
    <vt:lpwstr/>
  </property>
  <property fmtid="{D5CDD505-2E9C-101B-9397-08002B2CF9AE}" pid="9" name="Merops comment count">
    <vt:lpwstr>2</vt:lpwstr>
  </property>
  <property fmtid="{D5CDD505-2E9C-101B-9397-08002B2CF9AE}" pid="10" name="Merops DOI links count">
    <vt:lpwstr>0</vt:lpwstr>
  </property>
  <property fmtid="{D5CDD505-2E9C-101B-9397-08002B2CF9AE}" pid="11" name="Merops email addresses count">
    <vt:lpwstr>0</vt:lpwstr>
  </property>
  <property fmtid="{D5CDD505-2E9C-101B-9397-08002B2CF9AE}" pid="12" name="Merops figures count">
    <vt:lpwstr>5</vt:lpwstr>
  </property>
  <property fmtid="{D5CDD505-2E9C-101B-9397-08002B2CF9AE}" pid="13" name="Merops footnotes/endnotes count">
    <vt:lpwstr>0</vt:lpwstr>
  </property>
  <property fmtid="{D5CDD505-2E9C-101B-9397-08002B2CF9AE}" pid="14" name="Merops graphics count">
    <vt:lpwstr>5</vt:lpwstr>
  </property>
  <property fmtid="{D5CDD505-2E9C-101B-9397-08002B2CF9AE}" pid="15" name="Merops input file path">
    <vt:lpwstr>crm_4df30d26-386a-4034-8535-06bb47a69d19.docx</vt:lpwstr>
  </property>
  <property fmtid="{D5CDD505-2E9C-101B-9397-08002B2CF9AE}" pid="16" name="Merops intra-document links count">
    <vt:lpwstr>0</vt:lpwstr>
  </property>
  <property fmtid="{D5CDD505-2E9C-101B-9397-08002B2CF9AE}" pid="17" name="Merops item path">
    <vt:lpwstr>MG-Session/On-20260518/I:4b9577b8-4ac4-47b6-94fe-78a0f734190a</vt:lpwstr>
  </property>
  <property fmtid="{D5CDD505-2E9C-101B-9397-08002B2CF9AE}" pid="18" name="Merops processed date">
    <vt:lpwstr>2026/05/18 05:12:46 AM</vt:lpwstr>
  </property>
  <property fmtid="{D5CDD505-2E9C-101B-9397-08002B2CF9AE}" pid="19" name="Merops PubMed links count">
    <vt:lpwstr>0</vt:lpwstr>
  </property>
  <property fmtid="{D5CDD505-2E9C-101B-9397-08002B2CF9AE}" pid="20" name="Merops references count">
    <vt:lpwstr>0</vt:lpwstr>
  </property>
  <property fmtid="{D5CDD505-2E9C-101B-9397-08002B2CF9AE}" pid="21" name="Merops Scopus links count">
    <vt:lpwstr>0</vt:lpwstr>
  </property>
  <property fmtid="{D5CDD505-2E9C-101B-9397-08002B2CF9AE}" pid="22" name="Merops server path">
    <vt:lpwstr/>
  </property>
  <property fmtid="{D5CDD505-2E9C-101B-9397-08002B2CF9AE}" pid="23" name="Merops Standard Set">
    <vt:lpwstr>merops/preset-v1/nature</vt:lpwstr>
  </property>
  <property fmtid="{D5CDD505-2E9C-101B-9397-08002B2CF9AE}" pid="24" name="Merops Standard Set modified">
    <vt:lpwstr/>
  </property>
  <property fmtid="{D5CDD505-2E9C-101B-9397-08002B2CF9AE}" pid="25" name="Merops tables count">
    <vt:lpwstr>0</vt:lpwstr>
  </property>
  <property fmtid="{D5CDD505-2E9C-101B-9397-08002B2CF9AE}" pid="26" name="Merops word count">
    <vt:lpwstr>500</vt:lpwstr>
  </property>
  <property fmtid="{D5CDD505-2E9C-101B-9397-08002B2CF9AE}" pid="27" name="Merops WorldCat links count">
    <vt:lpwstr>0</vt:lpwstr>
  </property>
  <property fmtid="{D5CDD505-2E9C-101B-9397-08002B2CF9AE}" pid="28" name="NSCPROP">
    <vt:lpwstr>NSCCustomProperty</vt:lpwstr>
  </property>
  <property fmtid="{D5CDD505-2E9C-101B-9397-08002B2CF9AE}" pid="29" name="ppub">
    <vt:lpwstr/>
  </property>
  <property fmtid="{D5CDD505-2E9C-101B-9397-08002B2CF9AE}" pid="30" name="Publisher">
    <vt:lpwstr/>
  </property>
  <property fmtid="{D5CDD505-2E9C-101B-9397-08002B2CF9AE}" pid="31" name="Publisher-location">
    <vt:lpwstr/>
  </property>
  <property fmtid="{D5CDD505-2E9C-101B-9397-08002B2CF9AE}" pid="32" name="ReceivedDate">
    <vt:lpwstr/>
  </property>
  <property fmtid="{D5CDD505-2E9C-101B-9397-08002B2CF9AE}" pid="33" name="Reference citation style">
    <vt:lpwstr>numerical</vt:lpwstr>
  </property>
  <property fmtid="{D5CDD505-2E9C-101B-9397-08002B2CF9AE}" pid="34" name="Source">
    <vt:lpwstr/>
  </property>
  <property fmtid="{D5CDD505-2E9C-101B-9397-08002B2CF9AE}" pid="35" name="Source-abbreviated">
    <vt:lpwstr/>
  </property>
  <property fmtid="{D5CDD505-2E9C-101B-9397-08002B2CF9AE}" pid="36" name="Source-short">
    <vt:lpwstr/>
  </property>
  <property fmtid="{D5CDD505-2E9C-101B-9397-08002B2CF9AE}" pid="37" name="Subject">
    <vt:lpwstr/>
  </property>
</Properties>
</file>