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878C0" w14:textId="77777777" w:rsidR="00223B2D" w:rsidRDefault="00FF29C6">
      <w:pPr>
        <w:spacing w:after="65" w:line="480" w:lineRule="auto"/>
        <w:jc w:val="center"/>
        <w:rPr>
          <w:rFonts w:ascii="Times New Roman" w:hAnsi="Times New Roman" w:cs="Times New Roman"/>
          <w:b/>
          <w:bCs/>
        </w:rPr>
      </w:pPr>
      <w:bookmarkStart w:id="0" w:name="OLE_LINK75"/>
      <w:bookmarkStart w:id="1" w:name="OLE_LINK76"/>
      <w:r>
        <w:rPr>
          <w:rFonts w:ascii="Times New Roman" w:hAnsi="Times New Roman" w:cs="Times New Roman"/>
          <w:b/>
          <w:bCs/>
        </w:rPr>
        <w:t>Supplementary Appendix</w:t>
      </w:r>
    </w:p>
    <w:p w14:paraId="5E8D1BCA" w14:textId="77777777" w:rsidR="00223B2D" w:rsidRDefault="00FF29C6">
      <w:pPr>
        <w:spacing w:after="65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This appendix has been provided by the authors to give readers additional information about their work.</w:t>
      </w:r>
    </w:p>
    <w:p w14:paraId="1B804B8C" w14:textId="77777777" w:rsidR="00223B2D" w:rsidRDefault="00223B2D">
      <w:pPr>
        <w:spacing w:after="65" w:line="480" w:lineRule="auto"/>
        <w:rPr>
          <w:rFonts w:ascii="Times New Roman" w:hAnsi="Times New Roman" w:cs="Times New Roman"/>
          <w:bCs/>
        </w:rPr>
      </w:pPr>
    </w:p>
    <w:p w14:paraId="32018BDE" w14:textId="5421C883" w:rsidR="00223B2D" w:rsidRDefault="00FF29C6">
      <w:pPr>
        <w:spacing w:after="65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lang w:val="fr-FR"/>
        </w:rPr>
        <w:t xml:space="preserve">Lin Y, Zhu G, Tan Q, et al. </w:t>
      </w:r>
      <w:bookmarkStart w:id="2" w:name="OLE_LINK36"/>
      <w:r w:rsidR="000C2EEC" w:rsidRPr="000C2EEC">
        <w:rPr>
          <w:rFonts w:ascii="Times New Roman" w:hAnsi="Times New Roman" w:cs="Times New Roman"/>
          <w:bCs/>
        </w:rPr>
        <w:t xml:space="preserve">Platelet function </w:t>
      </w:r>
      <w:r w:rsidR="000C2EEC" w:rsidRPr="00564153">
        <w:rPr>
          <w:rFonts w:ascii="Times New Roman" w:hAnsi="Times New Roman" w:cs="Times New Roman"/>
          <w:bCs/>
        </w:rPr>
        <w:t>testing</w:t>
      </w:r>
      <w:bookmarkEnd w:id="2"/>
      <w:r w:rsidR="000C2EEC" w:rsidRPr="000C2EEC">
        <w:rPr>
          <w:rFonts w:ascii="Times New Roman" w:hAnsi="Times New Roman" w:cs="Times New Roman"/>
          <w:bCs/>
        </w:rPr>
        <w:t xml:space="preserve"> guided antiplatelet therapy for ischemic stroke: a pilot randomi</w:t>
      </w:r>
      <w:r w:rsidR="00B22CC1">
        <w:rPr>
          <w:rFonts w:ascii="Times New Roman" w:hAnsi="Times New Roman" w:cs="Times New Roman"/>
          <w:bCs/>
        </w:rPr>
        <w:t>z</w:t>
      </w:r>
      <w:r w:rsidR="000C2EEC" w:rsidRPr="000C2EEC">
        <w:rPr>
          <w:rFonts w:ascii="Times New Roman" w:hAnsi="Times New Roman" w:cs="Times New Roman"/>
          <w:bCs/>
        </w:rPr>
        <w:t>ed controlled trial</w:t>
      </w:r>
      <w:bookmarkEnd w:id="0"/>
      <w:bookmarkEnd w:id="1"/>
      <w:r>
        <w:rPr>
          <w:rFonts w:ascii="Times New Roman" w:hAnsi="Times New Roman" w:cs="Times New Roman"/>
          <w:bCs/>
        </w:rPr>
        <w:t>. XXX</w:t>
      </w:r>
    </w:p>
    <w:p w14:paraId="08D8DEB8" w14:textId="77777777" w:rsidR="00223B2D" w:rsidRDefault="00223B2D">
      <w:pPr>
        <w:spacing w:after="65" w:line="240" w:lineRule="auto"/>
        <w:rPr>
          <w:rFonts w:ascii="Times New Roman" w:hAnsi="Times New Roman" w:cs="Times New Roman"/>
          <w:bCs/>
        </w:rPr>
      </w:pPr>
    </w:p>
    <w:p w14:paraId="211490F1" w14:textId="77777777" w:rsidR="00223B2D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7E1CA504" w14:textId="77777777" w:rsidR="00223B2D" w:rsidRDefault="00223B2D">
      <w:pPr>
        <w:spacing w:after="65" w:line="240" w:lineRule="auto"/>
        <w:rPr>
          <w:rFonts w:ascii="Times New Roman" w:hAnsi="Times New Roman" w:cs="Times New Roman"/>
          <w:b/>
        </w:rPr>
      </w:pPr>
    </w:p>
    <w:sdt>
      <w:sdtPr>
        <w:rPr>
          <w:lang w:val="zh-CN"/>
        </w:rPr>
        <w:id w:val="-1"/>
        <w:docPartObj>
          <w:docPartGallery w:val="Table of Contents"/>
          <w:docPartUnique/>
        </w:docPartObj>
      </w:sdtPr>
      <w:sdtEndPr/>
      <w:sdtContent>
        <w:p w14:paraId="2011BCD5" w14:textId="77777777" w:rsidR="00223B2D" w:rsidRDefault="00FF29C6">
          <w:pPr>
            <w:spacing w:after="65" w:line="240" w:lineRule="auto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Contents</w:t>
          </w:r>
        </w:p>
        <w:p w14:paraId="6385FD0F" w14:textId="77777777" w:rsidR="00223B2D" w:rsidRDefault="00FF29C6">
          <w:pPr>
            <w:pStyle w:val="TOC1"/>
            <w:spacing w:after="65"/>
          </w:pPr>
          <w:r>
            <w:rPr>
              <w:rFonts w:ascii="Times New Roman" w:hAnsi="Times New Roman" w:cs="Times New Roman" w:hint="eastAsia"/>
              <w:sz w:val="22"/>
              <w:szCs w:val="22"/>
            </w:rPr>
            <w:t xml:space="preserve">Table S1. </w:t>
          </w:r>
          <w:r>
            <w:rPr>
              <w:rFonts w:ascii="Times New Roman" w:hAnsi="Times New Roman" w:cs="Times New Roman"/>
              <w:sz w:val="22"/>
              <w:szCs w:val="22"/>
            </w:rPr>
            <w:t xml:space="preserve">List of 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>Investigators and coordinators (site, with numbers of patients in parentheses)</w:t>
          </w:r>
          <w:r>
            <w:ptab w:relativeTo="margin" w:alignment="right" w:leader="dot"/>
          </w:r>
          <w:r>
            <w:rPr>
              <w:rFonts w:hint="eastAsia"/>
            </w:rPr>
            <w:t>3</w:t>
          </w:r>
        </w:p>
        <w:p w14:paraId="270FB1BA" w14:textId="528A9191" w:rsidR="00223B2D" w:rsidRDefault="00FF29C6">
          <w:pPr>
            <w:spacing w:afterLines="0" w:after="120" w:line="240" w:lineRule="auto"/>
            <w:rPr>
              <w:rFonts w:ascii="Times New Roman" w:eastAsia="DengXian" w:hAnsi="Times New Roman" w:cs="Times New Roman"/>
              <w:b/>
              <w:bCs/>
              <w:kern w:val="0"/>
              <w:sz w:val="22"/>
              <w:szCs w:val="22"/>
            </w:rPr>
          </w:pPr>
          <w:r>
            <w:rPr>
              <w:rFonts w:ascii="Times New Roman" w:hAnsi="Times New Roman" w:cs="Times New Roman"/>
              <w:sz w:val="22"/>
              <w:szCs w:val="22"/>
            </w:rPr>
            <w:t>Table S2.</w:t>
          </w:r>
          <w:r>
            <w:rPr>
              <w:rFonts w:ascii="Times New Roman" w:hAnsi="Times New Roman" w:cs="Times New Roman" w:hint="eastAsia"/>
              <w:sz w:val="22"/>
              <w:szCs w:val="22"/>
            </w:rPr>
            <w:t xml:space="preserve"> </w:t>
          </w:r>
          <w:r>
            <w:rPr>
              <w:rFonts w:ascii="Times New Roman" w:hAnsi="Times New Roman" w:cs="Times New Roman" w:hint="eastAsia"/>
              <w:sz w:val="22"/>
              <w:szCs w:val="22"/>
              <w:lang w:eastAsia="de-CH"/>
            </w:rPr>
            <w:t>PATH STROKE study group</w:t>
          </w:r>
          <w:r>
            <w:ptab w:relativeTo="margin" w:alignment="right" w:leader="dot"/>
          </w:r>
          <w:r>
            <w:rPr>
              <w:rFonts w:hint="eastAsia"/>
            </w:rPr>
            <w:t>5</w:t>
          </w:r>
          <w:r>
            <w:rPr>
              <w:rFonts w:ascii="Times New Roman" w:eastAsia="DengXian" w:hAnsi="Times New Roman" w:cs="Times New Roman"/>
              <w:b/>
              <w:bCs/>
              <w:kern w:val="0"/>
              <w:sz w:val="22"/>
              <w:szCs w:val="22"/>
            </w:rPr>
            <w:t xml:space="preserve"> </w:t>
          </w:r>
        </w:p>
        <w:p w14:paraId="28CFA54E" w14:textId="5A05B11E" w:rsidR="00223B2D" w:rsidRDefault="00FF29C6">
          <w:pPr>
            <w:spacing w:afterLines="0" w:after="120" w:line="240" w:lineRule="auto"/>
            <w:rPr>
              <w:rFonts w:ascii="Times New Roman" w:eastAsia="DengXian" w:hAnsi="Times New Roman" w:cs="Times New Roman"/>
              <w:b/>
              <w:bCs/>
              <w:kern w:val="0"/>
              <w:sz w:val="22"/>
              <w:szCs w:val="22"/>
            </w:rPr>
          </w:pP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>Table S3</w:t>
          </w:r>
          <w:r>
            <w:rPr>
              <w:rFonts w:ascii="Times New Roman" w:hAnsi="Times New Roman" w:cs="Times New Roman" w:hint="eastAsia"/>
              <w:sz w:val="22"/>
              <w:szCs w:val="22"/>
            </w:rPr>
            <w:t>.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 Standardized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o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peration and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q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uality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c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ontrol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p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rotocol for PL 12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p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latelet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f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 xml:space="preserve">unction </w:t>
          </w:r>
          <w:r w:rsidR="00564153">
            <w:rPr>
              <w:rFonts w:ascii="Times New Roman" w:hAnsi="Times New Roman" w:cs="Times New Roman" w:hint="eastAsia"/>
              <w:sz w:val="22"/>
              <w:szCs w:val="22"/>
            </w:rPr>
            <w:t>t</w:t>
          </w:r>
          <w:r>
            <w:rPr>
              <w:rFonts w:ascii="Times New Roman" w:hAnsi="Times New Roman" w:cs="Times New Roman"/>
              <w:sz w:val="22"/>
              <w:szCs w:val="22"/>
              <w:lang w:eastAsia="de-CH"/>
            </w:rPr>
            <w:t>esting</w:t>
          </w:r>
          <w:r>
            <w:ptab w:relativeTo="margin" w:alignment="right" w:leader="dot"/>
          </w:r>
          <w:r>
            <w:rPr>
              <w:rFonts w:hint="eastAsia"/>
            </w:rPr>
            <w:t>7</w:t>
          </w:r>
          <w:r>
            <w:rPr>
              <w:rFonts w:ascii="Times New Roman" w:eastAsia="DengXian" w:hAnsi="Times New Roman" w:cs="Times New Roman"/>
              <w:b/>
              <w:bCs/>
              <w:kern w:val="0"/>
              <w:sz w:val="22"/>
              <w:szCs w:val="22"/>
            </w:rPr>
            <w:t xml:space="preserve"> </w:t>
          </w:r>
        </w:p>
        <w:p w14:paraId="05992542" w14:textId="77777777" w:rsidR="00223B2D" w:rsidRDefault="00FF29C6">
          <w:pPr>
            <w:spacing w:afterLines="0" w:after="120" w:line="240" w:lineRule="auto"/>
            <w:rPr>
              <w:rFonts w:ascii="Times New Roman" w:eastAsia="DengXian" w:hAnsi="Times New Roman" w:cs="Times New Roman"/>
              <w:b/>
              <w:bCs/>
              <w:kern w:val="0"/>
              <w:sz w:val="22"/>
              <w:szCs w:val="22"/>
            </w:rPr>
          </w:pPr>
          <w:r>
            <w:rPr>
              <w:rFonts w:ascii="Times New Roman" w:eastAsia="DengXian" w:hAnsi="Times New Roman" w:cs="Times New Roman"/>
              <w:kern w:val="0"/>
              <w:sz w:val="22"/>
              <w:szCs w:val="22"/>
            </w:rPr>
            <w:t>Table S</w:t>
          </w:r>
          <w:r>
            <w:rPr>
              <w:rFonts w:ascii="Times New Roman" w:eastAsia="DengXian" w:hAnsi="Times New Roman" w:cs="Times New Roman" w:hint="eastAsia"/>
              <w:kern w:val="0"/>
              <w:sz w:val="22"/>
              <w:szCs w:val="22"/>
            </w:rPr>
            <w:t>4</w:t>
          </w:r>
          <w:r>
            <w:rPr>
              <w:rFonts w:ascii="Times New Roman" w:eastAsia="DengXian" w:hAnsi="Times New Roman" w:cs="Times New Roman"/>
              <w:kern w:val="0"/>
              <w:sz w:val="22"/>
              <w:szCs w:val="22"/>
            </w:rPr>
            <w:t>. Baseline characteristics of participants by sex</w:t>
          </w:r>
          <w:r>
            <w:ptab w:relativeTo="margin" w:alignment="right" w:leader="dot"/>
          </w:r>
          <w:r>
            <w:rPr>
              <w:rFonts w:hint="eastAsia"/>
            </w:rPr>
            <w:t>9</w:t>
          </w:r>
        </w:p>
        <w:p w14:paraId="5F370B26" w14:textId="5A1F99A5" w:rsidR="00223B2D" w:rsidRDefault="00FF29C6">
          <w:pPr>
            <w:pStyle w:val="TOC1"/>
            <w:spacing w:after="65"/>
          </w:pPr>
          <w:r>
            <w:rPr>
              <w:rFonts w:ascii="Times New Roman" w:hAnsi="Times New Roman" w:cs="Times New Roman"/>
              <w:sz w:val="22"/>
              <w:szCs w:val="22"/>
            </w:rPr>
            <w:t>Table S</w:t>
          </w:r>
          <w:r>
            <w:rPr>
              <w:rFonts w:ascii="Times New Roman" w:hAnsi="Times New Roman" w:cs="Times New Roman" w:hint="eastAsia"/>
              <w:sz w:val="22"/>
              <w:szCs w:val="22"/>
            </w:rPr>
            <w:t>5</w:t>
          </w:r>
          <w:r>
            <w:rPr>
              <w:rFonts w:ascii="Times New Roman" w:hAnsi="Times New Roman" w:cs="Times New Roman"/>
              <w:sz w:val="22"/>
              <w:szCs w:val="22"/>
            </w:rPr>
            <w:t>. Baseline characteristics of young adult</w:t>
          </w:r>
          <w:r>
            <w:rPr>
              <w:rFonts w:ascii="Times New Roman" w:hAnsi="Times New Roman" w:cs="Times New Roman"/>
              <w:sz w:val="22"/>
              <w:szCs w:val="22"/>
            </w:rPr>
            <w:t xml:space="preserve"> (</w:t>
          </w:r>
          <w:r w:rsidR="00B05F50" w:rsidRPr="00B05F50">
            <w:rPr>
              <w:rFonts w:ascii="Times New Roman" w:hAnsi="Times New Roman" w:cs="Times New Roman"/>
              <w:color w:val="262626" w:themeColor="text1" w:themeTint="D9"/>
            </w:rPr>
            <w:t>≥</w:t>
          </w:r>
          <w:r>
            <w:rPr>
              <w:rFonts w:ascii="Times New Roman" w:hAnsi="Times New Roman" w:cs="Times New Roman"/>
              <w:sz w:val="22"/>
              <w:szCs w:val="22"/>
            </w:rPr>
            <w:t>65 years) and older adult</w:t>
          </w:r>
          <w:r>
            <w:rPr>
              <w:rFonts w:ascii="Times New Roman" w:hAnsi="Times New Roman" w:cs="Times New Roman"/>
              <w:sz w:val="22"/>
              <w:szCs w:val="22"/>
            </w:rPr>
            <w:t xml:space="preserve"> (</w:t>
          </w:r>
          <w:r w:rsidR="00B05F50">
            <w:rPr>
              <w:rFonts w:hint="eastAsia"/>
              <w:color w:val="262626" w:themeColor="text1" w:themeTint="D9"/>
            </w:rPr>
            <w:t>&lt;</w:t>
          </w:r>
          <w:r>
            <w:rPr>
              <w:rFonts w:ascii="Times New Roman" w:hAnsi="Times New Roman" w:cs="Times New Roman"/>
              <w:sz w:val="22"/>
              <w:szCs w:val="22"/>
            </w:rPr>
            <w:t>65 years) participants</w:t>
          </w:r>
          <w:r>
            <w:ptab w:relativeTo="margin" w:alignment="right" w:leader="dot"/>
          </w:r>
          <w:r>
            <w:rPr>
              <w:rFonts w:hint="eastAsia"/>
            </w:rPr>
            <w:t>11</w:t>
          </w:r>
        </w:p>
        <w:p w14:paraId="5DB39728" w14:textId="77777777" w:rsidR="00223B2D" w:rsidRDefault="00FF29C6">
          <w:pPr>
            <w:spacing w:after="65" w:line="360" w:lineRule="auto"/>
            <w:rPr>
              <w:rFonts w:ascii="Times New Roman" w:hAnsi="Times New Roman" w:cs="Times New Roman"/>
              <w:b/>
              <w:bCs/>
              <w:color w:val="000000"/>
              <w:kern w:val="0"/>
              <w:sz w:val="22"/>
              <w:szCs w:val="22"/>
            </w:rPr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Table 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S6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. Platelet aggregation function at randomization and during follow-up period</w:t>
          </w:r>
          <w:r>
            <w:ptab w:relativeTo="margin" w:alignment="right" w:leader="dot"/>
          </w:r>
          <w:r>
            <w:rPr>
              <w:rFonts w:hint="eastAsia"/>
            </w:rPr>
            <w:t>13</w:t>
          </w:r>
        </w:p>
        <w:p w14:paraId="343CAAEC" w14:textId="77777777" w:rsidR="00223B2D" w:rsidRDefault="00FF29C6">
          <w:pPr>
            <w:pStyle w:val="TOC3"/>
            <w:spacing w:after="65"/>
            <w:ind w:leftChars="0" w:left="0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Table 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7.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 Primary outcome in the</w:t>
          </w:r>
          <w:r>
            <w:rPr>
              <w:rFonts w:ascii="Times New Roman" w:hAnsi="Times New Roman" w:cs="Times New Roman"/>
              <w:sz w:val="22"/>
              <w:szCs w:val="22"/>
            </w:rPr>
            <w:t xml:space="preserve"> 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per-protocol population</w:t>
          </w:r>
          <w:r>
            <w:ptab w:relativeTo="margin" w:alignment="right" w:leader="dot"/>
          </w:r>
          <w:r>
            <w:rPr>
              <w:rFonts w:hint="eastAsia"/>
            </w:rPr>
            <w:t>14</w:t>
          </w:r>
        </w:p>
        <w:p w14:paraId="1675F17C" w14:textId="77777777" w:rsidR="00223B2D" w:rsidRDefault="00FF29C6">
          <w:pPr>
            <w:spacing w:afterLines="0" w:after="120" w:line="240" w:lineRule="auto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Table 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8.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 Sensitivity analysis of primary, secondary and safety outcomes in the intention-to-treat population</w:t>
          </w:r>
          <w:r>
            <w:ptab w:relativeTo="margin" w:alignment="right" w:leader="dot"/>
          </w:r>
          <w:r>
            <w:rPr>
              <w:rFonts w:hint="eastAsia"/>
            </w:rPr>
            <w:t>15</w:t>
          </w:r>
        </w:p>
        <w:p w14:paraId="4F772E6F" w14:textId="77777777" w:rsidR="00223B2D" w:rsidRDefault="00FF29C6">
          <w:pPr>
            <w:spacing w:after="65" w:line="360" w:lineRule="auto"/>
            <w:rPr>
              <w:rFonts w:ascii="Times New Roman" w:hAnsi="Times New Roman" w:cs="Times New Roman"/>
              <w:b/>
              <w:bCs/>
              <w:color w:val="000000"/>
              <w:kern w:val="0"/>
              <w:sz w:val="22"/>
              <w:szCs w:val="22"/>
            </w:rPr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Table 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 xml:space="preserve">9. 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Serious adverse events (SAEs) in all patients in the intention-to-treat population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 xml:space="preserve"> </w:t>
          </w:r>
          <w:r>
            <w:ptab w:relativeTo="margin" w:alignment="right" w:leader="dot"/>
          </w:r>
          <w:r>
            <w:rPr>
              <w:rFonts w:hint="eastAsia"/>
            </w:rPr>
            <w:t>17</w:t>
          </w:r>
        </w:p>
        <w:p w14:paraId="45BDDC0B" w14:textId="47042D29" w:rsidR="00223B2D" w:rsidRDefault="00FF29C6">
          <w:pPr>
            <w:pStyle w:val="TOC3"/>
            <w:spacing w:after="65"/>
            <w:ind w:leftChars="0" w:left="0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1 Mean differences and standard deviations in platelet aggregation function to recording time</w:t>
          </w:r>
          <w:r w:rsidR="006C77F0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 -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Guided Group</w:t>
          </w:r>
          <w:r>
            <w:ptab w:relativeTo="margin" w:alignment="right" w:leader="dot"/>
          </w:r>
          <w:r>
            <w:rPr>
              <w:rFonts w:hint="eastAsia"/>
            </w:rPr>
            <w:t>18</w:t>
          </w:r>
        </w:p>
        <w:p w14:paraId="4C5C2CAB" w14:textId="2E156F88" w:rsidR="00223B2D" w:rsidRDefault="00FF29C6">
          <w:pPr>
            <w:spacing w:afterLines="0" w:after="120" w:line="240" w:lineRule="auto"/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2. Distribution of platelet aggregation function and proportion of high on-treatment platelet reactivity (HOPR) between the guidance group and the control group on </w:t>
          </w:r>
          <w:r w:rsidR="006C77F0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D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ay 30.</w:t>
          </w:r>
          <w:r>
            <w:ptab w:relativeTo="margin" w:alignment="right" w:leader="dot"/>
          </w:r>
          <w:r>
            <w:rPr>
              <w:rFonts w:hint="eastAsia"/>
            </w:rPr>
            <w:t>18</w:t>
          </w:r>
        </w:p>
        <w:p w14:paraId="05819E5E" w14:textId="7EFFE6BE" w:rsidR="00223B2D" w:rsidRDefault="00FF29C6">
          <w:pPr>
            <w:spacing w:afterLines="0" w:after="120" w:line="240" w:lineRule="auto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3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. Cumulative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ncidence of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sch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emic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e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vent.</w:t>
          </w:r>
          <w:r>
            <w:ptab w:relativeTo="margin" w:alignment="right" w:leader="dot"/>
          </w:r>
          <w:r>
            <w:rPr>
              <w:rFonts w:hint="eastAsia"/>
            </w:rPr>
            <w:t>19</w:t>
          </w:r>
        </w:p>
        <w:p w14:paraId="3D8D9F07" w14:textId="4F72DB29" w:rsidR="00223B2D" w:rsidRDefault="00FF29C6">
          <w:pPr>
            <w:spacing w:afterLines="0" w:after="120" w:line="240" w:lineRule="auto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4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. Cumulative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ncidence of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troke.</w:t>
          </w:r>
          <w:r>
            <w:ptab w:relativeTo="margin" w:alignment="right" w:leader="dot"/>
          </w:r>
          <w:r>
            <w:rPr>
              <w:rFonts w:hint="eastAsia"/>
            </w:rPr>
            <w:t>19</w:t>
          </w:r>
        </w:p>
        <w:p w14:paraId="4A412CE3" w14:textId="6EE5BFE7" w:rsidR="00223B2D" w:rsidRDefault="00FF29C6">
          <w:pPr>
            <w:pStyle w:val="TOC3"/>
            <w:spacing w:after="65"/>
            <w:ind w:leftChars="0" w:left="0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5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 Cumulative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ncidence of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sch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emic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troke</w:t>
          </w:r>
          <w:r>
            <w:ptab w:relativeTo="margin" w:alignment="right" w:leader="dot"/>
          </w:r>
          <w:r>
            <w:rPr>
              <w:rFonts w:hint="eastAsia"/>
            </w:rPr>
            <w:t>20</w:t>
          </w:r>
        </w:p>
        <w:p w14:paraId="4DBAB804" w14:textId="5452286D" w:rsidR="00223B2D" w:rsidRDefault="00FF29C6">
          <w:pPr>
            <w:pStyle w:val="TOC3"/>
            <w:spacing w:after="65"/>
            <w:ind w:leftChars="0" w:left="0"/>
          </w:pP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Figure </w:t>
          </w:r>
          <w:r w:rsidR="00B22CC1"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6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 Cumulative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i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ncidence of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h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 xml:space="preserve">emorrhagic </w:t>
          </w:r>
          <w:r w:rsidR="00564153">
            <w:rPr>
              <w:rFonts w:ascii="Times New Roman" w:hAnsi="Times New Roman" w:cs="Times New Roman" w:hint="eastAsia"/>
              <w:color w:val="000000"/>
              <w:kern w:val="0"/>
              <w:sz w:val="22"/>
              <w:szCs w:val="22"/>
            </w:rPr>
            <w:t>s</w:t>
          </w:r>
          <w:r>
            <w:rPr>
              <w:rFonts w:ascii="Times New Roman" w:hAnsi="Times New Roman" w:cs="Times New Roman"/>
              <w:color w:val="000000"/>
              <w:kern w:val="0"/>
              <w:sz w:val="22"/>
              <w:szCs w:val="22"/>
            </w:rPr>
            <w:t>troke</w:t>
          </w:r>
          <w:r>
            <w:ptab w:relativeTo="margin" w:alignment="right" w:leader="dot"/>
          </w:r>
          <w:r>
            <w:rPr>
              <w:rFonts w:hint="eastAsia"/>
            </w:rPr>
            <w:t>20</w:t>
          </w:r>
        </w:p>
      </w:sdtContent>
    </w:sdt>
    <w:p w14:paraId="53C5AF52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</w:p>
    <w:p w14:paraId="068A2A44" w14:textId="77777777" w:rsidR="00223B2D" w:rsidRPr="00B22CC1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lang w:val="en-AU"/>
        </w:rPr>
      </w:pPr>
      <w:r w:rsidRPr="00B22CC1">
        <w:rPr>
          <w:rFonts w:ascii="Times New Roman" w:hAnsi="Times New Roman" w:cs="Times New Roman"/>
          <w:lang w:val="en-AU"/>
        </w:rPr>
        <w:br w:type="page"/>
      </w:r>
    </w:p>
    <w:p w14:paraId="173A33F0" w14:textId="77777777" w:rsidR="00223B2D" w:rsidRDefault="00FF29C6">
      <w:pPr>
        <w:widowControl/>
        <w:adjustRightInd/>
        <w:snapToGrid/>
        <w:spacing w:beforeLines="50" w:before="163" w:afterLines="50" w:after="163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lastRenderedPageBreak/>
        <w:t xml:space="preserve">Table S1. 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List of </w:t>
      </w:r>
      <w:r>
        <w:rPr>
          <w:rFonts w:ascii="Times New Roman" w:hAnsi="Times New Roman" w:cs="Times New Roman"/>
          <w:b/>
          <w:bCs/>
          <w:sz w:val="22"/>
          <w:szCs w:val="22"/>
          <w:lang w:eastAsia="de-CH"/>
        </w:rPr>
        <w:t>Investigators and coordinators (site, with numbers of patients in parentheses)</w:t>
      </w:r>
      <w:r>
        <w:rPr>
          <w:rFonts w:ascii="Times New Roman" w:hAnsi="Times New Roman" w:cs="Times New Roman"/>
          <w:lang w:eastAsia="de-CH"/>
        </w:rPr>
        <w:fldChar w:fldCharType="begin"/>
      </w:r>
      <w:r>
        <w:rPr>
          <w:rFonts w:ascii="Times New Roman" w:hAnsi="Times New Roman" w:cs="Times New Roman"/>
          <w:lang w:eastAsia="de-CH"/>
        </w:rPr>
        <w:instrText xml:space="preserve"> ADDIN EN.REFLIST </w:instrText>
      </w:r>
      <w:r>
        <w:rPr>
          <w:rFonts w:ascii="Times New Roman" w:hAnsi="Times New Roman" w:cs="Times New Roman"/>
          <w:lang w:eastAsia="de-CH"/>
        </w:rPr>
        <w:fldChar w:fldCharType="separate"/>
      </w:r>
      <w:r>
        <w:rPr>
          <w:rFonts w:ascii="Times New Roman" w:hAnsi="Times New Roman" w:cs="Times New Roman"/>
          <w:lang w:eastAsia="de-CH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223B2D" w14:paraId="5E543ABD" w14:textId="77777777" w:rsidTr="008B1ED8">
        <w:tc>
          <w:tcPr>
            <w:tcW w:w="4530" w:type="dxa"/>
          </w:tcPr>
          <w:p w14:paraId="2EE72F58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Participating sites</w:t>
            </w:r>
          </w:p>
        </w:tc>
        <w:tc>
          <w:tcPr>
            <w:tcW w:w="4531" w:type="dxa"/>
          </w:tcPr>
          <w:p w14:paraId="760FFC70" w14:textId="77777777" w:rsidR="00223B2D" w:rsidRDefault="00FF29C6">
            <w:pPr>
              <w:spacing w:afterLines="0" w:after="0" w:line="240" w:lineRule="auto"/>
              <w:rPr>
                <w:rFonts w:ascii="Times New Roman" w:eastAsia="SimSu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Principal investigator</w:t>
            </w:r>
            <w:r>
              <w:rPr>
                <w:rFonts w:ascii="Times New Roman" w:eastAsia="SimSun" w:hAnsi="Times New Roman" w:cs="Times New Roman"/>
                <w:b/>
                <w:bCs/>
                <w:kern w:val="0"/>
              </w:rPr>
              <w:t xml:space="preserve"> and coordinators</w:t>
            </w:r>
          </w:p>
        </w:tc>
      </w:tr>
      <w:tr w:rsidR="00223B2D" w14:paraId="15948112" w14:textId="77777777" w:rsidTr="008B1ED8">
        <w:tc>
          <w:tcPr>
            <w:tcW w:w="4530" w:type="dxa"/>
            <w:vAlign w:val="center"/>
          </w:tcPr>
          <w:p w14:paraId="605E4DC8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Meishan Cardio-</w:t>
            </w:r>
            <w:proofErr w:type="gramStart"/>
            <w:r>
              <w:rPr>
                <w:rFonts w:ascii="Times New Roman" w:eastAsia="Times New Roman" w:hAnsi="Times New Roman" w:cs="Times New Roman" w:hint="eastAsia"/>
                <w:kern w:val="0"/>
              </w:rPr>
              <w:t>cerebrovascular</w:t>
            </w:r>
            <w:proofErr w:type="gram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Disease Hospital (133)</w:t>
            </w:r>
          </w:p>
        </w:tc>
        <w:tc>
          <w:tcPr>
            <w:tcW w:w="4531" w:type="dxa"/>
            <w:vAlign w:val="center"/>
          </w:tcPr>
          <w:p w14:paraId="1CDAEBCB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Wei Zhang, Zhi Li, Lele Zhang, Ying Chen, Jia Song</w:t>
            </w:r>
          </w:p>
        </w:tc>
      </w:tr>
      <w:tr w:rsidR="00223B2D" w14:paraId="76FF227E" w14:textId="77777777" w:rsidTr="008B1ED8">
        <w:tc>
          <w:tcPr>
            <w:tcW w:w="4530" w:type="dxa"/>
            <w:vAlign w:val="center"/>
          </w:tcPr>
          <w:p w14:paraId="7D285D76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Dazhu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County People's Hospital (131)</w:t>
            </w:r>
          </w:p>
        </w:tc>
        <w:tc>
          <w:tcPr>
            <w:tcW w:w="4531" w:type="dxa"/>
            <w:vAlign w:val="center"/>
          </w:tcPr>
          <w:p w14:paraId="1096747A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Zhaohui Li,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Zhijin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Yang, Anshan Chen, Guanyu Cheng,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Tianyan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Cai</w:t>
            </w:r>
          </w:p>
        </w:tc>
      </w:tr>
      <w:tr w:rsidR="00223B2D" w14:paraId="35E541A0" w14:textId="77777777" w:rsidTr="008B1ED8">
        <w:tc>
          <w:tcPr>
            <w:tcW w:w="4530" w:type="dxa"/>
            <w:vAlign w:val="center"/>
          </w:tcPr>
          <w:p w14:paraId="34DB2220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Kaijiang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People's Hospital (103)</w:t>
            </w:r>
          </w:p>
        </w:tc>
        <w:tc>
          <w:tcPr>
            <w:tcW w:w="4531" w:type="dxa"/>
            <w:vAlign w:val="center"/>
          </w:tcPr>
          <w:p w14:paraId="55B9044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Daijun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Qiu,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Chaoying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Jiang, Lang Zhang, Liping Li, Xiaojing Cao</w:t>
            </w:r>
          </w:p>
        </w:tc>
      </w:tr>
      <w:tr w:rsidR="00223B2D" w14:paraId="05BB9778" w14:textId="77777777" w:rsidTr="008B1ED8">
        <w:tc>
          <w:tcPr>
            <w:tcW w:w="4530" w:type="dxa"/>
            <w:vAlign w:val="center"/>
          </w:tcPr>
          <w:p w14:paraId="37137550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Sichuan Provincial People's Hospital, School of Medicine, University of Electronic Science and Technology of China (86)</w:t>
            </w:r>
          </w:p>
        </w:tc>
        <w:tc>
          <w:tcPr>
            <w:tcW w:w="4531" w:type="dxa"/>
            <w:vAlign w:val="center"/>
          </w:tcPr>
          <w:p w14:paraId="00883DE8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Jie Yang,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Jinzhi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Zhang,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Caidi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Yang, Yan Lin, Xiao Zhang</w:t>
            </w:r>
          </w:p>
        </w:tc>
      </w:tr>
      <w:tr w:rsidR="00223B2D" w14:paraId="09172469" w14:textId="77777777" w:rsidTr="008B1ED8">
        <w:tc>
          <w:tcPr>
            <w:tcW w:w="4530" w:type="dxa"/>
            <w:vAlign w:val="center"/>
          </w:tcPr>
          <w:p w14:paraId="08AE9431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The First People's Hospital of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Guangyuan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(75)</w:t>
            </w:r>
          </w:p>
        </w:tc>
        <w:tc>
          <w:tcPr>
            <w:tcW w:w="4531" w:type="dxa"/>
            <w:vAlign w:val="center"/>
          </w:tcPr>
          <w:p w14:paraId="2C77C040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Zilian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Fan, Chao Li, Xiaorong Liu, Shulan Yang, Haiyan Wu</w:t>
            </w:r>
          </w:p>
        </w:tc>
      </w:tr>
      <w:tr w:rsidR="00223B2D" w14:paraId="794DBD33" w14:textId="77777777" w:rsidTr="008B1ED8">
        <w:tc>
          <w:tcPr>
            <w:tcW w:w="4530" w:type="dxa"/>
            <w:vAlign w:val="center"/>
          </w:tcPr>
          <w:p w14:paraId="57DC8EEF" w14:textId="6BDD261F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Jianyang Chinese M</w:t>
            </w:r>
            <w:r>
              <w:rPr>
                <w:rFonts w:ascii="Times New Roman" w:eastAsia="Times New Roman" w:hAnsi="Times New Roman" w:cs="Times New Roman"/>
                <w:kern w:val="0"/>
              </w:rPr>
              <w:t>edicine</w:t>
            </w: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Hospital (75)</w:t>
            </w:r>
          </w:p>
        </w:tc>
        <w:tc>
          <w:tcPr>
            <w:tcW w:w="4531" w:type="dxa"/>
            <w:vAlign w:val="center"/>
          </w:tcPr>
          <w:p w14:paraId="436448E8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Jianming Qing, Yumin Luo, Jianguo Li,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Zhisheng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Huang, Rui Pan</w:t>
            </w:r>
          </w:p>
        </w:tc>
      </w:tr>
      <w:tr w:rsidR="00223B2D" w14:paraId="2E90E9F3" w14:textId="77777777" w:rsidTr="008B1ED8">
        <w:tc>
          <w:tcPr>
            <w:tcW w:w="4530" w:type="dxa"/>
            <w:vAlign w:val="center"/>
          </w:tcPr>
          <w:p w14:paraId="36605453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Dazhou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Central Hospital (62)</w:t>
            </w:r>
          </w:p>
        </w:tc>
        <w:tc>
          <w:tcPr>
            <w:tcW w:w="4531" w:type="dxa"/>
            <w:vAlign w:val="center"/>
          </w:tcPr>
          <w:p w14:paraId="288FC54D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Haochun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Zhang, Jin Jiang, Xiaoling Xiang, Lin He,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Shenghao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Zhao</w:t>
            </w:r>
          </w:p>
        </w:tc>
      </w:tr>
      <w:tr w:rsidR="00223B2D" w14:paraId="277B1643" w14:textId="77777777" w:rsidTr="008B1ED8">
        <w:tc>
          <w:tcPr>
            <w:tcW w:w="4530" w:type="dxa"/>
            <w:vAlign w:val="center"/>
          </w:tcPr>
          <w:p w14:paraId="086BD3FE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Fushun People's Hospital (56)</w:t>
            </w:r>
          </w:p>
        </w:tc>
        <w:tc>
          <w:tcPr>
            <w:tcW w:w="4531" w:type="dxa"/>
            <w:vAlign w:val="center"/>
          </w:tcPr>
          <w:p w14:paraId="2BB05A0B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Lijun Wu, Lingling Xu, Bing Zhang, Shijun Xie, Xia Zhou</w:t>
            </w:r>
          </w:p>
        </w:tc>
      </w:tr>
      <w:tr w:rsidR="00223B2D" w:rsidRPr="00B22CC1" w14:paraId="38331A2A" w14:textId="77777777" w:rsidTr="008B1ED8">
        <w:tc>
          <w:tcPr>
            <w:tcW w:w="4530" w:type="dxa"/>
            <w:vAlign w:val="center"/>
          </w:tcPr>
          <w:p w14:paraId="3811E00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Pengzhou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Hospital of Traditional Chinese Medicine (51)</w:t>
            </w:r>
          </w:p>
        </w:tc>
        <w:tc>
          <w:tcPr>
            <w:tcW w:w="4531" w:type="dxa"/>
            <w:vAlign w:val="center"/>
          </w:tcPr>
          <w:p w14:paraId="20CB7423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lang w:val="fr-FR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lang w:val="fr-FR"/>
              </w:rPr>
              <w:t xml:space="preserve">Yun Du, Li Yang, Juan Ma, Yishu Liang,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  <w:lang w:val="fr-FR"/>
              </w:rPr>
              <w:t>Juncheng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  <w:lang w:val="fr-FR"/>
              </w:rPr>
              <w:t xml:space="preserve"> Liu</w:t>
            </w:r>
          </w:p>
        </w:tc>
      </w:tr>
      <w:tr w:rsidR="00223B2D" w14:paraId="1DB28D4E" w14:textId="77777777" w:rsidTr="008B1ED8">
        <w:tc>
          <w:tcPr>
            <w:tcW w:w="4530" w:type="dxa"/>
            <w:vAlign w:val="center"/>
          </w:tcPr>
          <w:p w14:paraId="1B7F809F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Qianwei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County People's </w:t>
            </w:r>
            <w:proofErr w:type="gramStart"/>
            <w:r>
              <w:rPr>
                <w:rFonts w:ascii="Times New Roman" w:eastAsia="Times New Roman" w:hAnsi="Times New Roman" w:cs="Times New Roman" w:hint="eastAsia"/>
                <w:kern w:val="0"/>
              </w:rPr>
              <w:t>Hospital(</w:t>
            </w:r>
            <w:proofErr w:type="gramEnd"/>
            <w:r>
              <w:rPr>
                <w:rFonts w:ascii="Times New Roman" w:eastAsia="Times New Roman" w:hAnsi="Times New Roman" w:cs="Times New Roman" w:hint="eastAsia"/>
                <w:kern w:val="0"/>
              </w:rPr>
              <w:t>47)</w:t>
            </w:r>
          </w:p>
        </w:tc>
        <w:tc>
          <w:tcPr>
            <w:tcW w:w="4531" w:type="dxa"/>
            <w:vAlign w:val="center"/>
          </w:tcPr>
          <w:p w14:paraId="0576128E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Yiqian Peng,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Deping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Weichuan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Wang, Zeng Peng, Xiaoqin Ma</w:t>
            </w:r>
          </w:p>
        </w:tc>
      </w:tr>
      <w:tr w:rsidR="00223B2D" w14:paraId="3998CB38" w14:textId="77777777" w:rsidTr="008B1ED8">
        <w:tc>
          <w:tcPr>
            <w:tcW w:w="4530" w:type="dxa"/>
            <w:vAlign w:val="center"/>
          </w:tcPr>
          <w:p w14:paraId="65E3BA4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Deyang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People's Hospital, Sichuan Clinical Research Center for Neurological </w:t>
            </w:r>
            <w:r>
              <w:rPr>
                <w:rFonts w:ascii="Times New Roman" w:eastAsia="Times New Roman" w:hAnsi="Times New Roman" w:cs="Times New Roman"/>
                <w:kern w:val="0"/>
              </w:rPr>
              <w:t>Diseases</w:t>
            </w: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(45)</w:t>
            </w:r>
          </w:p>
        </w:tc>
        <w:tc>
          <w:tcPr>
            <w:tcW w:w="4531" w:type="dxa"/>
            <w:vAlign w:val="center"/>
          </w:tcPr>
          <w:p w14:paraId="6C6D5668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Hong Chen, Jing Lin, Jie Li, Yong Xie, Tao Zeng</w:t>
            </w:r>
          </w:p>
        </w:tc>
      </w:tr>
      <w:tr w:rsidR="00223B2D" w14:paraId="3F266B94" w14:textId="77777777" w:rsidTr="008B1ED8">
        <w:tc>
          <w:tcPr>
            <w:tcW w:w="4530" w:type="dxa"/>
            <w:vAlign w:val="center"/>
          </w:tcPr>
          <w:p w14:paraId="35B8EB80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Affiliated Hospital of Henan Polytechnic University (The Second People's Hospital of Jiaozuo) (42)</w:t>
            </w:r>
          </w:p>
        </w:tc>
        <w:tc>
          <w:tcPr>
            <w:tcW w:w="4531" w:type="dxa"/>
            <w:vAlign w:val="center"/>
          </w:tcPr>
          <w:p w14:paraId="122F6445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Lin Wang, Hang Cheng, Jiayuan Zhao, Linlin Xu, Wentao Li</w:t>
            </w:r>
          </w:p>
        </w:tc>
      </w:tr>
      <w:tr w:rsidR="00223B2D" w14:paraId="3A392F99" w14:textId="77777777" w:rsidTr="008B1ED8">
        <w:tc>
          <w:tcPr>
            <w:tcW w:w="4530" w:type="dxa"/>
            <w:vAlign w:val="center"/>
          </w:tcPr>
          <w:p w14:paraId="3FF9F5AA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Shangcai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County People's Hospital (38)</w:t>
            </w:r>
          </w:p>
        </w:tc>
        <w:tc>
          <w:tcPr>
            <w:tcW w:w="4531" w:type="dxa"/>
            <w:vAlign w:val="center"/>
          </w:tcPr>
          <w:p w14:paraId="73525FFC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Tao Xu, Hena Dong,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Dengbo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Zhang, Wenjie Zhang, Zhenhua Liu</w:t>
            </w:r>
          </w:p>
        </w:tc>
      </w:tr>
      <w:tr w:rsidR="00223B2D" w14:paraId="6A41A279" w14:textId="77777777" w:rsidTr="008B1ED8">
        <w:tc>
          <w:tcPr>
            <w:tcW w:w="4530" w:type="dxa"/>
            <w:vAlign w:val="center"/>
          </w:tcPr>
          <w:p w14:paraId="3EE3CD89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People's Hospital of Zigong City (35)</w:t>
            </w:r>
          </w:p>
        </w:tc>
        <w:tc>
          <w:tcPr>
            <w:tcW w:w="4531" w:type="dxa"/>
            <w:vAlign w:val="center"/>
          </w:tcPr>
          <w:p w14:paraId="4450C926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Tao Qiu,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Zonglu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Jin, Min Yang, Zhijun Zhang,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Rongmei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Pu</w:t>
            </w:r>
          </w:p>
        </w:tc>
      </w:tr>
      <w:tr w:rsidR="00223B2D" w14:paraId="27678728" w14:textId="77777777" w:rsidTr="008B1ED8">
        <w:tc>
          <w:tcPr>
            <w:tcW w:w="4530" w:type="dxa"/>
            <w:vAlign w:val="center"/>
          </w:tcPr>
          <w:p w14:paraId="7302FCD5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Suining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Central Hospital (34)</w:t>
            </w:r>
          </w:p>
        </w:tc>
        <w:tc>
          <w:tcPr>
            <w:tcW w:w="4531" w:type="dxa"/>
            <w:vAlign w:val="center"/>
          </w:tcPr>
          <w:p w14:paraId="54AA6167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Ming Yu, Qin Chen, Li Liu,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Qingrong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Ouyang, Yang Du</w:t>
            </w:r>
          </w:p>
        </w:tc>
      </w:tr>
      <w:tr w:rsidR="00223B2D" w14:paraId="64102D52" w14:textId="77777777" w:rsidTr="008B1ED8">
        <w:tc>
          <w:tcPr>
            <w:tcW w:w="4530" w:type="dxa"/>
            <w:vAlign w:val="center"/>
          </w:tcPr>
          <w:p w14:paraId="49B8E219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Pujiang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County People's Hospital (29)</w:t>
            </w:r>
          </w:p>
        </w:tc>
        <w:tc>
          <w:tcPr>
            <w:tcW w:w="4531" w:type="dxa"/>
            <w:vAlign w:val="center"/>
          </w:tcPr>
          <w:p w14:paraId="54C6A76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Dandan Peng, Dan Zhang,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Hankun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Yang, Kai Peng</w:t>
            </w:r>
          </w:p>
        </w:tc>
      </w:tr>
      <w:tr w:rsidR="00223B2D" w14:paraId="3F47C68B" w14:textId="77777777" w:rsidTr="008B1ED8">
        <w:tc>
          <w:tcPr>
            <w:tcW w:w="4530" w:type="dxa"/>
            <w:vAlign w:val="center"/>
          </w:tcPr>
          <w:p w14:paraId="5BA7910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Second Affiliated Hospital of Chengdu Medical College, Nuclear Industry 416 Hospital (26)</w:t>
            </w:r>
          </w:p>
        </w:tc>
        <w:tc>
          <w:tcPr>
            <w:tcW w:w="4531" w:type="dxa"/>
            <w:vAlign w:val="center"/>
          </w:tcPr>
          <w:p w14:paraId="4672DAFC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Xindong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Liu, Wenhao Lu, Yi Zhou,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Xiwen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Chen,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Qiuju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Cao</w:t>
            </w:r>
          </w:p>
        </w:tc>
      </w:tr>
      <w:tr w:rsidR="00223B2D" w14:paraId="3A05A89C" w14:textId="77777777" w:rsidTr="008B1ED8">
        <w:tc>
          <w:tcPr>
            <w:tcW w:w="4530" w:type="dxa"/>
            <w:vAlign w:val="center"/>
          </w:tcPr>
          <w:p w14:paraId="3F98A9E6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Guanghan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People's Hospital (26)</w:t>
            </w:r>
          </w:p>
        </w:tc>
        <w:tc>
          <w:tcPr>
            <w:tcW w:w="4531" w:type="dxa"/>
            <w:vAlign w:val="center"/>
          </w:tcPr>
          <w:p w14:paraId="5EBAA981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Yalan Zhu, Qin Liu, Rong Zou, Haiyan Zheng, Huan Ren</w:t>
            </w:r>
          </w:p>
        </w:tc>
      </w:tr>
      <w:tr w:rsidR="00223B2D" w14:paraId="193526B1" w14:textId="77777777" w:rsidTr="008B1ED8">
        <w:tc>
          <w:tcPr>
            <w:tcW w:w="4530" w:type="dxa"/>
            <w:vAlign w:val="center"/>
          </w:tcPr>
          <w:p w14:paraId="06222DFC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Weihai Central Hospital (23)</w:t>
            </w:r>
          </w:p>
        </w:tc>
        <w:tc>
          <w:tcPr>
            <w:tcW w:w="4531" w:type="dxa"/>
            <w:vAlign w:val="center"/>
          </w:tcPr>
          <w:p w14:paraId="684AD0B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Xia Zhan,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Xinhu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Sun,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Dongxiao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Jiang, Yu Tao, Caixia Chen</w:t>
            </w:r>
          </w:p>
        </w:tc>
      </w:tr>
      <w:tr w:rsidR="00223B2D" w14:paraId="2E821FEB" w14:textId="77777777" w:rsidTr="008B1ED8">
        <w:tc>
          <w:tcPr>
            <w:tcW w:w="4530" w:type="dxa"/>
            <w:vAlign w:val="center"/>
          </w:tcPr>
          <w:p w14:paraId="271A089A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Ziyang People's Hospital (20)</w:t>
            </w:r>
          </w:p>
        </w:tc>
        <w:tc>
          <w:tcPr>
            <w:tcW w:w="4531" w:type="dxa"/>
            <w:vAlign w:val="center"/>
          </w:tcPr>
          <w:p w14:paraId="2CC8CD8B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Wen Lin, Jialing Huang, Qin Yin, Rong Su, Hai Xu</w:t>
            </w:r>
          </w:p>
        </w:tc>
      </w:tr>
      <w:tr w:rsidR="00223B2D" w14:paraId="1AD22C35" w14:textId="77777777" w:rsidTr="008B1ED8">
        <w:tc>
          <w:tcPr>
            <w:tcW w:w="4530" w:type="dxa"/>
            <w:vAlign w:val="center"/>
          </w:tcPr>
          <w:p w14:paraId="510F4CB7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The First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Affliated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Hospital of Traditional Chinese Medicine of Chengdu Medical </w:t>
            </w:r>
            <w:r>
              <w:rPr>
                <w:rFonts w:ascii="Times New Roman" w:eastAsia="Times New Roman" w:hAnsi="Times New Roman" w:cs="Times New Roman" w:hint="eastAsia"/>
                <w:kern w:val="0"/>
              </w:rPr>
              <w:lastRenderedPageBreak/>
              <w:t>College (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XinDu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Hospital of Traditional Chinese Medicine) (19)</w:t>
            </w:r>
          </w:p>
        </w:tc>
        <w:tc>
          <w:tcPr>
            <w:tcW w:w="4531" w:type="dxa"/>
            <w:vAlign w:val="center"/>
          </w:tcPr>
          <w:p w14:paraId="52FEFA39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lastRenderedPageBreak/>
              <w:t xml:space="preserve">Xiaoling Cao, Jing Huang, Simin Mei,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Zhongwen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He,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Baiyang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Li</w:t>
            </w:r>
          </w:p>
        </w:tc>
      </w:tr>
      <w:tr w:rsidR="00223B2D" w:rsidRPr="00B22CC1" w14:paraId="5526705A" w14:textId="77777777" w:rsidTr="008B1ED8">
        <w:tc>
          <w:tcPr>
            <w:tcW w:w="4530" w:type="dxa"/>
            <w:vAlign w:val="center"/>
          </w:tcPr>
          <w:p w14:paraId="0BF6BC62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Affiliated Hospital of Chengdu Medical College (17)</w:t>
            </w:r>
          </w:p>
        </w:tc>
        <w:tc>
          <w:tcPr>
            <w:tcW w:w="4531" w:type="dxa"/>
            <w:vAlign w:val="center"/>
          </w:tcPr>
          <w:p w14:paraId="13A5A7E3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lang w:val="fr-FR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  <w:lang w:val="fr-FR"/>
              </w:rPr>
              <w:t>Xianwei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  <w:lang w:val="fr-FR"/>
              </w:rPr>
              <w:t xml:space="preserve"> Zou, Meiling Hu, Yizhou Liu, Bi Ma, Yanhong Li</w:t>
            </w:r>
          </w:p>
        </w:tc>
      </w:tr>
      <w:tr w:rsidR="00223B2D" w14:paraId="2438869B" w14:textId="77777777" w:rsidTr="008B1ED8">
        <w:tc>
          <w:tcPr>
            <w:tcW w:w="4530" w:type="dxa"/>
            <w:vAlign w:val="center"/>
          </w:tcPr>
          <w:p w14:paraId="3EB11213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Fourth People's Hospital of Zigong (17)</w:t>
            </w:r>
          </w:p>
        </w:tc>
        <w:tc>
          <w:tcPr>
            <w:tcW w:w="4531" w:type="dxa"/>
            <w:vAlign w:val="center"/>
          </w:tcPr>
          <w:p w14:paraId="2A0F3387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Yunbo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Chen, Fuli Wang, Lei Xu, Huan Liao</w:t>
            </w:r>
          </w:p>
        </w:tc>
      </w:tr>
      <w:tr w:rsidR="00223B2D" w14:paraId="2FADDD6E" w14:textId="77777777" w:rsidTr="008B1ED8">
        <w:tc>
          <w:tcPr>
            <w:tcW w:w="4530" w:type="dxa"/>
            <w:vAlign w:val="center"/>
          </w:tcPr>
          <w:p w14:paraId="2790A381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People's Hospital of Guangming District (16)</w:t>
            </w:r>
          </w:p>
        </w:tc>
        <w:tc>
          <w:tcPr>
            <w:tcW w:w="4531" w:type="dxa"/>
            <w:vAlign w:val="center"/>
          </w:tcPr>
          <w:p w14:paraId="72DD525E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Yong Zhu, Haiming Yang, Yufei Kou,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Chanchan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Liu, Libo Zhang</w:t>
            </w:r>
          </w:p>
        </w:tc>
      </w:tr>
      <w:tr w:rsidR="00223B2D" w14:paraId="3D66B573" w14:textId="77777777" w:rsidTr="008B1ED8">
        <w:tc>
          <w:tcPr>
            <w:tcW w:w="4530" w:type="dxa"/>
            <w:vAlign w:val="center"/>
          </w:tcPr>
          <w:p w14:paraId="3C149369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Sixth People's Hospital of Chengdu (9)</w:t>
            </w:r>
          </w:p>
        </w:tc>
        <w:tc>
          <w:tcPr>
            <w:tcW w:w="4531" w:type="dxa"/>
            <w:vAlign w:val="center"/>
          </w:tcPr>
          <w:p w14:paraId="7C6803CC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Mei Liu, Yali Cheng,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Jizhuang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Fang, Jing Zhang, Yan Yang</w:t>
            </w:r>
          </w:p>
        </w:tc>
      </w:tr>
      <w:tr w:rsidR="00223B2D" w14:paraId="0EF634E8" w14:textId="77777777" w:rsidTr="008B1ED8">
        <w:tc>
          <w:tcPr>
            <w:tcW w:w="4530" w:type="dxa"/>
            <w:vAlign w:val="center"/>
          </w:tcPr>
          <w:p w14:paraId="284BDEDC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Chengdu Seventh People's Hospital (Affiliated Cancer Hospital of Chengdu Medical College) (9)</w:t>
            </w:r>
          </w:p>
        </w:tc>
        <w:tc>
          <w:tcPr>
            <w:tcW w:w="4531" w:type="dxa"/>
            <w:vAlign w:val="center"/>
          </w:tcPr>
          <w:p w14:paraId="01B16ED9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Baiyuan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Yang, Yidan Liu,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Meiwen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He,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Shucheng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Li,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Keting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Liu</w:t>
            </w:r>
          </w:p>
        </w:tc>
      </w:tr>
    </w:tbl>
    <w:p w14:paraId="165852FF" w14:textId="77777777" w:rsidR="00223B2D" w:rsidRDefault="00223B2D">
      <w:pPr>
        <w:spacing w:after="65"/>
      </w:pPr>
    </w:p>
    <w:p w14:paraId="5574B948" w14:textId="77777777" w:rsidR="00223B2D" w:rsidRDefault="00FF29C6">
      <w:pPr>
        <w:widowControl/>
        <w:adjustRightInd/>
        <w:snapToGrid/>
        <w:spacing w:afterLines="0" w:after="0" w:line="240" w:lineRule="auto"/>
        <w:jc w:val="left"/>
      </w:pPr>
      <w:r>
        <w:br w:type="page"/>
      </w:r>
    </w:p>
    <w:p w14:paraId="79F4E548" w14:textId="77777777" w:rsidR="00223B2D" w:rsidRDefault="00FF29C6">
      <w:pPr>
        <w:widowControl/>
        <w:adjustRightInd/>
        <w:snapToGrid/>
        <w:spacing w:beforeLines="50" w:before="163" w:afterLines="50" w:after="163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sz w:val="22"/>
          <w:szCs w:val="22"/>
        </w:rPr>
        <w:lastRenderedPageBreak/>
        <w:t xml:space="preserve">Table S2. </w:t>
      </w:r>
      <w:r>
        <w:rPr>
          <w:rFonts w:ascii="Times New Roman" w:hAnsi="Times New Roman" w:cs="Times New Roman" w:hint="eastAsia"/>
          <w:b/>
          <w:bCs/>
          <w:lang w:eastAsia="de-CH"/>
        </w:rPr>
        <w:t>PATH STROKE A study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669"/>
      </w:tblGrid>
      <w:tr w:rsidR="00223B2D" w14:paraId="61A4064E" w14:textId="77777777">
        <w:trPr>
          <w:trHeight w:val="358"/>
        </w:trPr>
        <w:tc>
          <w:tcPr>
            <w:tcW w:w="9160" w:type="dxa"/>
            <w:gridSpan w:val="2"/>
          </w:tcPr>
          <w:p w14:paraId="430CEB19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de-CH"/>
              </w:rPr>
              <w:t>Trial Steering Committee (TSC)</w:t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instrText xml:space="preserve"> ADDIN EN.REFLIST </w:instrText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end"/>
            </w:r>
          </w:p>
        </w:tc>
      </w:tr>
      <w:tr w:rsidR="00223B2D" w14:paraId="38D19A37" w14:textId="77777777">
        <w:trPr>
          <w:trHeight w:val="358"/>
        </w:trPr>
        <w:tc>
          <w:tcPr>
            <w:tcW w:w="4439" w:type="dxa"/>
          </w:tcPr>
          <w:p w14:paraId="6C92D193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Name</w:t>
            </w:r>
          </w:p>
        </w:tc>
        <w:tc>
          <w:tcPr>
            <w:tcW w:w="4721" w:type="dxa"/>
          </w:tcPr>
          <w:p w14:paraId="577EDC2D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</w:rPr>
              <w:t>Affiliation</w:t>
            </w:r>
          </w:p>
        </w:tc>
      </w:tr>
      <w:tr w:rsidR="00223B2D" w14:paraId="1EBE6C27" w14:textId="77777777">
        <w:trPr>
          <w:trHeight w:val="358"/>
        </w:trPr>
        <w:tc>
          <w:tcPr>
            <w:tcW w:w="4439" w:type="dxa"/>
          </w:tcPr>
          <w:p w14:paraId="5C161116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Jie Yang (Chair, Principal Investigator)</w:t>
            </w:r>
          </w:p>
        </w:tc>
        <w:tc>
          <w:tcPr>
            <w:tcW w:w="4721" w:type="dxa"/>
          </w:tcPr>
          <w:p w14:paraId="559A626A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Sichuan Provincial People's Hospital, School of Medicine, University of Electronic Science and Technology of China, Chengdu, China</w:t>
            </w:r>
          </w:p>
        </w:tc>
      </w:tr>
      <w:tr w:rsidR="00223B2D" w14:paraId="26EB6CBD" w14:textId="77777777">
        <w:trPr>
          <w:trHeight w:val="358"/>
        </w:trPr>
        <w:tc>
          <w:tcPr>
            <w:tcW w:w="4439" w:type="dxa"/>
          </w:tcPr>
          <w:p w14:paraId="0A47E060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Craig Anderson (Co-Principal Investigator)</w:t>
            </w:r>
          </w:p>
          <w:p w14:paraId="02776BF1" w14:textId="77777777" w:rsidR="00223B2D" w:rsidRDefault="00223B2D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4721" w:type="dxa"/>
          </w:tcPr>
          <w:p w14:paraId="3A749E58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Institute of Science and Technology for Brain-inspired Intelligence, Fudan University, Shanghai, China; and The George Institute for Global Health, University of New South Wales, Sydney, Australia</w:t>
            </w:r>
          </w:p>
        </w:tc>
      </w:tr>
      <w:tr w:rsidR="00223B2D" w14:paraId="1AF546C4" w14:textId="77777777">
        <w:trPr>
          <w:trHeight w:val="358"/>
        </w:trPr>
        <w:tc>
          <w:tcPr>
            <w:tcW w:w="4439" w:type="dxa"/>
          </w:tcPr>
          <w:p w14:paraId="30B7662D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Yapeng Lin (Co-Principal Investigator)</w:t>
            </w:r>
          </w:p>
        </w:tc>
        <w:tc>
          <w:tcPr>
            <w:tcW w:w="4721" w:type="dxa"/>
          </w:tcPr>
          <w:p w14:paraId="06D7AC2F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Affiliated Hospital of Chengdu Medical College, Chengdu, China</w:t>
            </w:r>
          </w:p>
        </w:tc>
      </w:tr>
      <w:tr w:rsidR="00223B2D" w14:paraId="33A20AC3" w14:textId="77777777">
        <w:trPr>
          <w:trHeight w:val="358"/>
        </w:trPr>
        <w:tc>
          <w:tcPr>
            <w:tcW w:w="9160" w:type="dxa"/>
            <w:gridSpan w:val="2"/>
          </w:tcPr>
          <w:p w14:paraId="4EA88FD0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hAnsi="Times New Roman" w:cs="Times New Roman" w:hint="eastAsia"/>
                <w:b/>
                <w:bCs/>
                <w:lang w:eastAsia="de-CH"/>
              </w:rPr>
              <w:t>Advisory Committee</w:t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instrText xml:space="preserve"> ADDIN EN.REFLIST </w:instrText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bCs/>
                <w:lang w:eastAsia="de-CH"/>
              </w:rPr>
              <w:fldChar w:fldCharType="end"/>
            </w:r>
          </w:p>
        </w:tc>
      </w:tr>
      <w:tr w:rsidR="00223B2D" w14:paraId="1B554F4B" w14:textId="77777777">
        <w:trPr>
          <w:trHeight w:val="358"/>
        </w:trPr>
        <w:tc>
          <w:tcPr>
            <w:tcW w:w="4439" w:type="dxa"/>
          </w:tcPr>
          <w:p w14:paraId="6A839967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Name</w:t>
            </w:r>
          </w:p>
        </w:tc>
        <w:tc>
          <w:tcPr>
            <w:tcW w:w="4721" w:type="dxa"/>
          </w:tcPr>
          <w:p w14:paraId="55A0F7F5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</w:rPr>
              <w:t>Affiliation</w:t>
            </w:r>
          </w:p>
        </w:tc>
      </w:tr>
      <w:tr w:rsidR="00223B2D" w14:paraId="3CD6E026" w14:textId="77777777">
        <w:trPr>
          <w:trHeight w:val="358"/>
        </w:trPr>
        <w:tc>
          <w:tcPr>
            <w:tcW w:w="4439" w:type="dxa"/>
          </w:tcPr>
          <w:p w14:paraId="32CFA931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 w:hint="eastAsia"/>
              </w:rPr>
              <w:t>Xia Wang</w:t>
            </w:r>
          </w:p>
        </w:tc>
        <w:tc>
          <w:tcPr>
            <w:tcW w:w="4721" w:type="dxa"/>
          </w:tcPr>
          <w:p w14:paraId="639A9870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 w:hint="eastAsia"/>
              </w:rPr>
              <w:t>The George Institute for Global Health, Faculty of Medicine, University of New South Wales, Sydney, Australia</w:t>
            </w:r>
          </w:p>
        </w:tc>
      </w:tr>
      <w:tr w:rsidR="00223B2D" w14:paraId="49B97772" w14:textId="77777777">
        <w:trPr>
          <w:trHeight w:val="358"/>
        </w:trPr>
        <w:tc>
          <w:tcPr>
            <w:tcW w:w="4439" w:type="dxa"/>
          </w:tcPr>
          <w:p w14:paraId="1A61D505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/>
              </w:rPr>
              <w:t>Hisatomi Arima</w:t>
            </w:r>
          </w:p>
        </w:tc>
        <w:tc>
          <w:tcPr>
            <w:tcW w:w="4721" w:type="dxa"/>
          </w:tcPr>
          <w:p w14:paraId="3635D1AC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</w:rPr>
            </w:pPr>
            <w:r>
              <w:rPr>
                <w:rFonts w:ascii="Times New Roman" w:eastAsia="SimSun" w:hAnsi="Times New Roman" w:cs="Times New Roman" w:hint="eastAsia"/>
              </w:rPr>
              <w:t>Faculty of Medicine, Fukuoka University, Fukuoka, Japan</w:t>
            </w:r>
          </w:p>
        </w:tc>
      </w:tr>
      <w:tr w:rsidR="00223B2D" w14:paraId="7D7701F7" w14:textId="77777777">
        <w:trPr>
          <w:trHeight w:val="358"/>
        </w:trPr>
        <w:tc>
          <w:tcPr>
            <w:tcW w:w="9160" w:type="dxa"/>
            <w:gridSpan w:val="2"/>
          </w:tcPr>
          <w:p w14:paraId="6B282096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</w:rPr>
              <w:t>Data Safety Monitoring Board</w:t>
            </w:r>
          </w:p>
        </w:tc>
      </w:tr>
      <w:tr w:rsidR="00223B2D" w14:paraId="5CFBB7EC" w14:textId="77777777">
        <w:trPr>
          <w:trHeight w:val="358"/>
        </w:trPr>
        <w:tc>
          <w:tcPr>
            <w:tcW w:w="4439" w:type="dxa"/>
          </w:tcPr>
          <w:p w14:paraId="59935B16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Name</w:t>
            </w:r>
          </w:p>
        </w:tc>
        <w:tc>
          <w:tcPr>
            <w:tcW w:w="4721" w:type="dxa"/>
          </w:tcPr>
          <w:p w14:paraId="051A4CAA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</w:rPr>
              <w:t>Affiliation</w:t>
            </w:r>
          </w:p>
        </w:tc>
      </w:tr>
      <w:tr w:rsidR="00223B2D" w14:paraId="0EE6AAF0" w14:textId="77777777">
        <w:trPr>
          <w:trHeight w:val="649"/>
        </w:trPr>
        <w:tc>
          <w:tcPr>
            <w:tcW w:w="4439" w:type="dxa"/>
            <w:vAlign w:val="center"/>
          </w:tcPr>
          <w:p w14:paraId="3FCBD258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/>
              </w:rPr>
              <w:t xml:space="preserve">Qingwu Yang </w:t>
            </w:r>
            <w:r>
              <w:rPr>
                <w:rFonts w:ascii="Times New Roman" w:eastAsia="SimSun" w:hAnsi="Times New Roman" w:cs="Times New Roman" w:hint="eastAsia"/>
              </w:rPr>
              <w:t>(Chair)</w:t>
            </w:r>
          </w:p>
        </w:tc>
        <w:tc>
          <w:tcPr>
            <w:tcW w:w="4721" w:type="dxa"/>
            <w:vAlign w:val="center"/>
          </w:tcPr>
          <w:p w14:paraId="09514C3E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Second Affiliated Hospital of Army Medical University (Third Military Medical University)</w:t>
            </w:r>
          </w:p>
        </w:tc>
      </w:tr>
      <w:tr w:rsidR="00223B2D" w14:paraId="205D0B6D" w14:textId="77777777">
        <w:trPr>
          <w:trHeight w:val="358"/>
        </w:trPr>
        <w:tc>
          <w:tcPr>
            <w:tcW w:w="4439" w:type="dxa"/>
            <w:vAlign w:val="center"/>
          </w:tcPr>
          <w:p w14:paraId="42386672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/>
                <w:kern w:val="0"/>
              </w:rPr>
              <w:t>Lili Song</w:t>
            </w:r>
          </w:p>
        </w:tc>
        <w:tc>
          <w:tcPr>
            <w:tcW w:w="4721" w:type="dxa"/>
            <w:vAlign w:val="center"/>
          </w:tcPr>
          <w:p w14:paraId="08BEF22B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/>
                <w:kern w:val="0"/>
              </w:rPr>
              <w:t>Fudan University</w:t>
            </w:r>
          </w:p>
        </w:tc>
      </w:tr>
      <w:tr w:rsidR="00223B2D" w14:paraId="27C9B528" w14:textId="77777777">
        <w:trPr>
          <w:trHeight w:val="358"/>
        </w:trPr>
        <w:tc>
          <w:tcPr>
            <w:tcW w:w="4439" w:type="dxa"/>
            <w:vAlign w:val="center"/>
          </w:tcPr>
          <w:p w14:paraId="2C8C2A18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Jiayuan Li</w:t>
            </w:r>
          </w:p>
        </w:tc>
        <w:tc>
          <w:tcPr>
            <w:tcW w:w="4721" w:type="dxa"/>
            <w:vAlign w:val="center"/>
          </w:tcPr>
          <w:p w14:paraId="183797DD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West China Hospital, Sichuan University</w:t>
            </w:r>
          </w:p>
        </w:tc>
      </w:tr>
      <w:tr w:rsidR="00223B2D" w14:paraId="26320A1F" w14:textId="77777777">
        <w:trPr>
          <w:trHeight w:val="358"/>
        </w:trPr>
        <w:tc>
          <w:tcPr>
            <w:tcW w:w="4439" w:type="dxa"/>
            <w:vAlign w:val="center"/>
          </w:tcPr>
          <w:p w14:paraId="00377808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Wei Hu</w:t>
            </w:r>
          </w:p>
        </w:tc>
        <w:tc>
          <w:tcPr>
            <w:tcW w:w="4721" w:type="dxa"/>
            <w:vAlign w:val="center"/>
          </w:tcPr>
          <w:p w14:paraId="6B047CBB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Affiliated Hospital of University of Science and Technology of China</w:t>
            </w:r>
          </w:p>
        </w:tc>
      </w:tr>
      <w:tr w:rsidR="00223B2D" w14:paraId="1E15D399" w14:textId="77777777">
        <w:trPr>
          <w:trHeight w:val="358"/>
        </w:trPr>
        <w:tc>
          <w:tcPr>
            <w:tcW w:w="4439" w:type="dxa"/>
            <w:vAlign w:val="center"/>
          </w:tcPr>
          <w:p w14:paraId="68BB169C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Simiao Wu</w:t>
            </w:r>
          </w:p>
        </w:tc>
        <w:tc>
          <w:tcPr>
            <w:tcW w:w="4721" w:type="dxa"/>
            <w:vAlign w:val="center"/>
          </w:tcPr>
          <w:p w14:paraId="6C5F4638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West China Hospital, Sichuan University</w:t>
            </w:r>
          </w:p>
        </w:tc>
      </w:tr>
      <w:tr w:rsidR="00223B2D" w14:paraId="6BB8E322" w14:textId="77777777">
        <w:trPr>
          <w:trHeight w:val="358"/>
        </w:trPr>
        <w:tc>
          <w:tcPr>
            <w:tcW w:w="9160" w:type="dxa"/>
            <w:gridSpan w:val="2"/>
            <w:vAlign w:val="center"/>
          </w:tcPr>
          <w:p w14:paraId="466354CC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</w:rPr>
              <w:t>Medical Review Committee</w:t>
            </w:r>
          </w:p>
        </w:tc>
      </w:tr>
      <w:tr w:rsidR="00223B2D" w14:paraId="6192108B" w14:textId="77777777">
        <w:trPr>
          <w:trHeight w:val="358"/>
        </w:trPr>
        <w:tc>
          <w:tcPr>
            <w:tcW w:w="4439" w:type="dxa"/>
          </w:tcPr>
          <w:p w14:paraId="2EEE8511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Name</w:t>
            </w:r>
          </w:p>
        </w:tc>
        <w:tc>
          <w:tcPr>
            <w:tcW w:w="4721" w:type="dxa"/>
          </w:tcPr>
          <w:p w14:paraId="0F739E71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</w:rPr>
              <w:t>Affiliation</w:t>
            </w:r>
          </w:p>
        </w:tc>
      </w:tr>
      <w:tr w:rsidR="00223B2D" w14:paraId="10DB63F0" w14:textId="77777777">
        <w:trPr>
          <w:trHeight w:val="358"/>
        </w:trPr>
        <w:tc>
          <w:tcPr>
            <w:tcW w:w="4439" w:type="dxa"/>
            <w:vAlign w:val="center"/>
          </w:tcPr>
          <w:p w14:paraId="3B9186E1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Fengkai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Mao</w:t>
            </w:r>
            <w:r>
              <w:rPr>
                <w:rFonts w:ascii="Times New Roman" w:eastAsia="SimSun" w:hAnsi="Times New Roman" w:cs="Times New Roman" w:hint="eastAsia"/>
                <w:kern w:val="0"/>
              </w:rPr>
              <w:t>, Hongwei Deng</w:t>
            </w:r>
          </w:p>
        </w:tc>
        <w:tc>
          <w:tcPr>
            <w:tcW w:w="4721" w:type="dxa"/>
            <w:vAlign w:val="center"/>
          </w:tcPr>
          <w:p w14:paraId="58F02C2B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The First Affiliated Hospital of Chengdu Medical College, Chengdu, China</w:t>
            </w:r>
          </w:p>
        </w:tc>
      </w:tr>
      <w:tr w:rsidR="00223B2D" w14:paraId="4DD2DDF5" w14:textId="77777777">
        <w:trPr>
          <w:trHeight w:val="358"/>
        </w:trPr>
        <w:tc>
          <w:tcPr>
            <w:tcW w:w="4439" w:type="dxa"/>
            <w:vAlign w:val="center"/>
          </w:tcPr>
          <w:p w14:paraId="4B959A65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Guoliang Zhu,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Quandan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Tan</w:t>
            </w:r>
            <w:r>
              <w:rPr>
                <w:rFonts w:ascii="Times New Roman" w:eastAsia="SimSun" w:hAnsi="Times New Roman" w:cs="Times New Roman" w:hint="eastAsia"/>
                <w:kern w:val="0"/>
              </w:rPr>
              <w:t>, Xiaoling Chen</w:t>
            </w:r>
          </w:p>
        </w:tc>
        <w:tc>
          <w:tcPr>
            <w:tcW w:w="4721" w:type="dxa"/>
            <w:vAlign w:val="center"/>
          </w:tcPr>
          <w:p w14:paraId="4550F4F9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Sichuan Provincial People's Hospital, School of Medicine, University of Electronic Science and Technology of China, Chengdu, China</w:t>
            </w:r>
          </w:p>
        </w:tc>
      </w:tr>
      <w:tr w:rsidR="00223B2D" w14:paraId="00D715B3" w14:textId="77777777">
        <w:trPr>
          <w:trHeight w:val="358"/>
        </w:trPr>
        <w:tc>
          <w:tcPr>
            <w:tcW w:w="9160" w:type="dxa"/>
            <w:gridSpan w:val="2"/>
            <w:vAlign w:val="center"/>
          </w:tcPr>
          <w:p w14:paraId="2D99D041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</w:rPr>
              <w:t>Central Coordinating Center (CCC)</w:t>
            </w:r>
          </w:p>
        </w:tc>
      </w:tr>
      <w:tr w:rsidR="00223B2D" w14:paraId="58296C46" w14:textId="77777777">
        <w:trPr>
          <w:trHeight w:val="358"/>
        </w:trPr>
        <w:tc>
          <w:tcPr>
            <w:tcW w:w="4439" w:type="dxa"/>
          </w:tcPr>
          <w:p w14:paraId="56681D76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</w:rPr>
              <w:t>Name</w:t>
            </w:r>
          </w:p>
        </w:tc>
        <w:tc>
          <w:tcPr>
            <w:tcW w:w="4721" w:type="dxa"/>
          </w:tcPr>
          <w:p w14:paraId="733F22DD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</w:rPr>
              <w:t>Affiliation</w:t>
            </w:r>
          </w:p>
        </w:tc>
      </w:tr>
      <w:tr w:rsidR="00223B2D" w14:paraId="068E2CFF" w14:textId="77777777">
        <w:trPr>
          <w:trHeight w:val="358"/>
        </w:trPr>
        <w:tc>
          <w:tcPr>
            <w:tcW w:w="4439" w:type="dxa"/>
            <w:vAlign w:val="center"/>
          </w:tcPr>
          <w:p w14:paraId="482B9A29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Ruijuan Gang,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Pengyuan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Wang, Weijia Liao, Chao Chang, Qi Xu,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Genyu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Qu, Hang Su, Lifan Xiao, Yujie Tang, Yun Xin,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Yuetong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Luo, Xiong Yu, Xi Zeng,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Mengli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Zhu, Qian Huang, Kehan Qin,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lastRenderedPageBreak/>
              <w:t>Jingwen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Xia,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Chenlin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Hu,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Chaochen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Yin,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Shuqi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Yang,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Jingli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Lin, Linjie Xie,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Zhongsong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Zhang, Xinran Li,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Jingfeng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Zhou,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Mingtian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Zhuang,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Jiubai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He, Keyi Gou, Rong Wang, </w:t>
            </w:r>
            <w:proofErr w:type="spellStart"/>
            <w:r>
              <w:rPr>
                <w:rFonts w:ascii="Times New Roman" w:eastAsia="SimSun" w:hAnsi="Times New Roman" w:cs="Times New Roman" w:hint="eastAsia"/>
                <w:kern w:val="0"/>
              </w:rPr>
              <w:t>Lekang</w:t>
            </w:r>
            <w:proofErr w:type="spellEnd"/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Ren</w:t>
            </w:r>
          </w:p>
        </w:tc>
        <w:tc>
          <w:tcPr>
            <w:tcW w:w="4721" w:type="dxa"/>
            <w:vAlign w:val="center"/>
          </w:tcPr>
          <w:p w14:paraId="4BC603D7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lastRenderedPageBreak/>
              <w:t>The First Affiliated Hospital of Chengdu Medical College, Chengdu, China</w:t>
            </w:r>
          </w:p>
        </w:tc>
      </w:tr>
      <w:tr w:rsidR="00223B2D" w14:paraId="50800347" w14:textId="77777777">
        <w:trPr>
          <w:trHeight w:val="358"/>
        </w:trPr>
        <w:tc>
          <w:tcPr>
            <w:tcW w:w="4439" w:type="dxa"/>
            <w:vAlign w:val="center"/>
          </w:tcPr>
          <w:p w14:paraId="1760D69B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SimSun" w:hAnsi="Times New Roman" w:cs="Times New Roman"/>
                <w:kern w:val="0"/>
              </w:rPr>
            </w:pP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Yaopeng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Chen</w:t>
            </w:r>
            <w:r>
              <w:rPr>
                <w:rFonts w:ascii="Times New Roman" w:eastAsia="SimSun" w:hAnsi="Times New Roman" w:cs="Times New Roman" w:hint="eastAsia"/>
                <w:kern w:val="0"/>
              </w:rPr>
              <w:t xml:space="preserve"> </w:t>
            </w:r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(Project Manager), </w:t>
            </w:r>
            <w:proofErr w:type="spellStart"/>
            <w:r>
              <w:rPr>
                <w:rFonts w:ascii="Times New Roman" w:eastAsia="Times New Roman" w:hAnsi="Times New Roman" w:cs="Times New Roman" w:hint="eastAsia"/>
                <w:kern w:val="0"/>
              </w:rPr>
              <w:t>Qiaofeng</w:t>
            </w:r>
            <w:proofErr w:type="spellEnd"/>
            <w:r>
              <w:rPr>
                <w:rFonts w:ascii="Times New Roman" w:eastAsia="Times New Roman" w:hAnsi="Times New Roman" w:cs="Times New Roman" w:hint="eastAsia"/>
                <w:kern w:val="0"/>
              </w:rPr>
              <w:t xml:space="preserve"> Zhong, Qin You</w:t>
            </w:r>
            <w:r>
              <w:rPr>
                <w:rFonts w:ascii="Times New Roman" w:eastAsia="SimSun" w:hAnsi="Times New Roman" w:cs="Times New Roman" w:hint="eastAsia"/>
                <w:kern w:val="0"/>
              </w:rPr>
              <w:t>, Feng Mao</w:t>
            </w:r>
          </w:p>
        </w:tc>
        <w:tc>
          <w:tcPr>
            <w:tcW w:w="4721" w:type="dxa"/>
            <w:vAlign w:val="center"/>
          </w:tcPr>
          <w:p w14:paraId="7915B2F9" w14:textId="77777777" w:rsidR="00223B2D" w:rsidRDefault="00FF29C6" w:rsidP="00460A2C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</w:rPr>
              <w:t>Sichuan Provincial People's Hospital, School of Medicine, University of Electronic Science and Technology of China, Chengdu, China</w:t>
            </w:r>
          </w:p>
        </w:tc>
      </w:tr>
    </w:tbl>
    <w:p w14:paraId="5A0A8858" w14:textId="77777777" w:rsidR="00223B2D" w:rsidRDefault="00223B2D">
      <w:pPr>
        <w:spacing w:after="65"/>
      </w:pPr>
    </w:p>
    <w:p w14:paraId="478BA823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lang w:val="en-AU"/>
        </w:rPr>
      </w:pPr>
    </w:p>
    <w:p w14:paraId="4E8F3C09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3EC10D7F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2FF77EE4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5719EB96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149523A2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58961287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276E4896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893DAB2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21F4ACB1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6BE8DA19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35189198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3D5C044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314214A4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6635F6CD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166652C4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9A7F21B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F7B0B43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4FB3DD4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7B43BD60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50E07EDC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71825C6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50BEA01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73DC22B7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544D73A1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22E707D5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DDEC045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3A32F388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2DF2AB7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78A3AD1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47056B8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087CB337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</w:p>
    <w:p w14:paraId="40C4316E" w14:textId="622E63B1" w:rsidR="00223B2D" w:rsidRDefault="00FF29C6" w:rsidP="00460A2C">
      <w:pPr>
        <w:widowControl/>
        <w:adjustRightInd/>
        <w:snapToGrid/>
        <w:spacing w:afterLines="0" w:after="120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eastAsia="DengXian" w:hAnsi="Times New Roman" w:cs="Times New Roman"/>
          <w:b/>
          <w:bCs/>
          <w:kern w:val="0"/>
          <w:sz w:val="22"/>
          <w:szCs w:val="22"/>
        </w:rPr>
        <w:lastRenderedPageBreak/>
        <w:t>Table S</w:t>
      </w:r>
      <w:r>
        <w:rPr>
          <w:rFonts w:ascii="Times New Roman" w:eastAsia="DengXian" w:hAnsi="Times New Roman" w:cs="Times New Roman" w:hint="eastAsia"/>
          <w:b/>
          <w:bCs/>
          <w:kern w:val="0"/>
          <w:sz w:val="22"/>
          <w:szCs w:val="22"/>
        </w:rPr>
        <w:t>3</w:t>
      </w:r>
      <w:r w:rsidR="00460A2C">
        <w:rPr>
          <w:rFonts w:ascii="Times New Roman" w:eastAsia="DengXian" w:hAnsi="Times New Roman" w:cs="Times New Roman"/>
          <w:b/>
          <w:bCs/>
          <w:kern w:val="0"/>
          <w:sz w:val="22"/>
          <w:szCs w:val="22"/>
        </w:rPr>
        <w:t>.</w:t>
      </w:r>
      <w:r>
        <w:rPr>
          <w:rFonts w:ascii="Times New Roman" w:eastAsia="DengXian" w:hAnsi="Times New Roman" w:cs="Times New Roman" w:hint="eastAsia"/>
          <w:b/>
          <w:bCs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</w:rPr>
        <w:t>Standardized Operation and Quality Control Protocol for PL</w:t>
      </w:r>
      <w:r>
        <w:rPr>
          <w:rFonts w:ascii="Times New Roman" w:hAnsi="Times New Roman" w:cs="Times New Roman"/>
          <w:b/>
          <w:bCs/>
        </w:rPr>
        <w:noBreakHyphen/>
        <w:t>12 Platelet Function Testing</w:t>
      </w:r>
    </w:p>
    <w:p w14:paraId="11C85737" w14:textId="77777777" w:rsidR="00223B2D" w:rsidRPr="00540C7B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  <w:r w:rsidRPr="00540C7B">
        <w:rPr>
          <w:rFonts w:ascii="Times New Roman" w:hAnsi="Times New Roman" w:cs="Times New Roman"/>
          <w:b/>
          <w:bCs/>
        </w:rPr>
        <w:t>I. Standardized Management of Testing Personnel</w:t>
      </w:r>
    </w:p>
    <w:p w14:paraId="4DC695E6" w14:textId="77777777" w:rsidR="00223B2D" w:rsidRDefault="00FF29C6">
      <w:pPr>
        <w:widowControl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Dedicated Staff</w:t>
      </w:r>
      <w:r>
        <w:rPr>
          <w:rFonts w:ascii="Times New Roman" w:hAnsi="Times New Roman" w:cs="Times New Roman"/>
        </w:rPr>
        <w:t>: Each participating center shall assign 2–3 dedicated laboratory technicians, who shall be responsible for all testing procedures. No unauthorized replacement of personnel is allowed without approval from the project team.</w:t>
      </w:r>
    </w:p>
    <w:p w14:paraId="567165E1" w14:textId="77777777" w:rsidR="00223B2D" w:rsidRDefault="00FF29C6">
      <w:pPr>
        <w:widowControl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Unified Training and Certification</w:t>
      </w:r>
      <w:r>
        <w:rPr>
          <w:rFonts w:ascii="Times New Roman" w:hAnsi="Times New Roman" w:cs="Times New Roman"/>
        </w:rPr>
        <w:t>: All technicians shall complete unified theoretical and practical training organized by the project team, covering the PL</w:t>
      </w:r>
      <w:r>
        <w:rPr>
          <w:rFonts w:ascii="Times New Roman" w:hAnsi="Times New Roman" w:cs="Times New Roman"/>
        </w:rPr>
        <w:noBreakHyphen/>
        <w:t>12 testing principle, antiplatelet drug assessment logic, sample handling protocols, and quality control requirements. Only technicians who pass the assessment shall be qualified to perform tests independently.</w:t>
      </w:r>
    </w:p>
    <w:p w14:paraId="575E53F6" w14:textId="77777777" w:rsidR="00223B2D" w:rsidRDefault="00FF29C6">
      <w:pPr>
        <w:widowControl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Periodic Retraining and Audits</w:t>
      </w:r>
      <w:r>
        <w:rPr>
          <w:rFonts w:ascii="Times New Roman" w:hAnsi="Times New Roman" w:cs="Times New Roman"/>
        </w:rPr>
        <w:t>: The project team shall conduct retraining and on-site/remote random audits every six months to ensure procedural consistency, eliminate inter-center bias, and guarantee homogeneous and comparable data across all centers.</w:t>
      </w:r>
    </w:p>
    <w:p w14:paraId="58C7DB6F" w14:textId="77777777" w:rsidR="00223B2D" w:rsidRPr="00540C7B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  <w:r w:rsidRPr="00540C7B">
        <w:rPr>
          <w:rFonts w:ascii="Times New Roman" w:hAnsi="Times New Roman" w:cs="Times New Roman"/>
          <w:b/>
          <w:bCs/>
        </w:rPr>
        <w:t>II. Standardized PL</w:t>
      </w:r>
      <w:r w:rsidRPr="00540C7B">
        <w:rPr>
          <w:rFonts w:ascii="Times New Roman" w:hAnsi="Times New Roman" w:cs="Times New Roman"/>
          <w:b/>
          <w:bCs/>
        </w:rPr>
        <w:noBreakHyphen/>
        <w:t>12 Platelet Function Testing Procedure</w:t>
      </w:r>
    </w:p>
    <w:p w14:paraId="063A0DB7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PL</w:t>
      </w:r>
      <w:r>
        <w:rPr>
          <w:rFonts w:ascii="Times New Roman" w:hAnsi="Times New Roman" w:cs="Times New Roman"/>
        </w:rPr>
        <w:noBreakHyphen/>
        <w:t xml:space="preserve">12 automatic platelet function analyzer is used in this study. </w:t>
      </w:r>
      <w:r>
        <w:rPr>
          <w:rFonts w:ascii="Times New Roman" w:hAnsi="Times New Roman" w:cs="Times New Roman"/>
          <w:b/>
          <w:bCs/>
        </w:rPr>
        <w:t>Arachidonic acid (AA)</w:t>
      </w:r>
      <w:r>
        <w:rPr>
          <w:rFonts w:ascii="Times New Roman" w:hAnsi="Times New Roman" w:cs="Times New Roman"/>
        </w:rPr>
        <w:t xml:space="preserve"> and </w:t>
      </w:r>
      <w:r>
        <w:rPr>
          <w:rFonts w:ascii="Times New Roman" w:hAnsi="Times New Roman" w:cs="Times New Roman"/>
          <w:b/>
          <w:bCs/>
        </w:rPr>
        <w:t>Adenosine diphosphate (ADP)</w:t>
      </w:r>
      <w:r>
        <w:rPr>
          <w:rFonts w:ascii="Times New Roman" w:hAnsi="Times New Roman" w:cs="Times New Roman"/>
        </w:rPr>
        <w:t xml:space="preserve"> are used as agonists to evaluate the antiplatelet effects of aspirin and clopidogrel, respectively.</w:t>
      </w:r>
    </w:p>
    <w:p w14:paraId="7C2CD787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Sample Collection and Processing</w:t>
      </w:r>
    </w:p>
    <w:p w14:paraId="5F556322" w14:textId="77777777" w:rsidR="00223B2D" w:rsidRDefault="00FF29C6">
      <w:pPr>
        <w:widowControl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3 mL venous blood sample is collected using sodium citrate anticoagulant tubes specified by the project.</w:t>
      </w:r>
    </w:p>
    <w:p w14:paraId="69C8EA63" w14:textId="77777777" w:rsidR="00223B2D" w:rsidRDefault="00FF29C6">
      <w:pPr>
        <w:widowControl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Samples are </w:t>
      </w:r>
      <w:proofErr w:type="gramStart"/>
      <w:r>
        <w:rPr>
          <w:rFonts w:ascii="Times New Roman" w:hAnsi="Times New Roman" w:cs="Times New Roman"/>
        </w:rPr>
        <w:t>gently</w:t>
      </w:r>
      <w:proofErr w:type="gramEnd"/>
      <w:r>
        <w:rPr>
          <w:rFonts w:ascii="Times New Roman" w:hAnsi="Times New Roman" w:cs="Times New Roman"/>
        </w:rPr>
        <w:t xml:space="preserve"> and thoroughly mixed to avoid </w:t>
      </w:r>
      <w:proofErr w:type="spellStart"/>
      <w:r>
        <w:rPr>
          <w:rFonts w:ascii="Times New Roman" w:hAnsi="Times New Roman" w:cs="Times New Roman"/>
        </w:rPr>
        <w:t>haemolysis</w:t>
      </w:r>
      <w:proofErr w:type="spellEnd"/>
      <w:r>
        <w:rPr>
          <w:rFonts w:ascii="Times New Roman" w:hAnsi="Times New Roman" w:cs="Times New Roman"/>
        </w:rPr>
        <w:t xml:space="preserve"> or clotting, stored at room temperature under </w:t>
      </w:r>
      <w:proofErr w:type="spellStart"/>
      <w:r>
        <w:rPr>
          <w:rFonts w:ascii="Times New Roman" w:hAnsi="Times New Roman" w:cs="Times New Roman"/>
        </w:rPr>
        <w:t>standardised</w:t>
      </w:r>
      <w:proofErr w:type="spellEnd"/>
      <w:r>
        <w:rPr>
          <w:rFonts w:ascii="Times New Roman" w:hAnsi="Times New Roman" w:cs="Times New Roman"/>
        </w:rPr>
        <w:t xml:space="preserve"> conditions, and tested promptly.</w:t>
      </w:r>
    </w:p>
    <w:p w14:paraId="5BD4CC67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Agonist Selection and Testing Logic</w:t>
      </w:r>
    </w:p>
    <w:p w14:paraId="0DB26F9A" w14:textId="77777777" w:rsidR="00223B2D" w:rsidRDefault="00FF29C6">
      <w:pPr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AA stimulation</w:t>
      </w:r>
      <w:r>
        <w:rPr>
          <w:rFonts w:ascii="Times New Roman" w:hAnsi="Times New Roman" w:cs="Times New Roman"/>
        </w:rPr>
        <w:t>: Used to assess the antiplatelet effect of aspirin.</w:t>
      </w:r>
    </w:p>
    <w:p w14:paraId="117014CE" w14:textId="77777777" w:rsidR="00223B2D" w:rsidRDefault="00FF29C6">
      <w:pPr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ADP stimulation</w:t>
      </w:r>
      <w:r>
        <w:rPr>
          <w:rFonts w:ascii="Times New Roman" w:hAnsi="Times New Roman" w:cs="Times New Roman"/>
        </w:rPr>
        <w:t>: Used to assess the antiplatelet effect of clopidogrel.</w:t>
      </w:r>
    </w:p>
    <w:p w14:paraId="13DADC9C" w14:textId="77777777" w:rsidR="00223B2D" w:rsidRDefault="00FF29C6">
      <w:pPr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Each sample is tested separately </w:t>
      </w:r>
      <w:proofErr w:type="gramStart"/>
      <w:r>
        <w:rPr>
          <w:rFonts w:ascii="Times New Roman" w:hAnsi="Times New Roman" w:cs="Times New Roman"/>
        </w:rPr>
        <w:t>in</w:t>
      </w:r>
      <w:proofErr w:type="gramEnd"/>
      <w:r>
        <w:rPr>
          <w:rFonts w:ascii="Times New Roman" w:hAnsi="Times New Roman" w:cs="Times New Roman"/>
        </w:rPr>
        <w:t xml:space="preserve"> the AA channel and ADP channel to obtain the corresponding maximum aggregation rate (MAR).</w:t>
      </w:r>
    </w:p>
    <w:p w14:paraId="4E4E01DF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Key Testing Procedures</w:t>
      </w:r>
    </w:p>
    <w:p w14:paraId="21AAA081" w14:textId="77777777" w:rsidR="00223B2D" w:rsidRDefault="00FF29C6">
      <w:pPr>
        <w:widowControl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Pre-test instrument quality control is completed to confirm satisfactory performance.</w:t>
      </w:r>
    </w:p>
    <w:p w14:paraId="29DC3C32" w14:textId="77777777" w:rsidR="00223B2D" w:rsidRDefault="00FF29C6">
      <w:pPr>
        <w:widowControl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Whole blood samples and corresponding agonists are added in accordance with standard protocols.</w:t>
      </w:r>
    </w:p>
    <w:p w14:paraId="00FE2103" w14:textId="77777777" w:rsidR="00223B2D" w:rsidRDefault="00FF29C6">
      <w:pPr>
        <w:widowControl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instrument automatically performs platelet aggregation and data acquisition, and directly outputs MAR(AA) and MAR(ADP) results.</w:t>
      </w:r>
    </w:p>
    <w:p w14:paraId="30451136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Result Recording and Reporting</w:t>
      </w:r>
    </w:p>
    <w:p w14:paraId="64B20308" w14:textId="77777777" w:rsidR="00223B2D" w:rsidRDefault="00FF29C6">
      <w:pPr>
        <w:widowControl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Raw test values are recorded in real time to ensure full traceability.</w:t>
      </w:r>
    </w:p>
    <w:p w14:paraId="1C2B3B03" w14:textId="77777777" w:rsidR="00223B2D" w:rsidRDefault="00FF29C6">
      <w:pPr>
        <w:widowControl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Test results are uploaded promptly to the </w:t>
      </w:r>
      <w:proofErr w:type="spellStart"/>
      <w:r>
        <w:rPr>
          <w:rFonts w:ascii="Times New Roman" w:hAnsi="Times New Roman" w:cs="Times New Roman"/>
        </w:rPr>
        <w:t>centralised</w:t>
      </w:r>
      <w:proofErr w:type="spellEnd"/>
      <w:r>
        <w:rPr>
          <w:rFonts w:ascii="Times New Roman" w:hAnsi="Times New Roman" w:cs="Times New Roman"/>
        </w:rPr>
        <w:t xml:space="preserve"> project platform to guarantee authenticity, timeliness, and non-repudiation.</w:t>
      </w:r>
    </w:p>
    <w:p w14:paraId="7B01369D" w14:textId="77777777" w:rsidR="003231AE" w:rsidRDefault="003231AE" w:rsidP="003231AE">
      <w:pPr>
        <w:widowControl/>
        <w:pBdr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</w:p>
    <w:p w14:paraId="4183AFDE" w14:textId="3456A4E8" w:rsidR="00223B2D" w:rsidRPr="00540C7B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  <w:r w:rsidRPr="00540C7B">
        <w:rPr>
          <w:rFonts w:ascii="Times New Roman" w:hAnsi="Times New Roman" w:cs="Times New Roman"/>
          <w:b/>
          <w:bCs/>
        </w:rPr>
        <w:t>III. Calculation Principle of PL</w:t>
      </w:r>
      <w:r w:rsidRPr="00540C7B">
        <w:rPr>
          <w:rFonts w:ascii="Times New Roman" w:hAnsi="Times New Roman" w:cs="Times New Roman"/>
          <w:b/>
          <w:bCs/>
        </w:rPr>
        <w:noBreakHyphen/>
        <w:t>12 Maximum Aggregation Rate (MAR)</w:t>
      </w:r>
    </w:p>
    <w:p w14:paraId="73FE9FF4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PL</w:t>
      </w:r>
      <w:r>
        <w:rPr>
          <w:rFonts w:ascii="Times New Roman" w:hAnsi="Times New Roman" w:cs="Times New Roman"/>
        </w:rPr>
        <w:noBreakHyphen/>
        <w:t xml:space="preserve">12 </w:t>
      </w:r>
      <w:proofErr w:type="spellStart"/>
      <w:r>
        <w:rPr>
          <w:rFonts w:ascii="Times New Roman" w:hAnsi="Times New Roman" w:cs="Times New Roman"/>
        </w:rPr>
        <w:t>utilises</w:t>
      </w:r>
      <w:proofErr w:type="spellEnd"/>
      <w:r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  <w:b/>
          <w:bCs/>
        </w:rPr>
        <w:t>Sequential Platelet Counting Method (SPCM)</w:t>
      </w:r>
      <w:r>
        <w:rPr>
          <w:rFonts w:ascii="Times New Roman" w:hAnsi="Times New Roman" w:cs="Times New Roman"/>
        </w:rPr>
        <w:t xml:space="preserve"> to calculate the maximum platelet aggregation rate by directly measuring dynamic changes in the number of free platelets:</w:t>
      </w:r>
    </w:p>
    <w:p w14:paraId="0A4B3859" w14:textId="77777777" w:rsidR="00223B2D" w:rsidRDefault="00FF29C6">
      <w:pPr>
        <w:pStyle w:val="ListParagraph"/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instrument first performs a baseline count to obtain the </w:t>
      </w:r>
      <w:r>
        <w:rPr>
          <w:rFonts w:ascii="Times New Roman" w:hAnsi="Times New Roman" w:cs="Times New Roman"/>
          <w:b/>
          <w:bCs/>
        </w:rPr>
        <w:t>baseline platelet count</w:t>
      </w:r>
      <w:r>
        <w:rPr>
          <w:rFonts w:ascii="Times New Roman" w:hAnsi="Times New Roman" w:cs="Times New Roman"/>
        </w:rPr>
        <w:t xml:space="preserve"> (total free platelets before agonist addition).</w:t>
      </w:r>
    </w:p>
    <w:p w14:paraId="02BD669B" w14:textId="77777777" w:rsidR="00223B2D" w:rsidRDefault="00FF29C6">
      <w:pPr>
        <w:pStyle w:val="ListParagraph"/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adding an agonist (AA/ADP), the instrument continuously monitors dynamic changes in free platelet count and captures the </w:t>
      </w:r>
      <w:r>
        <w:rPr>
          <w:rFonts w:ascii="Times New Roman" w:hAnsi="Times New Roman" w:cs="Times New Roman"/>
          <w:b/>
          <w:bCs/>
        </w:rPr>
        <w:t>minimum free platelet count</w:t>
      </w:r>
      <w:r>
        <w:rPr>
          <w:rFonts w:ascii="Times New Roman" w:hAnsi="Times New Roman" w:cs="Times New Roman"/>
        </w:rPr>
        <w:t xml:space="preserve"> during aggregation.</w:t>
      </w:r>
    </w:p>
    <w:p w14:paraId="37160B98" w14:textId="77777777" w:rsidR="00223B2D" w:rsidRDefault="00FF29C6">
      <w:pPr>
        <w:pStyle w:val="ListParagraph"/>
        <w:widowControl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instrument automatically calculates the maximum aggregation rate (MAR) using the following formula</w:t>
      </w:r>
      <w:r>
        <w:rPr>
          <w:rFonts w:ascii="Times New Roman" w:hAnsi="Times New Roman" w:cs="Times New Roman" w:hint="eastAsia"/>
          <w:vertAlign w:val="superscript"/>
        </w:rPr>
        <w:t>1</w:t>
      </w:r>
      <w:r>
        <w:rPr>
          <w:rFonts w:ascii="Times New Roman" w:hAnsi="Times New Roman" w:cs="Times New Roman"/>
        </w:rPr>
        <w:t>:</w:t>
      </w:r>
    </w:p>
    <w:p w14:paraId="63C7A467" w14:textId="277D8701" w:rsidR="00223B2D" w:rsidRPr="00B22CC1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ind w:firstLineChars="100" w:firstLine="240"/>
        <w:jc w:val="left"/>
        <w:rPr>
          <w:rFonts w:ascii="Times New Roman" w:hAnsi="Times New Roman" w:cs="Times New Roman"/>
          <w:lang w:val="fr-FR"/>
        </w:rPr>
      </w:pPr>
      <w:r w:rsidRPr="00B22CC1">
        <w:rPr>
          <w:rFonts w:ascii="Times New Roman" w:hAnsi="Times New Roman" w:cs="Times New Roman"/>
          <w:b/>
          <w:bCs/>
          <w:lang w:val="fr-FR"/>
        </w:rPr>
        <w:t>MAR </w:t>
      </w:r>
      <w:proofErr w:type="gramStart"/>
      <w:r w:rsidRPr="00B22CC1">
        <w:rPr>
          <w:rFonts w:ascii="Times New Roman" w:hAnsi="Times New Roman" w:cs="Times New Roman"/>
          <w:b/>
          <w:bCs/>
          <w:lang w:val="fr-FR"/>
        </w:rPr>
        <w:t>=[</w:t>
      </w:r>
      <w:proofErr w:type="gramEnd"/>
      <m:oMath>
        <m:f>
          <m:fPr>
            <m:ctrlPr>
              <w:rPr>
                <w:rFonts w:ascii="Cambria Math" w:hAnsi="Cambria Math" w:cs="Times New Roman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 w:hint="eastAsia"/>
                      </w:rPr>
                      <m:t>st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platelet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 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count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 w:hint="eastAsia"/>
                      </w:rPr>
                      <m:t>nd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platelet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 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count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 xml:space="preserve">) - 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lowest</m:t>
            </m:r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 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platelet</m:t>
            </m:r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 </m:t>
            </m:r>
            <m:r>
              <m:rPr>
                <m:sty m:val="bi"/>
              </m:rPr>
              <w:rPr>
                <w:rFonts w:ascii="Cambria Math" w:hAnsi="Cambria Math" w:cs="Times New Roman"/>
              </w:rPr>
              <m:t>count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b/>
                    <w:bCs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1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 w:hint="eastAsia"/>
                      </w:rPr>
                      <m:t>st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platelet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 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count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 w:hint="eastAsia"/>
                      </w:rPr>
                      <m:t>nd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platelet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lang w:val="fr-FR"/>
                  </w:rPr>
                  <m:t> 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count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m:rPr>
                <m:sty m:val="bi"/>
              </m:rPr>
              <w:rPr>
                <w:rFonts w:ascii="Cambria Math" w:hAnsi="Cambria Math" w:cs="Times New Roman"/>
                <w:lang w:val="fr-FR"/>
              </w:rPr>
              <m:t>)</m:t>
            </m:r>
          </m:den>
        </m:f>
      </m:oMath>
      <w:r w:rsidRPr="00B22CC1">
        <w:rPr>
          <w:rFonts w:ascii="Times New Roman" w:hAnsi="Times New Roman" w:cs="Times New Roman"/>
          <w:b/>
          <w:bCs/>
          <w:lang w:val="fr-FR"/>
        </w:rPr>
        <w:t>]×100%</w:t>
      </w:r>
    </w:p>
    <w:p w14:paraId="7CFB009F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ind w:firstLineChars="100" w:firstLine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lower MAR value indicates fewer remaining free platelets, stronger inhibition of platelet aggregation by the antiplatelet drug, and better therapeutic </w:t>
      </w:r>
      <w:proofErr w:type="gramStart"/>
      <w:r>
        <w:rPr>
          <w:rFonts w:ascii="Times New Roman" w:hAnsi="Times New Roman" w:cs="Times New Roman"/>
        </w:rPr>
        <w:t>effect</w:t>
      </w:r>
      <w:proofErr w:type="gramEnd"/>
      <w:r>
        <w:rPr>
          <w:rFonts w:ascii="Times New Roman" w:hAnsi="Times New Roman" w:cs="Times New Roman"/>
        </w:rPr>
        <w:t>.</w:t>
      </w:r>
    </w:p>
    <w:p w14:paraId="4453C19B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IV. Instrument Maintenance and Comprehensive Quality Control</w:t>
      </w:r>
    </w:p>
    <w:p w14:paraId="5C373C3C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(A) Instrument Maintenance and Calibration</w:t>
      </w:r>
    </w:p>
    <w:p w14:paraId="4E0EBD56" w14:textId="77777777" w:rsidR="00223B2D" w:rsidRDefault="00FF29C6">
      <w:pPr>
        <w:widowControl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ind w:left="0"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Unified Installation and Calibration</w:t>
      </w:r>
      <w:r>
        <w:rPr>
          <w:rFonts w:ascii="Times New Roman" w:hAnsi="Times New Roman" w:cs="Times New Roman"/>
        </w:rPr>
        <w:t>: All PL</w:t>
      </w:r>
      <w:r>
        <w:rPr>
          <w:rFonts w:ascii="Times New Roman" w:hAnsi="Times New Roman" w:cs="Times New Roman"/>
        </w:rPr>
        <w:noBreakHyphen/>
        <w:t>12 instruments are installed, adjusted, and calibrated by certified manufacturer engineers. Only instruments that pass calibration may be used for the study.</w:t>
      </w:r>
    </w:p>
    <w:p w14:paraId="26826988" w14:textId="77777777" w:rsidR="00223B2D" w:rsidRDefault="00FF29C6">
      <w:pPr>
        <w:widowControl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Periodic Calibration</w:t>
      </w:r>
      <w:r>
        <w:rPr>
          <w:rFonts w:ascii="Times New Roman" w:hAnsi="Times New Roman" w:cs="Times New Roman"/>
        </w:rPr>
        <w:t>: Manufacturer calibration is performed every 3 months to ensure consistent sensitivity and accuracy.</w:t>
      </w:r>
    </w:p>
    <w:p w14:paraId="74173F59" w14:textId="77777777" w:rsidR="00223B2D" w:rsidRDefault="00FF29C6">
      <w:pPr>
        <w:widowControl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Routine Maintenance</w:t>
      </w:r>
      <w:r>
        <w:rPr>
          <w:rFonts w:ascii="Times New Roman" w:hAnsi="Times New Roman" w:cs="Times New Roman"/>
        </w:rPr>
        <w:t>: Instruments are cleaned and disinfected before and after daily testing; regular maintenance is performed to ensure stable performance.</w:t>
      </w:r>
    </w:p>
    <w:p w14:paraId="3AE63B55" w14:textId="77777777" w:rsidR="00223B2D" w:rsidRDefault="00FF29C6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 Multidimensional Quality Control (QC)</w:t>
      </w:r>
    </w:p>
    <w:p w14:paraId="2D7F0B6A" w14:textId="77777777" w:rsidR="00223B2D" w:rsidRDefault="00FF29C6">
      <w:pPr>
        <w:widowControl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Daily Instrument QC</w:t>
      </w:r>
      <w:r>
        <w:rPr>
          <w:rFonts w:ascii="Times New Roman" w:hAnsi="Times New Roman" w:cs="Times New Roman"/>
        </w:rPr>
        <w:t>: Quality control material testing must be completed before daily testing; testing may commence only when results fall within acceptable ranges.</w:t>
      </w:r>
    </w:p>
    <w:p w14:paraId="7DE5ABAF" w14:textId="77777777" w:rsidR="00223B2D" w:rsidRDefault="00FF29C6">
      <w:pPr>
        <w:widowControl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Procedural QC</w:t>
      </w:r>
      <w:r>
        <w:rPr>
          <w:rFonts w:ascii="Times New Roman" w:hAnsi="Times New Roman" w:cs="Times New Roman"/>
        </w:rPr>
        <w:t xml:space="preserve">: Strict adherence to the standard operating procedure (SOP) is enforced, with </w:t>
      </w:r>
      <w:proofErr w:type="spellStart"/>
      <w:r>
        <w:rPr>
          <w:rFonts w:ascii="Times New Roman" w:hAnsi="Times New Roman" w:cs="Times New Roman"/>
        </w:rPr>
        <w:t>standardised</w:t>
      </w:r>
      <w:proofErr w:type="spellEnd"/>
      <w:r>
        <w:rPr>
          <w:rFonts w:ascii="Times New Roman" w:hAnsi="Times New Roman" w:cs="Times New Roman"/>
        </w:rPr>
        <w:t xml:space="preserve"> sample handling, pipetting, and testing time windows to eliminate operational bias.</w:t>
      </w:r>
    </w:p>
    <w:p w14:paraId="6EF85208" w14:textId="77777777" w:rsidR="00223B2D" w:rsidRDefault="00FF29C6">
      <w:pPr>
        <w:widowControl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Inter</w:t>
      </w:r>
      <w:r>
        <w:rPr>
          <w:rFonts w:ascii="Times New Roman" w:hAnsi="Times New Roman" w:cs="Times New Roman"/>
          <w:b/>
          <w:bCs/>
        </w:rPr>
        <w:noBreakHyphen/>
        <w:t>center QC</w:t>
      </w:r>
      <w:r>
        <w:rPr>
          <w:rFonts w:ascii="Times New Roman" w:hAnsi="Times New Roman" w:cs="Times New Roman"/>
        </w:rPr>
        <w:t>: The project team regularly performs blinded sample comparisons, on-site inspections, and data traceability audits to ensure homogeneity across centers.</w:t>
      </w:r>
    </w:p>
    <w:p w14:paraId="476FE7AE" w14:textId="77777777" w:rsidR="00223B2D" w:rsidRDefault="00FF29C6">
      <w:pPr>
        <w:widowControl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clear" w:pos="360"/>
        </w:tabs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Data QC</w:t>
      </w:r>
      <w:r>
        <w:rPr>
          <w:rFonts w:ascii="Times New Roman" w:hAnsi="Times New Roman" w:cs="Times New Roman"/>
        </w:rPr>
        <w:t>: Raw results are recorded in real time, double-checked, and uploaded promptly to ensure data integrity, authenticity, and full traceability.</w:t>
      </w:r>
    </w:p>
    <w:p w14:paraId="10A4D2C1" w14:textId="4557C413" w:rsidR="00223B2D" w:rsidRPr="00540C7B" w:rsidRDefault="00FF29C6" w:rsidP="00C05142">
      <w:pPr>
        <w:pStyle w:val="ListParagraph"/>
        <w:widowControl/>
        <w:numPr>
          <w:ilvl w:val="0"/>
          <w:numId w:val="9"/>
        </w:numPr>
        <w:adjustRightInd/>
        <w:snapToGrid/>
        <w:spacing w:before="40" w:afterLines="0" w:after="0" w:line="240" w:lineRule="auto"/>
        <w:ind w:left="357" w:hanging="357"/>
        <w:contextualSpacing w:val="0"/>
        <w:jc w:val="left"/>
        <w:rPr>
          <w:rFonts w:ascii="Times New Roman" w:hAnsi="Times New Roman" w:cs="Times New Roman"/>
          <w:lang w:val="en-AU"/>
        </w:rPr>
      </w:pPr>
      <w:bookmarkStart w:id="3" w:name="OLE_LINK41"/>
      <w:r w:rsidRPr="00540C7B">
        <w:rPr>
          <w:rFonts w:ascii="Times New Roman" w:hAnsi="Times New Roman" w:cs="Times New Roman"/>
          <w:sz w:val="22"/>
          <w:szCs w:val="22"/>
        </w:rPr>
        <w:t>Ma</w:t>
      </w:r>
      <w:r w:rsidRPr="00540C7B">
        <w:rPr>
          <w:rFonts w:ascii="Times New Roman" w:hAnsi="Times New Roman" w:cs="Times New Roman"/>
          <w:sz w:val="22"/>
          <w:szCs w:val="22"/>
        </w:rPr>
        <w:t xml:space="preserve"> L.</w:t>
      </w:r>
      <w:r w:rsidRPr="00540C7B">
        <w:rPr>
          <w:rFonts w:ascii="Times New Roman" w:hAnsi="Times New Roman" w:cs="Times New Roman"/>
          <w:i/>
          <w:sz w:val="22"/>
          <w:szCs w:val="22"/>
        </w:rPr>
        <w:t>, et al.</w:t>
      </w:r>
      <w:r w:rsidRPr="00540C7B">
        <w:rPr>
          <w:rFonts w:ascii="Times New Roman" w:hAnsi="Times New Roman" w:cs="Times New Roman"/>
          <w:sz w:val="22"/>
          <w:szCs w:val="22"/>
        </w:rPr>
        <w:t xml:space="preserve"> Comparison of </w:t>
      </w:r>
      <w:proofErr w:type="spellStart"/>
      <w:r w:rsidRPr="00540C7B">
        <w:rPr>
          <w:rFonts w:ascii="Times New Roman" w:hAnsi="Times New Roman" w:cs="Times New Roman"/>
          <w:sz w:val="22"/>
          <w:szCs w:val="22"/>
        </w:rPr>
        <w:t>VerifyNow</w:t>
      </w:r>
      <w:proofErr w:type="spellEnd"/>
      <w:r w:rsidRPr="00540C7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40C7B">
        <w:rPr>
          <w:rFonts w:ascii="Times New Roman" w:hAnsi="Times New Roman" w:cs="Times New Roman"/>
          <w:sz w:val="22"/>
          <w:szCs w:val="22"/>
        </w:rPr>
        <w:t>thromboelastography</w:t>
      </w:r>
      <w:proofErr w:type="spellEnd"/>
      <w:r w:rsidRPr="00540C7B">
        <w:rPr>
          <w:rFonts w:ascii="Times New Roman" w:hAnsi="Times New Roman" w:cs="Times New Roman"/>
          <w:sz w:val="22"/>
          <w:szCs w:val="22"/>
        </w:rPr>
        <w:t xml:space="preserve">, and PL-12 in patients with minor ischemic stroke or transient ischemic attack. </w:t>
      </w:r>
      <w:r w:rsidRPr="00540C7B">
        <w:rPr>
          <w:rFonts w:ascii="Times New Roman" w:hAnsi="Times New Roman" w:cs="Times New Roman"/>
          <w:i/>
          <w:sz w:val="22"/>
          <w:szCs w:val="22"/>
        </w:rPr>
        <w:t>Aging (Albany NY)</w:t>
      </w:r>
      <w:r w:rsidRPr="00540C7B">
        <w:rPr>
          <w:rFonts w:ascii="Times New Roman" w:hAnsi="Times New Roman" w:cs="Times New Roman"/>
          <w:sz w:val="22"/>
          <w:szCs w:val="22"/>
        </w:rPr>
        <w:t xml:space="preserve"> </w:t>
      </w:r>
      <w:r w:rsidRPr="00540C7B">
        <w:rPr>
          <w:rFonts w:ascii="Times New Roman" w:hAnsi="Times New Roman" w:cs="Times New Roman"/>
          <w:b/>
          <w:sz w:val="22"/>
          <w:szCs w:val="22"/>
        </w:rPr>
        <w:t>13</w:t>
      </w:r>
      <w:r w:rsidRPr="00540C7B">
        <w:rPr>
          <w:rFonts w:ascii="Times New Roman" w:hAnsi="Times New Roman" w:cs="Times New Roman"/>
          <w:sz w:val="22"/>
          <w:szCs w:val="22"/>
        </w:rPr>
        <w:t>, 8396-8407 (2021).</w:t>
      </w:r>
      <w:bookmarkEnd w:id="3"/>
      <w:r w:rsidRPr="00540C7B">
        <w:rPr>
          <w:rFonts w:ascii="Times New Roman" w:hAnsi="Times New Roman" w:cs="Times New Roman"/>
          <w:lang w:val="en-AU"/>
        </w:rPr>
        <w:br w:type="page"/>
      </w:r>
    </w:p>
    <w:p w14:paraId="3935528E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lang w:val="en-AU"/>
        </w:rPr>
        <w:sectPr w:rsidR="00223B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418" w:right="1418" w:bottom="1418" w:left="1418" w:header="851" w:footer="992" w:gutter="0"/>
          <w:cols w:space="425"/>
          <w:docGrid w:type="linesAndChars" w:linePitch="326"/>
        </w:sectPr>
      </w:pPr>
    </w:p>
    <w:p w14:paraId="2EC8ABCD" w14:textId="77777777" w:rsidR="00223B2D" w:rsidRDefault="00FF29C6">
      <w:pPr>
        <w:spacing w:afterLines="0" w:after="120" w:line="240" w:lineRule="auto"/>
        <w:rPr>
          <w:rFonts w:ascii="Times New Roman" w:eastAsia="DengXian" w:hAnsi="Times New Roman" w:cs="Times New Roman"/>
          <w:b/>
          <w:bCs/>
          <w:kern w:val="0"/>
          <w:sz w:val="22"/>
          <w:szCs w:val="22"/>
        </w:rPr>
      </w:pPr>
      <w:bookmarkStart w:id="4" w:name="OLE_LINK16"/>
      <w:r>
        <w:rPr>
          <w:rFonts w:ascii="Times New Roman" w:eastAsia="DengXian" w:hAnsi="Times New Roman" w:cs="Times New Roman"/>
          <w:b/>
          <w:bCs/>
          <w:kern w:val="0"/>
          <w:sz w:val="22"/>
          <w:szCs w:val="22"/>
        </w:rPr>
        <w:lastRenderedPageBreak/>
        <w:t>Table S</w:t>
      </w:r>
      <w:r>
        <w:rPr>
          <w:rFonts w:ascii="Times New Roman" w:eastAsia="DengXian" w:hAnsi="Times New Roman" w:cs="Times New Roman" w:hint="eastAsia"/>
          <w:b/>
          <w:bCs/>
          <w:kern w:val="0"/>
          <w:sz w:val="22"/>
          <w:szCs w:val="22"/>
        </w:rPr>
        <w:t>4</w:t>
      </w:r>
      <w:r>
        <w:rPr>
          <w:rFonts w:ascii="Times New Roman" w:eastAsia="DengXian" w:hAnsi="Times New Roman" w:cs="Times New Roman"/>
          <w:b/>
          <w:bCs/>
          <w:kern w:val="0"/>
          <w:sz w:val="22"/>
          <w:szCs w:val="22"/>
        </w:rPr>
        <w:t xml:space="preserve">. Baseline characteristics of participants by sex </w:t>
      </w:r>
    </w:p>
    <w:tbl>
      <w:tblPr>
        <w:tblStyle w:val="TableGrid"/>
        <w:tblW w:w="1360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551"/>
        <w:gridCol w:w="2268"/>
        <w:gridCol w:w="2552"/>
        <w:gridCol w:w="2409"/>
      </w:tblGrid>
      <w:tr w:rsidR="00223B2D" w14:paraId="2EA0E460" w14:textId="77777777">
        <w:tc>
          <w:tcPr>
            <w:tcW w:w="3823" w:type="dxa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14:paraId="6373AC37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Characteristic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67A2A48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</w:rPr>
              <w:t>Females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8EB41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</w:rPr>
              <w:t>Males</w:t>
            </w:r>
          </w:p>
        </w:tc>
      </w:tr>
      <w:tr w:rsidR="00223B2D" w14:paraId="4D3F219B" w14:textId="77777777">
        <w:tc>
          <w:tcPr>
            <w:tcW w:w="3823" w:type="dxa"/>
            <w:tcBorders>
              <w:top w:val="nil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6D660BEB" w14:textId="77777777" w:rsidR="00223B2D" w:rsidRDefault="00223B2D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7EE4166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  <w:t>Function-guided antiplatelet therapy</w:t>
            </w:r>
          </w:p>
          <w:p w14:paraId="0F3D4EB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204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3E013A0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 xml:space="preserve">Standard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  <w:t>antiplatelet therapy</w:t>
            </w:r>
          </w:p>
          <w:p w14:paraId="501B712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213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7D022B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  <w:t>Function-guided antiplatelet therapy</w:t>
            </w:r>
          </w:p>
          <w:p w14:paraId="16D04F2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407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07A278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 xml:space="preserve">Standard </w:t>
            </w:r>
            <w:r>
              <w:rPr>
                <w:rFonts w:ascii="Times New Roman" w:eastAsia="DengXian" w:hAnsi="Times New Roman" w:cs="Times New Roman"/>
                <w:b/>
                <w:bCs/>
                <w:kern w:val="0"/>
                <w14:ligatures w14:val="standardContextual"/>
              </w:rPr>
              <w:t>antiplatelet therapy</w:t>
            </w:r>
          </w:p>
          <w:p w14:paraId="794AFFA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400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</w:tr>
      <w:tr w:rsidR="00223B2D" w14:paraId="29BF88C1" w14:textId="77777777">
        <w:tc>
          <w:tcPr>
            <w:tcW w:w="3823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09F91319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Age, years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335E6D1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65 ± 9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488CD2D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67 ± 9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D82669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62 ± 10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6EA7785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62 ± 10</w:t>
            </w:r>
          </w:p>
        </w:tc>
      </w:tr>
      <w:tr w:rsidR="00223B2D" w14:paraId="5A9A8217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33EE18F9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Ethnicity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5040DF86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3CBF410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2" w:type="dxa"/>
          </w:tcPr>
          <w:p w14:paraId="225F0898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409" w:type="dxa"/>
          </w:tcPr>
          <w:p w14:paraId="32D96F95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64C82286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747D99D3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Han Chinese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11831BF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203/204 (99.5)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DD4337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212/212 (100.0)</w:t>
            </w:r>
          </w:p>
        </w:tc>
        <w:tc>
          <w:tcPr>
            <w:tcW w:w="2552" w:type="dxa"/>
          </w:tcPr>
          <w:p w14:paraId="00C7FFB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407/407 (100.0)</w:t>
            </w:r>
          </w:p>
        </w:tc>
        <w:tc>
          <w:tcPr>
            <w:tcW w:w="2409" w:type="dxa"/>
          </w:tcPr>
          <w:p w14:paraId="13A9665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398/400 (99.5)</w:t>
            </w:r>
          </w:p>
        </w:tc>
      </w:tr>
      <w:tr w:rsidR="00223B2D" w14:paraId="167F2B1D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6CE14AE0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Other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1A0273F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1/204 (0.5)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B2725C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0/212 (0.0)</w:t>
            </w:r>
          </w:p>
        </w:tc>
        <w:tc>
          <w:tcPr>
            <w:tcW w:w="2552" w:type="dxa"/>
          </w:tcPr>
          <w:p w14:paraId="57E1A18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0/407 (0.0)</w:t>
            </w:r>
          </w:p>
        </w:tc>
        <w:tc>
          <w:tcPr>
            <w:tcW w:w="2409" w:type="dxa"/>
          </w:tcPr>
          <w:p w14:paraId="05FEAEA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2/400 (0.5)</w:t>
            </w:r>
          </w:p>
        </w:tc>
      </w:tr>
      <w:tr w:rsidR="00223B2D" w14:paraId="215A456C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7A5C756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Location of residence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1DDCF2E1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05E63E6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2" w:type="dxa"/>
          </w:tcPr>
          <w:p w14:paraId="002B574F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409" w:type="dxa"/>
          </w:tcPr>
          <w:p w14:paraId="19C122A1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20ECF8DE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F25F44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Urban area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0E19A5C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105/204 (51.5)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8FAB16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118/213 (55.4)</w:t>
            </w:r>
          </w:p>
        </w:tc>
        <w:tc>
          <w:tcPr>
            <w:tcW w:w="2552" w:type="dxa"/>
          </w:tcPr>
          <w:p w14:paraId="1474363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243/407 (59.7)</w:t>
            </w:r>
          </w:p>
        </w:tc>
        <w:tc>
          <w:tcPr>
            <w:tcW w:w="2409" w:type="dxa"/>
          </w:tcPr>
          <w:p w14:paraId="4950197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228/400 (57.0)</w:t>
            </w:r>
          </w:p>
        </w:tc>
      </w:tr>
      <w:tr w:rsidR="00223B2D" w14:paraId="63E02B1D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3E1416F1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Non-urban area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23C1018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99/204 (48.5)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E647A0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95/213 (44.6)</w:t>
            </w:r>
          </w:p>
        </w:tc>
        <w:tc>
          <w:tcPr>
            <w:tcW w:w="2552" w:type="dxa"/>
          </w:tcPr>
          <w:p w14:paraId="2FAB0EA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164/407 (40.3)</w:t>
            </w:r>
          </w:p>
        </w:tc>
        <w:tc>
          <w:tcPr>
            <w:tcW w:w="2409" w:type="dxa"/>
          </w:tcPr>
          <w:p w14:paraId="505EE76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172/400 (43.0)</w:t>
            </w:r>
          </w:p>
        </w:tc>
      </w:tr>
      <w:tr w:rsidR="00223B2D" w14:paraId="2F4D6BF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9E2E96E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Body mass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index,</w:t>
            </w:r>
            <w:r>
              <w:rPr>
                <w:rFonts w:ascii="Times New Roman" w:eastAsia="Times New Roman" w:hAnsi="Times New Roman" w:cs="Times New Roman"/>
                <w:kern w:val="0"/>
              </w:rPr>
              <w:t>*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kg/m</w:t>
            </w:r>
            <w:r>
              <w:rPr>
                <w:rFonts w:ascii="Times New Roman" w:eastAsia="Times New Roman" w:hAnsi="Times New Roman" w:cs="Times New Roman"/>
                <w:kern w:val="0"/>
                <w:vertAlign w:val="superscript"/>
                <w14:ligatures w14:val="standardContextual"/>
              </w:rPr>
              <w:t>2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0121D80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23.8 (21.4 to 26.2)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A69982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23.9 (21.3 to 26.6)</w:t>
            </w:r>
          </w:p>
        </w:tc>
        <w:tc>
          <w:tcPr>
            <w:tcW w:w="2552" w:type="dxa"/>
          </w:tcPr>
          <w:p w14:paraId="0FFEE39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24.0 (22.0 to 26.1)</w:t>
            </w:r>
          </w:p>
        </w:tc>
        <w:tc>
          <w:tcPr>
            <w:tcW w:w="2409" w:type="dxa"/>
          </w:tcPr>
          <w:p w14:paraId="406CF70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24.7 (22.3 to 26.6)</w:t>
            </w:r>
          </w:p>
        </w:tc>
      </w:tr>
      <w:tr w:rsidR="00223B2D" w14:paraId="6263BE37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4834EA75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 xml:space="preserve">Medical history 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311355A9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DC9EEFD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2" w:type="dxa"/>
          </w:tcPr>
          <w:p w14:paraId="56E23B66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409" w:type="dxa"/>
          </w:tcPr>
          <w:p w14:paraId="400D8994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5EC6D5B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78540D0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H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ypertension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3E14369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161/204 (78.9)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87E2BB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164/213 (77.0)</w:t>
            </w:r>
          </w:p>
        </w:tc>
        <w:tc>
          <w:tcPr>
            <w:tcW w:w="2552" w:type="dxa"/>
          </w:tcPr>
          <w:p w14:paraId="0B5F2F6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304/407 (74.7)</w:t>
            </w:r>
          </w:p>
        </w:tc>
        <w:tc>
          <w:tcPr>
            <w:tcW w:w="2409" w:type="dxa"/>
          </w:tcPr>
          <w:p w14:paraId="5DAA067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298/399 (74.7)</w:t>
            </w:r>
          </w:p>
        </w:tc>
      </w:tr>
      <w:tr w:rsidR="00223B2D" w14:paraId="78FC5A44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C5B5A4D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D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iabetes mellitus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77A3F0A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67/204 (32.8)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753DE6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68/212 (32.1)</w:t>
            </w:r>
          </w:p>
        </w:tc>
        <w:tc>
          <w:tcPr>
            <w:tcW w:w="2552" w:type="dxa"/>
          </w:tcPr>
          <w:p w14:paraId="1787139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121/406 (29.8)</w:t>
            </w:r>
          </w:p>
        </w:tc>
        <w:tc>
          <w:tcPr>
            <w:tcW w:w="2409" w:type="dxa"/>
          </w:tcPr>
          <w:p w14:paraId="340683D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103/399 (25.8)</w:t>
            </w:r>
          </w:p>
        </w:tc>
      </w:tr>
      <w:tr w:rsidR="00223B2D" w14:paraId="05716BA0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2D502A6" w14:textId="508CD6A0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 xml:space="preserve"> Dyslipid</w:t>
            </w: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>emia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60D34F2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85/203 (41.9)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58F810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82/209 (39.2)</w:t>
            </w:r>
          </w:p>
        </w:tc>
        <w:tc>
          <w:tcPr>
            <w:tcW w:w="2552" w:type="dxa"/>
          </w:tcPr>
          <w:p w14:paraId="0D54B8F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129/403 (32.0)</w:t>
            </w:r>
          </w:p>
        </w:tc>
        <w:tc>
          <w:tcPr>
            <w:tcW w:w="2409" w:type="dxa"/>
          </w:tcPr>
          <w:p w14:paraId="0647A42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118/394 (30.0)</w:t>
            </w:r>
          </w:p>
        </w:tc>
      </w:tr>
      <w:tr w:rsidR="00223B2D" w14:paraId="2810F621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C92222C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Medications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6D35E91E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83D1CC2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2552" w:type="dxa"/>
          </w:tcPr>
          <w:p w14:paraId="6B8517DD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  <w:tc>
          <w:tcPr>
            <w:tcW w:w="2409" w:type="dxa"/>
          </w:tcPr>
          <w:p w14:paraId="6BF16DDF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</w:p>
        </w:tc>
      </w:tr>
      <w:tr w:rsidR="00223B2D" w14:paraId="1545AFD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0D0219E3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 xml:space="preserve"> Antihypertensive drugs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24A7E0B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150/203 (73.9)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764E91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149/211 (70.6)</w:t>
            </w:r>
          </w:p>
        </w:tc>
        <w:tc>
          <w:tcPr>
            <w:tcW w:w="2552" w:type="dxa"/>
          </w:tcPr>
          <w:p w14:paraId="554E963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270/405 (66.7)</w:t>
            </w:r>
          </w:p>
        </w:tc>
        <w:tc>
          <w:tcPr>
            <w:tcW w:w="2409" w:type="dxa"/>
          </w:tcPr>
          <w:p w14:paraId="42E639D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267/397 (67.3)</w:t>
            </w:r>
          </w:p>
        </w:tc>
      </w:tr>
      <w:tr w:rsidR="00223B2D" w14:paraId="50D2D697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0D3220F2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A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ntidiabetic drugs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572698E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62/204 (30.4)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EC4266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61/212 (28.8)</w:t>
            </w:r>
          </w:p>
        </w:tc>
        <w:tc>
          <w:tcPr>
            <w:tcW w:w="2552" w:type="dxa"/>
          </w:tcPr>
          <w:p w14:paraId="4602843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113/405 (27.9)</w:t>
            </w:r>
          </w:p>
        </w:tc>
        <w:tc>
          <w:tcPr>
            <w:tcW w:w="2409" w:type="dxa"/>
          </w:tcPr>
          <w:p w14:paraId="699694A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96/398 (24.1)</w:t>
            </w:r>
          </w:p>
        </w:tc>
      </w:tr>
      <w:tr w:rsidR="00223B2D" w14:paraId="5BA57BD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CD096CE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 Use of statins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09361E1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195/204 (95.6)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C2D86E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202/212 (95.3)</w:t>
            </w:r>
          </w:p>
        </w:tc>
        <w:tc>
          <w:tcPr>
            <w:tcW w:w="2552" w:type="dxa"/>
          </w:tcPr>
          <w:p w14:paraId="799E879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399/407 (98.0)</w:t>
            </w:r>
          </w:p>
        </w:tc>
        <w:tc>
          <w:tcPr>
            <w:tcW w:w="2409" w:type="dxa"/>
          </w:tcPr>
          <w:p w14:paraId="51C3B28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385/398 (96.7)</w:t>
            </w:r>
          </w:p>
        </w:tc>
      </w:tr>
      <w:tr w:rsidR="00223B2D" w14:paraId="4B24A20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768D2F9C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 xml:space="preserve">Current smoker 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2168769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5/204 (2.5)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F99A57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11/210 (5.2)</w:t>
            </w:r>
          </w:p>
        </w:tc>
        <w:tc>
          <w:tcPr>
            <w:tcW w:w="2552" w:type="dxa"/>
          </w:tcPr>
          <w:p w14:paraId="046DABB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218/403 (54.1)</w:t>
            </w:r>
          </w:p>
        </w:tc>
        <w:tc>
          <w:tcPr>
            <w:tcW w:w="2409" w:type="dxa"/>
          </w:tcPr>
          <w:p w14:paraId="7E60302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212/399 (53.1)</w:t>
            </w:r>
          </w:p>
        </w:tc>
      </w:tr>
      <w:tr w:rsidR="00223B2D" w14:paraId="4A8CC268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769FB61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 xml:space="preserve">Consumption of alcohol 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17DDA19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8/204 (3.9)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C8CE02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14/210 (6.7)</w:t>
            </w:r>
          </w:p>
        </w:tc>
        <w:tc>
          <w:tcPr>
            <w:tcW w:w="2552" w:type="dxa"/>
          </w:tcPr>
          <w:p w14:paraId="3380A1F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187/403 (46.4)</w:t>
            </w:r>
          </w:p>
        </w:tc>
        <w:tc>
          <w:tcPr>
            <w:tcW w:w="2409" w:type="dxa"/>
          </w:tcPr>
          <w:p w14:paraId="68D18FF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178/399 (44.6)</w:t>
            </w:r>
          </w:p>
        </w:tc>
      </w:tr>
      <w:tr w:rsidR="00223B2D" w14:paraId="32922950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50AFB28" w14:textId="3B197056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Median t</w:t>
            </w: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>ime from the onset of symptoms to randomi</w:t>
            </w:r>
            <w:r w:rsidR="00C05142"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>z</w:t>
            </w: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>ation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, days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6151EC2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48 (35 to 69)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EDE282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46 (37 to 61)</w:t>
            </w:r>
          </w:p>
        </w:tc>
        <w:tc>
          <w:tcPr>
            <w:tcW w:w="2552" w:type="dxa"/>
          </w:tcPr>
          <w:p w14:paraId="4BB6532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44 (36 to 61)</w:t>
            </w:r>
          </w:p>
        </w:tc>
        <w:tc>
          <w:tcPr>
            <w:tcW w:w="2409" w:type="dxa"/>
          </w:tcPr>
          <w:p w14:paraId="2CA0DED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46 (35 to 62)</w:t>
            </w:r>
          </w:p>
        </w:tc>
      </w:tr>
      <w:tr w:rsidR="00223B2D" w14:paraId="57E04892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C47ACE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Median t</w:t>
            </w: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>ime from the initiation of aspirin to randomization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, days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54C1787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30 (17 to 47)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D36E61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34 (24 to 47)</w:t>
            </w:r>
          </w:p>
        </w:tc>
        <w:tc>
          <w:tcPr>
            <w:tcW w:w="2552" w:type="dxa"/>
          </w:tcPr>
          <w:p w14:paraId="5E26B68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31 (17 to 45)</w:t>
            </w:r>
          </w:p>
        </w:tc>
        <w:tc>
          <w:tcPr>
            <w:tcW w:w="2409" w:type="dxa"/>
          </w:tcPr>
          <w:p w14:paraId="0E36657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33 (24 to 46)</w:t>
            </w:r>
          </w:p>
        </w:tc>
      </w:tr>
      <w:tr w:rsidR="00223B2D" w14:paraId="4ED7932C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24CF2E9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Level of disability on the modified Rankin scale</w:t>
            </w:r>
            <w:bookmarkStart w:id="5" w:name="_Hlk113983397"/>
            <w:r>
              <w:rPr>
                <w:rFonts w:ascii="Times New Roman" w:eastAsia="Times New Roman" w:hAnsi="Times New Roman" w:cs="Times New Roman"/>
                <w:kern w:val="0"/>
              </w:rPr>
              <w:t>†</w:t>
            </w:r>
            <w:bookmarkEnd w:id="5"/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6D0FC7BB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16E5124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2" w:type="dxa"/>
          </w:tcPr>
          <w:p w14:paraId="502B7D76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409" w:type="dxa"/>
          </w:tcPr>
          <w:p w14:paraId="2F78F83A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6B46A090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3F35F17A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 xml:space="preserve">  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0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137D9DC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83/204 (40.7)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51AA79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85/213 (39.9)</w:t>
            </w:r>
          </w:p>
        </w:tc>
        <w:tc>
          <w:tcPr>
            <w:tcW w:w="2552" w:type="dxa"/>
          </w:tcPr>
          <w:p w14:paraId="7A9B626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166/407 (40.8)</w:t>
            </w:r>
          </w:p>
        </w:tc>
        <w:tc>
          <w:tcPr>
            <w:tcW w:w="2409" w:type="dxa"/>
          </w:tcPr>
          <w:p w14:paraId="361C005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161/400 (40.3)</w:t>
            </w:r>
          </w:p>
        </w:tc>
      </w:tr>
      <w:tr w:rsidR="00223B2D" w14:paraId="7E8512F6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0F8A97AC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t xml:space="preserve">  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1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52E94F9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93/204 (45.6)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B9E3C5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101/213 (47.4)</w:t>
            </w:r>
          </w:p>
        </w:tc>
        <w:tc>
          <w:tcPr>
            <w:tcW w:w="2552" w:type="dxa"/>
          </w:tcPr>
          <w:p w14:paraId="607E17E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191/407 (46.9)</w:t>
            </w:r>
          </w:p>
        </w:tc>
        <w:tc>
          <w:tcPr>
            <w:tcW w:w="2409" w:type="dxa"/>
          </w:tcPr>
          <w:p w14:paraId="606785C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200/400 (50.0)</w:t>
            </w:r>
          </w:p>
        </w:tc>
      </w:tr>
      <w:tr w:rsidR="00223B2D" w14:paraId="2CE02BE7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235737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  <w:lastRenderedPageBreak/>
              <w:t xml:space="preserve">  </w:t>
            </w:r>
            <w:r>
              <w:rPr>
                <w:rFonts w:ascii="Times New Roman" w:eastAsia="DengXian" w:hAnsi="Times New Roman" w:cs="Times New Roman"/>
                <w:kern w:val="0"/>
                <w14:ligatures w14:val="standardContextual"/>
              </w:rPr>
              <w:t>2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679C294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28/204 (13.7)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CE92CD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27/213 (12.7)</w:t>
            </w:r>
          </w:p>
        </w:tc>
        <w:tc>
          <w:tcPr>
            <w:tcW w:w="2552" w:type="dxa"/>
          </w:tcPr>
          <w:p w14:paraId="486AF57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50/407 (12.3)</w:t>
            </w:r>
          </w:p>
        </w:tc>
        <w:tc>
          <w:tcPr>
            <w:tcW w:w="2409" w:type="dxa"/>
          </w:tcPr>
          <w:p w14:paraId="4A57FF0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39/400 (9.8)</w:t>
            </w:r>
          </w:p>
        </w:tc>
      </w:tr>
      <w:tr w:rsidR="00223B2D" w14:paraId="780121D5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F010DC4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MS Mincho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Median maximal aggregation rate</w:t>
            </w:r>
          </w:p>
        </w:tc>
        <w:tc>
          <w:tcPr>
            <w:tcW w:w="2551" w:type="dxa"/>
            <w:tcMar>
              <w:left w:w="85" w:type="dxa"/>
              <w:right w:w="85" w:type="dxa"/>
            </w:tcMar>
          </w:tcPr>
          <w:p w14:paraId="5679F1A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20.0 (14.1-28.7)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F39025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 xml:space="preserve">/ </w:t>
            </w:r>
          </w:p>
        </w:tc>
        <w:tc>
          <w:tcPr>
            <w:tcW w:w="2552" w:type="dxa"/>
          </w:tcPr>
          <w:p w14:paraId="691AA50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>20.6 (14.8-31.3)</w:t>
            </w:r>
          </w:p>
        </w:tc>
        <w:tc>
          <w:tcPr>
            <w:tcW w:w="2409" w:type="dxa"/>
          </w:tcPr>
          <w:p w14:paraId="3E3AFCC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</w:rPr>
            </w:pPr>
            <w:r>
              <w:rPr>
                <w:rFonts w:ascii="Times New Roman" w:eastAsia="Times New Roman" w:hAnsi="Times New Roman" w:cs="Times New Roman"/>
                <w:kern w:val="0"/>
              </w:rPr>
              <w:t xml:space="preserve">/ </w:t>
            </w:r>
          </w:p>
        </w:tc>
      </w:tr>
    </w:tbl>
    <w:p w14:paraId="5E7BCEA8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 are mean (SD), n (%), median (IQR), or n/N (%)</w:t>
      </w:r>
    </w:p>
    <w:p w14:paraId="4EB3DA9F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*Body mass index is the weight in kilograms divided by the square of the height in meters.</w:t>
      </w:r>
    </w:p>
    <w:p w14:paraId="64D6EC90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†Scores on the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of functional recovery range from 0 (no symptoms) to 6 (death). A score of 0 indicates ‘no </w:t>
      </w:r>
      <w:proofErr w:type="gramStart"/>
      <w:r>
        <w:rPr>
          <w:rFonts w:ascii="Times New Roman" w:hAnsi="Times New Roman" w:cs="Times New Roman"/>
          <w:sz w:val="22"/>
          <w:szCs w:val="22"/>
        </w:rPr>
        <w:t>symptoms’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and a score 2 or less indicates functional independence. The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score before stroke onset was assessed by the treating physician with the use of information obtained from patients (if possible) or their family members</w:t>
      </w:r>
      <w:r>
        <w:rPr>
          <w:rFonts w:ascii="Times New Roman" w:hAnsi="Times New Roman" w:cs="Times New Roman" w:hint="eastAsia"/>
          <w:sz w:val="22"/>
          <w:szCs w:val="22"/>
        </w:rPr>
        <w:t>.</w:t>
      </w:r>
    </w:p>
    <w:p w14:paraId="243E323F" w14:textId="77777777" w:rsidR="00223B2D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br w:type="page"/>
      </w:r>
    </w:p>
    <w:p w14:paraId="011A5DE0" w14:textId="468EA8C2" w:rsidR="00223B2D" w:rsidRPr="00C05142" w:rsidRDefault="00FF29C6">
      <w:pPr>
        <w:spacing w:after="62"/>
        <w:rPr>
          <w:rFonts w:ascii="Times New Roman" w:eastAsia="DengXian" w:hAnsi="Times New Roman" w:cs="Times New Roman"/>
          <w:b/>
          <w:bCs/>
          <w:kern w:val="0"/>
        </w:rPr>
      </w:pPr>
      <w:r w:rsidRPr="00C05142">
        <w:rPr>
          <w:rFonts w:ascii="Times New Roman" w:eastAsia="DengXian" w:hAnsi="Times New Roman" w:cs="Times New Roman"/>
          <w:b/>
          <w:bCs/>
          <w:kern w:val="0"/>
        </w:rPr>
        <w:lastRenderedPageBreak/>
        <w:t>Table S</w:t>
      </w:r>
      <w:r w:rsidRPr="00C05142">
        <w:rPr>
          <w:rFonts w:ascii="Times New Roman" w:eastAsia="DengXian" w:hAnsi="Times New Roman" w:cs="Times New Roman" w:hint="eastAsia"/>
          <w:b/>
          <w:bCs/>
          <w:kern w:val="0"/>
        </w:rPr>
        <w:t>5</w:t>
      </w:r>
      <w:r w:rsidRPr="00C05142">
        <w:rPr>
          <w:rFonts w:ascii="Times New Roman" w:eastAsia="DengXian" w:hAnsi="Times New Roman" w:cs="Times New Roman"/>
          <w:b/>
          <w:bCs/>
          <w:kern w:val="0"/>
        </w:rPr>
        <w:t xml:space="preserve">. Baseline characteristics of young </w:t>
      </w:r>
      <w:proofErr w:type="gramStart"/>
      <w:r w:rsidRPr="00C05142">
        <w:rPr>
          <w:rFonts w:ascii="Times New Roman" w:eastAsia="DengXian" w:hAnsi="Times New Roman" w:cs="Times New Roman"/>
          <w:b/>
          <w:bCs/>
          <w:kern w:val="0"/>
        </w:rPr>
        <w:t>adult</w:t>
      </w:r>
      <w:proofErr w:type="gramEnd"/>
      <w:r w:rsidRPr="00C05142">
        <w:rPr>
          <w:rFonts w:ascii="Times New Roman" w:eastAsia="DengXian" w:hAnsi="Times New Roman" w:cs="Times New Roman"/>
          <w:b/>
          <w:bCs/>
          <w:kern w:val="0"/>
        </w:rPr>
        <w:t xml:space="preserve"> (</w:t>
      </w:r>
      <w:r w:rsidR="00564153" w:rsidRPr="00C05142">
        <w:rPr>
          <w:rFonts w:hint="eastAsia"/>
          <w:color w:val="262626" w:themeColor="text1" w:themeTint="D9"/>
        </w:rPr>
        <w:t>&lt;</w:t>
      </w:r>
      <w:r w:rsidR="00564153" w:rsidRPr="00C05142">
        <w:rPr>
          <w:rFonts w:ascii="Times New Roman" w:eastAsia="DengXian" w:hAnsi="Times New Roman" w:cs="Times New Roman" w:hint="eastAsia"/>
          <w:b/>
          <w:bCs/>
          <w:kern w:val="0"/>
        </w:rPr>
        <w:t xml:space="preserve">65 </w:t>
      </w:r>
      <w:r w:rsidR="00564153" w:rsidRPr="00C05142">
        <w:rPr>
          <w:rFonts w:ascii="Times New Roman" w:eastAsia="DengXian" w:hAnsi="Times New Roman" w:cs="Times New Roman"/>
          <w:b/>
          <w:bCs/>
          <w:kern w:val="0"/>
        </w:rPr>
        <w:t>years</w:t>
      </w:r>
      <w:r w:rsidRPr="00C05142">
        <w:rPr>
          <w:rFonts w:ascii="Times New Roman" w:eastAsia="DengXian" w:hAnsi="Times New Roman" w:cs="Times New Roman"/>
          <w:b/>
          <w:bCs/>
          <w:kern w:val="0"/>
        </w:rPr>
        <w:t xml:space="preserve">) and </w:t>
      </w:r>
      <w:bookmarkStart w:id="6" w:name="OLE_LINK20"/>
      <w:r w:rsidRPr="00C05142">
        <w:rPr>
          <w:rFonts w:ascii="Times New Roman" w:eastAsia="DengXian" w:hAnsi="Times New Roman" w:cs="Times New Roman"/>
          <w:b/>
          <w:bCs/>
          <w:kern w:val="0"/>
        </w:rPr>
        <w:t>older adult</w:t>
      </w:r>
      <w:r w:rsidRPr="00C05142">
        <w:rPr>
          <w:rFonts w:ascii="Times New Roman" w:eastAsia="DengXian" w:hAnsi="Times New Roman" w:cs="Times New Roman"/>
          <w:b/>
          <w:bCs/>
          <w:kern w:val="0"/>
        </w:rPr>
        <w:t xml:space="preserve"> (</w:t>
      </w:r>
      <w:r w:rsidR="00564153" w:rsidRPr="00C05142">
        <w:rPr>
          <w:rFonts w:ascii="Times New Roman" w:eastAsia="DengXian" w:hAnsi="Times New Roman" w:cs="Times New Roman"/>
          <w:b/>
          <w:bCs/>
          <w:kern w:val="0"/>
        </w:rPr>
        <w:t>≥65 years</w:t>
      </w:r>
      <w:bookmarkStart w:id="7" w:name="OLE_LINK1"/>
      <w:r w:rsidRPr="00C05142">
        <w:rPr>
          <w:rFonts w:ascii="Times New Roman" w:eastAsia="DengXian" w:hAnsi="Times New Roman" w:cs="Times New Roman" w:hint="eastAsia"/>
          <w:b/>
          <w:bCs/>
          <w:kern w:val="0"/>
        </w:rPr>
        <w:t>)</w:t>
      </w:r>
      <w:bookmarkEnd w:id="6"/>
      <w:bookmarkEnd w:id="7"/>
      <w:r w:rsidRPr="00C05142">
        <w:rPr>
          <w:rFonts w:ascii="Times New Roman" w:eastAsia="DengXian" w:hAnsi="Times New Roman" w:cs="Times New Roman" w:hint="eastAsia"/>
          <w:b/>
          <w:bCs/>
          <w:kern w:val="0"/>
        </w:rPr>
        <w:t xml:space="preserve"> </w:t>
      </w:r>
      <w:r w:rsidRPr="00C05142">
        <w:rPr>
          <w:rFonts w:ascii="Times New Roman" w:eastAsia="DengXian" w:hAnsi="Times New Roman" w:cs="Times New Roman"/>
          <w:b/>
          <w:bCs/>
          <w:kern w:val="0"/>
        </w:rPr>
        <w:t>participants</w:t>
      </w:r>
    </w:p>
    <w:tbl>
      <w:tblPr>
        <w:tblStyle w:val="TableGrid"/>
        <w:tblW w:w="1317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268"/>
        <w:gridCol w:w="2268"/>
        <w:gridCol w:w="2551"/>
        <w:gridCol w:w="2268"/>
      </w:tblGrid>
      <w:tr w:rsidR="00223B2D" w14:paraId="2C3E8517" w14:textId="77777777">
        <w:tc>
          <w:tcPr>
            <w:tcW w:w="3823" w:type="dxa"/>
            <w:tcBorders>
              <w:top w:val="single" w:sz="4" w:space="0" w:color="auto"/>
              <w:bottom w:val="nil"/>
            </w:tcBorders>
            <w:tcMar>
              <w:left w:w="85" w:type="dxa"/>
              <w:right w:w="85" w:type="dxa"/>
            </w:tcMar>
          </w:tcPr>
          <w:p w14:paraId="6B901CAF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Characteristic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12A95C44" w14:textId="40F76DF2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Age</w:t>
            </w:r>
            <w:r w:rsidR="000C2EEC">
              <w:rPr>
                <w:rFonts w:ascii="Times New Roman" w:hAnsi="Times New Roman" w:cs="Times New Roman" w:hint="eastAsia"/>
                <w:b/>
                <w:bCs/>
                <w:kern w:val="0"/>
                <w14:ligatures w14:val="standardContextual"/>
              </w:rPr>
              <w:t xml:space="preserve"> </w:t>
            </w:r>
            <w:r w:rsidR="000C2EEC" w:rsidRPr="003730A7">
              <w:rPr>
                <w:rFonts w:ascii="Times New Roman" w:eastAsia="DengXian" w:hAnsi="Times New Roman" w:cs="Times New Roman"/>
                <w:b/>
                <w:bCs/>
                <w:kern w:val="0"/>
                <w:sz w:val="22"/>
                <w:szCs w:val="22"/>
              </w:rPr>
              <w:t>≥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65 years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4550EF" w14:textId="02D78F15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 xml:space="preserve">Age </w:t>
            </w:r>
            <w:r w:rsidR="003231AE" w:rsidRPr="003231AE"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>&lt;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 xml:space="preserve">65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years</w:t>
            </w:r>
          </w:p>
        </w:tc>
      </w:tr>
      <w:tr w:rsidR="00223B2D" w14:paraId="7D47BB2B" w14:textId="77777777">
        <w:tc>
          <w:tcPr>
            <w:tcW w:w="3823" w:type="dxa"/>
            <w:tcBorders>
              <w:top w:val="nil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758499E5" w14:textId="77777777" w:rsidR="00223B2D" w:rsidRDefault="00223B2D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7B10DE8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Function-guided antiplatelet therapy</w:t>
            </w:r>
          </w:p>
          <w:p w14:paraId="5135B01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tcMar>
              <w:left w:w="85" w:type="dxa"/>
              <w:right w:w="85" w:type="dxa"/>
            </w:tcMar>
          </w:tcPr>
          <w:p w14:paraId="13B1547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Standard antiplatelet therapy</w:t>
            </w:r>
          </w:p>
          <w:p w14:paraId="150271F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9D9BEB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Function-guided antiplatelet therapy</w:t>
            </w:r>
          </w:p>
          <w:p w14:paraId="5175FA4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60F251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Standard antiplatelet therapy</w:t>
            </w:r>
          </w:p>
          <w:p w14:paraId="7E0E14F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(n=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standardContextual"/>
              </w:rPr>
              <w:t>)</w:t>
            </w:r>
          </w:p>
        </w:tc>
      </w:tr>
      <w:tr w:rsidR="00223B2D" w14:paraId="6717C66A" w14:textId="77777777">
        <w:tc>
          <w:tcPr>
            <w:tcW w:w="3823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43E466A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Sex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2C438650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tcMar>
              <w:left w:w="85" w:type="dxa"/>
              <w:right w:w="85" w:type="dxa"/>
            </w:tcMar>
          </w:tcPr>
          <w:p w14:paraId="35847CE3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36B7D16E" w14:textId="77777777" w:rsidR="00223B2D" w:rsidRDefault="00223B2D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4EA2EF2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3097BE62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623BBCF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Female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3E8ABD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71/310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016624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97/330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35C516BC" w14:textId="01DAE0B2" w:rsidR="00223B2D" w:rsidRDefault="006F58E1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133/301 (44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2)</w:t>
            </w:r>
          </w:p>
        </w:tc>
        <w:tc>
          <w:tcPr>
            <w:tcW w:w="2268" w:type="dxa"/>
          </w:tcPr>
          <w:p w14:paraId="6505F513" w14:textId="1C871D65" w:rsidR="00223B2D" w:rsidRDefault="006F58E1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116/283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18735F84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486F7F55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Male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874AF8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239/310 (77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F7EAB1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233/330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2976F55D" w14:textId="0292A77D" w:rsidR="00223B2D" w:rsidRDefault="006F58E1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168/301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53AFC05C" w14:textId="64F137E0" w:rsidR="00223B2D" w:rsidRDefault="006F58E1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167/283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3B7FA211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D24197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Ethnicity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CF244F3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54BD9C5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</w:tcPr>
          <w:p w14:paraId="09EE3CF3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</w:tcPr>
          <w:p w14:paraId="13A4FCB7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5297CEC8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A7938C0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Han Chinese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782D7A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4198A49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17F0380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75A1932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(99.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3041BD1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4E4B9B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Other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5B6041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2C6BE7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7D84CCC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6AB1561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42659FC9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6500601D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Location of residence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A743849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7A03D1C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</w:tcPr>
          <w:p w14:paraId="195526ED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</w:tcPr>
          <w:p w14:paraId="72C31E12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7099E40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4FAFB69D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Urban area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2FD81A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193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263844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208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6ED5D8B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155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(5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1CE74DA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13EC9AAE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ACE4992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Non-urban area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6E93C4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117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CBA729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07CBF6C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146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36C7394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145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267B1AEC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76F6C8CB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Body mass 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index,*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kg/m2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4820DC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26.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C586DA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2772929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716E107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2261952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BC49A49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Medical history 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05FD875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7FFD699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</w:tcPr>
          <w:p w14:paraId="4CD87A1B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</w:tcPr>
          <w:p w14:paraId="27D14570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0A90019E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4A4E818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Hypertension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568A72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235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(7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AE1531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240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613E787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(7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34A0740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222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345C61D9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2A363836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Diabetes mellitus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D1744A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106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0B1E77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440921E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2D65C5A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6F2C8C68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3B0D6D1C" w14:textId="4307D94F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Dyslipid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emia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D1FA4D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120/307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204760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110/323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50307F7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94/299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6F962C4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90/280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7A0FB3F5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6F290D6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Medications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72AB17FD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8C4323B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</w:tcPr>
          <w:p w14:paraId="09C7DBE0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</w:tcPr>
          <w:p w14:paraId="534ADD11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78C1D9BE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19AD267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Antihypertensive drugs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B86A89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215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37FF57C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220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59D7C88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205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4634F5A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196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(6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3029CD45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0F358CA0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Antidiabetic drugs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4609E4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9A506E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2B07729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.7)</w:t>
            </w:r>
          </w:p>
        </w:tc>
        <w:tc>
          <w:tcPr>
            <w:tcW w:w="2268" w:type="dxa"/>
          </w:tcPr>
          <w:p w14:paraId="57C4B39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6F3A0132" w14:textId="77777777">
        <w:trPr>
          <w:trHeight w:val="257"/>
        </w:trPr>
        <w:tc>
          <w:tcPr>
            <w:tcW w:w="3823" w:type="dxa"/>
            <w:tcMar>
              <w:left w:w="85" w:type="dxa"/>
              <w:right w:w="85" w:type="dxa"/>
            </w:tcMar>
          </w:tcPr>
          <w:p w14:paraId="5A3A1E54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Statins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2AA5F4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298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(9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D15C35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26F3C25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296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(9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7072628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272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(96.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0332F0B7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1F4CD1A1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Current smoker 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112C7B5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144/307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88449C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137/327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760EA3F7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79/300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2AB52AA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86/282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50E1DE55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44942FE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Consumption of alcohol 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99BF20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125/307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EA1BD2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124/327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6DE2789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70/300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24399A5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68/282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7A4D02F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041B329B" w14:textId="1DE09E92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Median time from the onset of symptoms to randomi</w:t>
            </w:r>
            <w:r w:rsidR="00C05142"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z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ation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,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days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227121F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6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9313A1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6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208EDFD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6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242D561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08C71F22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7778215C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Median time from the initiation of aspirin to randomization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,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days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6A4C00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(1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967C54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6D0719F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31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447CF4C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to 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430F766C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5A020E9A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Level of disability on the modified Rankin scale†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1BF70D14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FBD77A7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551" w:type="dxa"/>
          </w:tcPr>
          <w:p w14:paraId="52A43522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  <w:tc>
          <w:tcPr>
            <w:tcW w:w="2268" w:type="dxa"/>
          </w:tcPr>
          <w:p w14:paraId="00972FC0" w14:textId="77777777" w:rsidR="00223B2D" w:rsidRDefault="00223B2D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</w:p>
        </w:tc>
      </w:tr>
      <w:tr w:rsidR="00223B2D" w14:paraId="79F3246A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433EE461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lastRenderedPageBreak/>
              <w:t xml:space="preserve">  0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ECC25B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8CEE9F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14F198F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(40.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13853FF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111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2093338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7FC90039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 1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D1A858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147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D80E7B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163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3545BA8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(4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4F12D571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138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6524336F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4A2DB0D1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 2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5E520C9" w14:textId="06C5EF7C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 w:rsidR="006F58E1">
              <w:rPr>
                <w:rFonts w:ascii="Times New Roman" w:hAnsi="Times New Roman" w:cs="Times New Roman" w:hint="eastAsia"/>
                <w:kern w:val="0"/>
                <w14:ligatures w14:val="standardContextual"/>
              </w:rPr>
              <w:t>310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(1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5227973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330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551" w:type="dxa"/>
          </w:tcPr>
          <w:p w14:paraId="53E0C470" w14:textId="5938EE23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 w:rsidR="006F58E1">
              <w:rPr>
                <w:rFonts w:ascii="Times New Roman" w:hAnsi="Times New Roman" w:cs="Times New Roman" w:hint="eastAsia"/>
                <w:kern w:val="0"/>
                <w14:ligatures w14:val="standardContextual"/>
              </w:rPr>
              <w:t>301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(1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70DCE40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/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12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</w:tr>
      <w:tr w:rsidR="00223B2D" w14:paraId="7C938B73" w14:textId="77777777">
        <w:tc>
          <w:tcPr>
            <w:tcW w:w="3823" w:type="dxa"/>
            <w:tcMar>
              <w:left w:w="85" w:type="dxa"/>
              <w:right w:w="85" w:type="dxa"/>
            </w:tcMar>
          </w:tcPr>
          <w:p w14:paraId="38D61C57" w14:textId="77777777" w:rsidR="00223B2D" w:rsidRDefault="00FF29C6">
            <w:pPr>
              <w:spacing w:afterLines="0"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Median maximal aggregation rate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090A087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(14.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-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28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  <w:tcMar>
              <w:left w:w="85" w:type="dxa"/>
              <w:right w:w="85" w:type="dxa"/>
            </w:tcMar>
          </w:tcPr>
          <w:p w14:paraId="60F4061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/ </w:t>
            </w:r>
          </w:p>
        </w:tc>
        <w:tc>
          <w:tcPr>
            <w:tcW w:w="2551" w:type="dxa"/>
          </w:tcPr>
          <w:p w14:paraId="0C9B5F8E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2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 (14.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-3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14:ligatures w14:val="standardContextual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>)</w:t>
            </w:r>
          </w:p>
        </w:tc>
        <w:tc>
          <w:tcPr>
            <w:tcW w:w="2268" w:type="dxa"/>
          </w:tcPr>
          <w:p w14:paraId="3FAD75F8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standardContextual"/>
              </w:rPr>
              <w:t xml:space="preserve">/ </w:t>
            </w:r>
          </w:p>
        </w:tc>
      </w:tr>
    </w:tbl>
    <w:p w14:paraId="4359AB3F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 are mean (SD), n (%), median (IQR), or n/N (%)</w:t>
      </w:r>
    </w:p>
    <w:p w14:paraId="620B5C16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*Body mass index is the weight in kilograms divided by the square of the height in meters.</w:t>
      </w:r>
    </w:p>
    <w:p w14:paraId="68D8ADC7" w14:textId="77777777" w:rsidR="00223B2D" w:rsidRDefault="00FF29C6">
      <w:pPr>
        <w:spacing w:before="60" w:after="62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†Scores on the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of functional recovery range from 0 (no symptoms) to 6 (death). A score of 0 indicates ‘no </w:t>
      </w:r>
      <w:proofErr w:type="gramStart"/>
      <w:r>
        <w:rPr>
          <w:rFonts w:ascii="Times New Roman" w:hAnsi="Times New Roman" w:cs="Times New Roman"/>
          <w:sz w:val="22"/>
          <w:szCs w:val="22"/>
        </w:rPr>
        <w:t>symptoms’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and a score 2 or less indicates functional independence. The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score before stroke onset was assessed by the treating physician with the use of information obtained from patients (if possible) or their family members</w:t>
      </w:r>
      <w:r>
        <w:rPr>
          <w:rFonts w:ascii="Times New Roman" w:hAnsi="Times New Roman" w:cs="Times New Roman" w:hint="eastAsia"/>
          <w:sz w:val="22"/>
          <w:szCs w:val="22"/>
        </w:rPr>
        <w:t>.</w:t>
      </w:r>
    </w:p>
    <w:p w14:paraId="5B8F99D0" w14:textId="77777777" w:rsidR="00223B2D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br w:type="page"/>
      </w:r>
    </w:p>
    <w:p w14:paraId="2F0C9755" w14:textId="77777777" w:rsidR="00223B2D" w:rsidRDefault="00FF29C6">
      <w:pPr>
        <w:spacing w:after="62" w:line="360" w:lineRule="auto"/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lastRenderedPageBreak/>
        <w:t xml:space="preserve">Table 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2"/>
        </w:rPr>
        <w:t>S6</w:t>
      </w: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t>. Platelet aggregation function at randomization and during follow-up period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3834"/>
        <w:gridCol w:w="2552"/>
        <w:gridCol w:w="2375"/>
      </w:tblGrid>
      <w:tr w:rsidR="00223B2D" w14:paraId="2E0BD333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65865" w14:textId="77777777" w:rsidR="00223B2D" w:rsidRDefault="00FF29C6">
            <w:pPr>
              <w:spacing w:afterLines="0" w:after="0" w:line="240" w:lineRule="auto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Variable</w:t>
            </w:r>
          </w:p>
        </w:tc>
        <w:tc>
          <w:tcPr>
            <w:tcW w:w="3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7D5553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Platelet aggregation function-guided antiplatelet therapy</w:t>
            </w:r>
          </w:p>
          <w:p w14:paraId="2149DD3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611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8CE0C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 xml:space="preserve">Standard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antiplatelet therapy</w:t>
            </w:r>
          </w:p>
          <w:p w14:paraId="29B8DF4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(N=6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13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2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E0AA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Total</w:t>
            </w:r>
          </w:p>
          <w:p w14:paraId="345B4FA9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(N=</w:t>
            </w:r>
            <w:proofErr w:type="gramStart"/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:sz w:val="22"/>
                <w:szCs w:val="22"/>
              </w:rPr>
              <w:t>1224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 xml:space="preserve"> )</w:t>
            </w:r>
            <w:proofErr w:type="gramEnd"/>
          </w:p>
        </w:tc>
      </w:tr>
      <w:tr w:rsidR="00223B2D" w14:paraId="264D22D5" w14:textId="77777777">
        <w:trPr>
          <w:trHeight w:val="2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B205F9" w14:textId="6DFBDB1C" w:rsidR="00223B2D" w:rsidRDefault="00FF29C6">
            <w:pPr>
              <w:spacing w:afterLines="0" w:after="0" w:line="240" w:lineRule="auto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Platelet aggregation function at randomi</w:t>
            </w:r>
            <w:r w:rsidR="00A93461"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ation</w:t>
            </w:r>
          </w:p>
        </w:tc>
        <w:tc>
          <w:tcPr>
            <w:tcW w:w="3834" w:type="dxa"/>
            <w:tcBorders>
              <w:top w:val="single" w:sz="4" w:space="0" w:color="auto"/>
            </w:tcBorders>
            <w:vAlign w:val="center"/>
          </w:tcPr>
          <w:p w14:paraId="469BEF02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611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672CF97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</w:rPr>
              <w:t>/</w:t>
            </w:r>
          </w:p>
        </w:tc>
        <w:tc>
          <w:tcPr>
            <w:tcW w:w="2375" w:type="dxa"/>
            <w:tcBorders>
              <w:top w:val="single" w:sz="4" w:space="0" w:color="auto"/>
            </w:tcBorders>
            <w:vAlign w:val="center"/>
          </w:tcPr>
          <w:p w14:paraId="436C217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</w:rPr>
              <w:t>/</w:t>
            </w:r>
          </w:p>
        </w:tc>
      </w:tr>
      <w:tr w:rsidR="00223B2D" w14:paraId="44A197A9" w14:textId="77777777">
        <w:trPr>
          <w:trHeight w:val="20"/>
        </w:trPr>
        <w:tc>
          <w:tcPr>
            <w:tcW w:w="0" w:type="auto"/>
            <w:vAlign w:val="center"/>
          </w:tcPr>
          <w:p w14:paraId="783E133A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Median (IQR)</w:t>
            </w:r>
          </w:p>
        </w:tc>
        <w:tc>
          <w:tcPr>
            <w:tcW w:w="3834" w:type="dxa"/>
            <w:vAlign w:val="center"/>
          </w:tcPr>
          <w:p w14:paraId="00748DB6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20.2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14.6-30.1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vAlign w:val="center"/>
          </w:tcPr>
          <w:p w14:paraId="126D397D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</w:rPr>
              <w:t>/</w:t>
            </w:r>
          </w:p>
        </w:tc>
        <w:tc>
          <w:tcPr>
            <w:tcW w:w="2375" w:type="dxa"/>
            <w:vAlign w:val="center"/>
          </w:tcPr>
          <w:p w14:paraId="034336F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</w:rPr>
              <w:t>/</w:t>
            </w:r>
          </w:p>
        </w:tc>
      </w:tr>
      <w:tr w:rsidR="00223B2D" w14:paraId="495944D4" w14:textId="77777777">
        <w:trPr>
          <w:trHeight w:val="20"/>
        </w:trPr>
        <w:tc>
          <w:tcPr>
            <w:tcW w:w="0" w:type="auto"/>
            <w:vAlign w:val="center"/>
          </w:tcPr>
          <w:p w14:paraId="06440761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Platelet aggregation function at 30 days enrolment</w:t>
            </w:r>
          </w:p>
        </w:tc>
        <w:tc>
          <w:tcPr>
            <w:tcW w:w="3834" w:type="dxa"/>
            <w:vAlign w:val="center"/>
          </w:tcPr>
          <w:p w14:paraId="7ADBBFEB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602</w:t>
            </w:r>
          </w:p>
        </w:tc>
        <w:tc>
          <w:tcPr>
            <w:tcW w:w="2552" w:type="dxa"/>
            <w:vAlign w:val="center"/>
          </w:tcPr>
          <w:p w14:paraId="5B5E969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604</w:t>
            </w:r>
          </w:p>
        </w:tc>
        <w:tc>
          <w:tcPr>
            <w:tcW w:w="2375" w:type="dxa"/>
            <w:vAlign w:val="center"/>
          </w:tcPr>
          <w:p w14:paraId="56C47214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1206</w:t>
            </w:r>
          </w:p>
        </w:tc>
      </w:tr>
      <w:tr w:rsidR="00223B2D" w14:paraId="4C88B810" w14:textId="77777777">
        <w:trPr>
          <w:trHeight w:val="20"/>
        </w:trPr>
        <w:tc>
          <w:tcPr>
            <w:tcW w:w="0" w:type="auto"/>
            <w:vAlign w:val="center"/>
          </w:tcPr>
          <w:p w14:paraId="00B25183" w14:textId="77777777" w:rsidR="00223B2D" w:rsidRDefault="00FF29C6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Median (IQR)</w:t>
            </w:r>
          </w:p>
        </w:tc>
        <w:tc>
          <w:tcPr>
            <w:tcW w:w="3834" w:type="dxa"/>
            <w:vAlign w:val="center"/>
          </w:tcPr>
          <w:p w14:paraId="53EDAF8F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22.0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15.5-30.4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552" w:type="dxa"/>
            <w:vAlign w:val="center"/>
          </w:tcPr>
          <w:p w14:paraId="6074D7CA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22.9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15.9-33.0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)</w:t>
            </w:r>
          </w:p>
        </w:tc>
        <w:tc>
          <w:tcPr>
            <w:tcW w:w="2375" w:type="dxa"/>
            <w:vAlign w:val="center"/>
          </w:tcPr>
          <w:p w14:paraId="7D8759B0" w14:textId="77777777" w:rsidR="00223B2D" w:rsidRDefault="00FF29C6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22.4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15.7-31.4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)</w:t>
            </w:r>
          </w:p>
        </w:tc>
      </w:tr>
    </w:tbl>
    <w:p w14:paraId="340A12DB" w14:textId="77777777" w:rsidR="00223B2D" w:rsidRDefault="00FF29C6">
      <w:pPr>
        <w:spacing w:before="120" w:afterLines="50" w:after="15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IQR</w:t>
      </w:r>
      <w:r>
        <w:rPr>
          <w:rFonts w:ascii="Times New Roman" w:hAnsi="Times New Roman" w:cs="Times New Roman" w:hint="eastAsia"/>
          <w:sz w:val="22"/>
          <w:szCs w:val="22"/>
        </w:rPr>
        <w:t>=</w:t>
      </w:r>
      <w:r>
        <w:rPr>
          <w:rFonts w:ascii="Times New Roman" w:hAnsi="Times New Roman" w:cs="Times New Roman"/>
          <w:sz w:val="22"/>
          <w:szCs w:val="22"/>
        </w:rPr>
        <w:t>Interquartile Range.</w:t>
      </w:r>
    </w:p>
    <w:p w14:paraId="01823B9F" w14:textId="77777777" w:rsidR="00223B2D" w:rsidRDefault="00FF29C6">
      <w:pPr>
        <w:widowControl/>
        <w:spacing w:afterLines="0" w:after="12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13"/>
          <w:szCs w:val="15"/>
        </w:rPr>
        <w:br w:type="page"/>
      </w: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2"/>
        </w:rPr>
        <w:t>7.</w:t>
      </w: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t xml:space="preserve"> Primary outcome in the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t>per-protocol population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4536"/>
        <w:gridCol w:w="3686"/>
        <w:gridCol w:w="2453"/>
        <w:gridCol w:w="895"/>
      </w:tblGrid>
      <w:tr w:rsidR="00223B2D" w14:paraId="03EFA838" w14:textId="77777777"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</w:tcPr>
          <w:p w14:paraId="7C35F0FD" w14:textId="77777777" w:rsidR="00223B2D" w:rsidRDefault="00FF29C6">
            <w:pPr>
              <w:spacing w:afterLines="0" w:after="0" w:line="240" w:lineRule="auto"/>
              <w:ind w:left="155" w:hangingChars="70" w:hanging="155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Outcome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22C3C2DE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Platelet aggregation function-guided antiplatelet therapy</w:t>
            </w:r>
          </w:p>
          <w:p w14:paraId="3C6B1CE3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 xml:space="preserve">(N =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593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4FD6C634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 xml:space="preserve">Standard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antiplatelet therapy</w:t>
            </w:r>
          </w:p>
          <w:p w14:paraId="744002F5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 xml:space="preserve">(N =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591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</w:rPr>
              <w:t>)</w:t>
            </w:r>
          </w:p>
        </w:tc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14:paraId="56BE70AE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Estimates</w:t>
            </w:r>
          </w:p>
          <w:p w14:paraId="62F5B0D4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 xml:space="preserve">(95%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CI)*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25D694" w14:textId="77777777" w:rsidR="00223B2D" w:rsidRDefault="00223B2D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  <w:p w14:paraId="20A46024" w14:textId="77777777" w:rsidR="00223B2D" w:rsidRDefault="00223B2D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  <w:p w14:paraId="068DAB42" w14:textId="77777777" w:rsidR="00223B2D" w:rsidRDefault="00FF29C6">
            <w:pPr>
              <w:spacing w:afterLines="0" w:after="0" w:line="240" w:lineRule="auto"/>
              <w:ind w:left="155" w:hangingChars="70" w:hanging="155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 value</w:t>
            </w:r>
          </w:p>
        </w:tc>
      </w:tr>
      <w:tr w:rsidR="00223B2D" w14:paraId="0FE45003" w14:textId="77777777">
        <w:tc>
          <w:tcPr>
            <w:tcW w:w="2263" w:type="dxa"/>
            <w:tcBorders>
              <w:top w:val="single" w:sz="4" w:space="0" w:color="auto"/>
            </w:tcBorders>
          </w:tcPr>
          <w:p w14:paraId="1C152A63" w14:textId="77777777" w:rsidR="00223B2D" w:rsidRDefault="00FF29C6">
            <w:pPr>
              <w:spacing w:afterLines="0" w:after="0" w:line="240" w:lineRule="auto"/>
              <w:ind w:left="155" w:hangingChars="70" w:hanging="155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Primary outcome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307DAB9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F5EE558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2453" w:type="dxa"/>
            <w:tcBorders>
              <w:top w:val="single" w:sz="4" w:space="0" w:color="auto"/>
            </w:tcBorders>
          </w:tcPr>
          <w:p w14:paraId="46911771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3D25EA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:rsidR="00223B2D" w14:paraId="70AEB808" w14:textId="77777777">
        <w:tc>
          <w:tcPr>
            <w:tcW w:w="2263" w:type="dxa"/>
          </w:tcPr>
          <w:p w14:paraId="44DE39F0" w14:textId="77777777" w:rsidR="00223B2D" w:rsidRDefault="00FF29C6">
            <w:pPr>
              <w:spacing w:afterLines="0" w:after="0" w:line="240" w:lineRule="auto"/>
              <w:ind w:left="154" w:hangingChars="70" w:hanging="154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HOPR at 30±5 days  </w:t>
            </w:r>
          </w:p>
        </w:tc>
        <w:tc>
          <w:tcPr>
            <w:tcW w:w="4536" w:type="dxa"/>
          </w:tcPr>
          <w:p w14:paraId="1C618488" w14:textId="7777777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93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/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593 (15.7)</w:t>
            </w:r>
          </w:p>
        </w:tc>
        <w:tc>
          <w:tcPr>
            <w:tcW w:w="3686" w:type="dxa"/>
          </w:tcPr>
          <w:p w14:paraId="64260ECD" w14:textId="50B6F01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128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>/</w:t>
            </w:r>
            <w:r w:rsidR="000268E3">
              <w:rPr>
                <w:rFonts w:ascii="Times New Roman" w:hAnsi="Times New Roman" w:cs="Times New Roman" w:hint="eastAsia"/>
                <w:kern w:val="0"/>
                <w:sz w:val="22"/>
                <w:szCs w:val="22"/>
              </w:rPr>
              <w:t>591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(21.7)</w:t>
            </w:r>
          </w:p>
        </w:tc>
        <w:tc>
          <w:tcPr>
            <w:tcW w:w="2453" w:type="dxa"/>
          </w:tcPr>
          <w:p w14:paraId="2312AD8F" w14:textId="7777777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R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</w:rPr>
              <w:t>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0.72 (0.57 to 0.92)</w:t>
            </w:r>
          </w:p>
        </w:tc>
        <w:tc>
          <w:tcPr>
            <w:tcW w:w="0" w:type="auto"/>
          </w:tcPr>
          <w:p w14:paraId="1E990DAF" w14:textId="7777777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0.008</w:t>
            </w:r>
          </w:p>
        </w:tc>
      </w:tr>
      <w:tr w:rsidR="00223B2D" w14:paraId="288EF39A" w14:textId="77777777">
        <w:tc>
          <w:tcPr>
            <w:tcW w:w="2263" w:type="dxa"/>
          </w:tcPr>
          <w:p w14:paraId="79D6F35A" w14:textId="77777777" w:rsidR="00223B2D" w:rsidRDefault="00FF29C6">
            <w:pPr>
              <w:spacing w:afterLines="0" w:after="0" w:line="240" w:lineRule="auto"/>
              <w:ind w:left="155" w:hangingChars="70" w:hanging="155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  <w:t>Secondary outcome</w:t>
            </w:r>
          </w:p>
        </w:tc>
        <w:tc>
          <w:tcPr>
            <w:tcW w:w="4536" w:type="dxa"/>
          </w:tcPr>
          <w:p w14:paraId="4642CBFD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0B989256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2453" w:type="dxa"/>
          </w:tcPr>
          <w:p w14:paraId="7732B685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0" w:type="auto"/>
          </w:tcPr>
          <w:p w14:paraId="6F90FEE1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:rsidR="00223B2D" w14:paraId="27CFBC44" w14:textId="77777777">
        <w:tc>
          <w:tcPr>
            <w:tcW w:w="2263" w:type="dxa"/>
          </w:tcPr>
          <w:p w14:paraId="0F242A26" w14:textId="77777777" w:rsidR="00223B2D" w:rsidRDefault="00FF29C6">
            <w:pPr>
              <w:spacing w:afterLines="0" w:after="0" w:line="240" w:lineRule="auto"/>
              <w:ind w:left="154" w:hangingChars="70" w:hanging="154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MAR at 30±5 days</w:t>
            </w:r>
            <w:r>
              <w:rPr>
                <w:rFonts w:ascii="Times New Roman" w:hAnsi="Times New Roman" w:cs="Times New Roman" w:hint="eastAsia"/>
                <w:vertAlign w:val="superscript"/>
              </w:rPr>
              <w:t>§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14:paraId="7971A70D" w14:textId="7777777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22.0 (15.7-30.5)</w:t>
            </w:r>
          </w:p>
        </w:tc>
        <w:tc>
          <w:tcPr>
            <w:tcW w:w="3686" w:type="dxa"/>
          </w:tcPr>
          <w:p w14:paraId="1822A738" w14:textId="77777777" w:rsidR="00223B2D" w:rsidRDefault="00FF29C6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  <w:t>22.9 (15.9-33.0)</w:t>
            </w:r>
          </w:p>
        </w:tc>
        <w:tc>
          <w:tcPr>
            <w:tcW w:w="2453" w:type="dxa"/>
          </w:tcPr>
          <w:p w14:paraId="0475CED0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0" w:type="auto"/>
          </w:tcPr>
          <w:p w14:paraId="368BAF45" w14:textId="77777777" w:rsidR="00223B2D" w:rsidRDefault="00223B2D">
            <w:pPr>
              <w:spacing w:afterLines="0" w:after="0" w:line="240" w:lineRule="auto"/>
              <w:ind w:left="154" w:hangingChars="70" w:hanging="154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</w:tbl>
    <w:p w14:paraId="019FFC29" w14:textId="77777777" w:rsidR="00223B2D" w:rsidRDefault="00FF29C6">
      <w:pPr>
        <w:spacing w:before="120" w:after="62" w:line="240" w:lineRule="auto"/>
        <w:ind w:left="168" w:hangingChars="70" w:hanging="168"/>
        <w:rPr>
          <w:rFonts w:ascii="Times New Roman" w:hAnsi="Times New Roman" w:cs="Times New Roman"/>
          <w:color w:val="000000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Data are n/N (%) or median (IQR)</w:t>
      </w:r>
      <w:r>
        <w:rPr>
          <w:rFonts w:ascii="Times New Roman" w:hAnsi="Times New Roman" w:cs="Times New Roman" w:hint="eastAsia"/>
          <w:color w:val="000000"/>
          <w:kern w:val="0"/>
        </w:rPr>
        <w:t xml:space="preserve"> </w:t>
      </w:r>
    </w:p>
    <w:p w14:paraId="67763A24" w14:textId="77777777" w:rsidR="00223B2D" w:rsidRDefault="00FF29C6">
      <w:pPr>
        <w:spacing w:before="120" w:after="62" w:line="240" w:lineRule="auto"/>
        <w:ind w:left="168" w:hangingChars="70" w:hanging="168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color w:val="000000"/>
          <w:kern w:val="0"/>
        </w:rPr>
        <w:t>*</w:t>
      </w:r>
      <w:proofErr w:type="gramStart"/>
      <w:r>
        <w:rPr>
          <w:rFonts w:ascii="Times New Roman" w:hAnsi="Times New Roman" w:cs="Times New Roman"/>
          <w:color w:val="000000"/>
          <w:kern w:val="0"/>
        </w:rPr>
        <w:t>adjusted</w:t>
      </w:r>
      <w:proofErr w:type="gramEnd"/>
      <w:r>
        <w:rPr>
          <w:rFonts w:ascii="Times New Roman" w:hAnsi="Times New Roman" w:cs="Times New Roman"/>
          <w:color w:val="000000"/>
          <w:kern w:val="0"/>
        </w:rPr>
        <w:t xml:space="preserve"> for </w:t>
      </w:r>
      <w:r>
        <w:rPr>
          <w:rFonts w:ascii="Times New Roman" w:hAnsi="Times New Roman" w:cs="Times New Roman" w:hint="eastAsia"/>
          <w:kern w:val="0"/>
        </w:rPr>
        <w:t>sex, age (</w:t>
      </w:r>
      <w:r w:rsidRPr="00A93461">
        <w:rPr>
          <w:rFonts w:ascii="Times New Roman" w:hAnsi="Times New Roman" w:cs="Times New Roman"/>
          <w:kern w:val="0"/>
        </w:rPr>
        <w:t>≥</w:t>
      </w:r>
      <w:r>
        <w:rPr>
          <w:rFonts w:ascii="Times New Roman" w:hAnsi="Times New Roman" w:cs="Times New Roman" w:hint="eastAsia"/>
          <w:kern w:val="0"/>
        </w:rPr>
        <w:t xml:space="preserve">65 vs. &lt;65 years), and baseline </w:t>
      </w:r>
      <w:proofErr w:type="spellStart"/>
      <w:r>
        <w:rPr>
          <w:rFonts w:ascii="Times New Roman" w:hAnsi="Times New Roman" w:cs="Times New Roman"/>
          <w:kern w:val="0"/>
        </w:rPr>
        <w:t>mRS</w:t>
      </w:r>
      <w:proofErr w:type="spellEnd"/>
      <w:r>
        <w:rPr>
          <w:rFonts w:ascii="Times New Roman" w:hAnsi="Times New Roman" w:cs="Times New Roman"/>
          <w:kern w:val="0"/>
        </w:rPr>
        <w:t xml:space="preserve"> score (0–1 vs. 2).</w:t>
      </w:r>
    </w:p>
    <w:p w14:paraId="4A8F452C" w14:textId="77777777" w:rsidR="00223B2D" w:rsidRDefault="00FF29C6">
      <w:pPr>
        <w:spacing w:before="120" w:after="62" w:line="240" w:lineRule="auto"/>
        <w:ind w:left="168" w:hangingChars="70" w:hanging="168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/>
          <w:kern w:val="0"/>
        </w:rPr>
        <w:t>HOPR=high on-treatment platelet reactivity; MAR=maximum aggregation rate</w:t>
      </w:r>
      <w:r>
        <w:rPr>
          <w:rFonts w:ascii="Times New Roman" w:hAnsi="Times New Roman" w:cs="Times New Roman" w:hint="eastAsia"/>
          <w:kern w:val="0"/>
        </w:rPr>
        <w:t>; RR=</w:t>
      </w:r>
      <w:r>
        <w:rPr>
          <w:rFonts w:ascii="Times New Roman" w:eastAsia="Times New Roman" w:hAnsi="Times New Roman" w:cs="Times New Roman"/>
          <w:kern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kern w:val="0"/>
          <w:sz w:val="22"/>
          <w:szCs w:val="22"/>
        </w:rPr>
        <w:t>r</w:t>
      </w:r>
      <w:r>
        <w:rPr>
          <w:rFonts w:ascii="Times New Roman" w:eastAsia="Times New Roman" w:hAnsi="Times New Roman" w:cs="Times New Roman"/>
          <w:kern w:val="0"/>
          <w:sz w:val="22"/>
          <w:szCs w:val="22"/>
        </w:rPr>
        <w:t>elative risk</w:t>
      </w:r>
    </w:p>
    <w:p w14:paraId="1E65CC5F" w14:textId="620F6BC0" w:rsidR="00223B2D" w:rsidRDefault="00FF29C6">
      <w:pPr>
        <w:spacing w:after="62" w:line="360" w:lineRule="auto"/>
        <w:rPr>
          <w:rFonts w:ascii="Times New Roman" w:hAnsi="Times New Roman" w:cs="Times New Roman"/>
        </w:rPr>
        <w:sectPr w:rsidR="00223B2D">
          <w:pgSz w:w="16840" w:h="11907"/>
          <w:pgMar w:top="1418" w:right="1418" w:bottom="1418" w:left="1418" w:header="851" w:footer="992" w:gutter="0"/>
          <w:lnNumType w:countBy="1" w:restart="continuous"/>
          <w:cols w:space="425"/>
          <w:docGrid w:type="linesAndChars" w:linePitch="312"/>
        </w:sectPr>
      </w:pPr>
      <w:r>
        <w:rPr>
          <w:rFonts w:ascii="Times New Roman" w:hAnsi="Times New Roman" w:cs="Times New Roman" w:hint="eastAsia"/>
        </w:rPr>
        <w:t>§</w:t>
      </w:r>
      <w:r>
        <w:rPr>
          <w:rFonts w:ascii="Times New Roman" w:hAnsi="Times New Roman" w:cs="Times New Roman"/>
        </w:rPr>
        <w:t xml:space="preserve">Between-group comparison of the </w:t>
      </w:r>
      <w:r>
        <w:rPr>
          <w:rFonts w:ascii="Times New Roman" w:hAnsi="Times New Roman" w:cs="Times New Roman" w:hint="eastAsia"/>
        </w:rPr>
        <w:t>MAR</w:t>
      </w:r>
      <w:r>
        <w:rPr>
          <w:rFonts w:ascii="Times New Roman" w:hAnsi="Times New Roman" w:cs="Times New Roman"/>
        </w:rPr>
        <w:t xml:space="preserve"> at 30 days was performed using the Mann–Whitney U test.</w:t>
      </w:r>
    </w:p>
    <w:p w14:paraId="76195A72" w14:textId="77777777" w:rsidR="00223B2D" w:rsidRDefault="00FF29C6">
      <w:pPr>
        <w:spacing w:afterLines="0" w:after="120" w:line="240" w:lineRule="auto"/>
        <w:ind w:leftChars="-64" w:left="18" w:hangingChars="78" w:hanging="172"/>
        <w:rPr>
          <w:rFonts w:ascii="Times New Roman" w:hAnsi="Times New Roman" w:cs="Times New Roman"/>
          <w:color w:val="000000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lastRenderedPageBreak/>
        <w:t>Table S</w:t>
      </w:r>
      <w:r>
        <w:rPr>
          <w:rFonts w:ascii="Times New Roman" w:hAnsi="Times New Roman" w:cs="Times New Roman" w:hint="eastAsia"/>
          <w:b/>
          <w:bCs/>
          <w:color w:val="000000"/>
          <w:kern w:val="0"/>
          <w:sz w:val="22"/>
          <w:szCs w:val="22"/>
        </w:rPr>
        <w:t>8.</w:t>
      </w:r>
      <w:r>
        <w:rPr>
          <w:rFonts w:ascii="Times New Roman" w:hAnsi="Times New Roman" w:cs="Times New Roman"/>
          <w:b/>
          <w:bCs/>
          <w:color w:val="000000"/>
          <w:kern w:val="0"/>
          <w:sz w:val="22"/>
          <w:szCs w:val="22"/>
        </w:rPr>
        <w:t xml:space="preserve"> Sensitivity analysis of primary, secondary and safety outcomes in the intention-to-treat population</w:t>
      </w:r>
    </w:p>
    <w:tbl>
      <w:tblPr>
        <w:tblStyle w:val="15"/>
        <w:tblW w:w="14034" w:type="dxa"/>
        <w:tblInd w:w="-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1"/>
        <w:gridCol w:w="137"/>
        <w:gridCol w:w="1842"/>
        <w:gridCol w:w="1560"/>
        <w:gridCol w:w="430"/>
        <w:gridCol w:w="1838"/>
        <w:gridCol w:w="1134"/>
        <w:gridCol w:w="2414"/>
        <w:gridCol w:w="988"/>
      </w:tblGrid>
      <w:tr w:rsidR="00223B2D" w14:paraId="199D6A7C" w14:textId="77777777">
        <w:tc>
          <w:tcPr>
            <w:tcW w:w="382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AFC777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Outcome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3840A68" w14:textId="11374620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Function</w:t>
            </w:r>
            <w:r w:rsidR="00274BAF"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guided antiplatelet therapy</w:t>
            </w:r>
          </w:p>
          <w:p w14:paraId="7B8FFA0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611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D775B2B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Standard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antiplatelet therapy</w:t>
            </w:r>
          </w:p>
          <w:p w14:paraId="46F17A3B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(n=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613</w:t>
            </w: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EAFBB5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Model 1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†</w:t>
            </w:r>
          </w:p>
          <w:p w14:paraId="29C7132A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Estimates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 (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 xml:space="preserve">95%CI)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3705E0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P value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Model 1</w:t>
            </w: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14:paraId="3AE9577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Model 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†</w:t>
            </w:r>
          </w:p>
          <w:p w14:paraId="24CE2C9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Estimates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 (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95%CI)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1490FF43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P value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 xml:space="preserve"> for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Model 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2</w:t>
            </w:r>
          </w:p>
        </w:tc>
      </w:tr>
      <w:tr w:rsidR="00223B2D" w14:paraId="122DE2CB" w14:textId="77777777">
        <w:tc>
          <w:tcPr>
            <w:tcW w:w="3828" w:type="dxa"/>
            <w:gridSpan w:val="2"/>
            <w:tcBorders>
              <w:top w:val="single" w:sz="4" w:space="0" w:color="auto"/>
            </w:tcBorders>
          </w:tcPr>
          <w:p w14:paraId="470AD2EA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Primary outcome- high on treatment platelet reactivity at 30 days*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054A39DF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93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/602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(15.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B9AD1D8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129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/604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(21.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</w:tcPr>
          <w:p w14:paraId="4D70F6E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RR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0.72 (0.57 to 0.92)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1BDC96E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0.008</w:t>
            </w:r>
          </w:p>
        </w:tc>
        <w:tc>
          <w:tcPr>
            <w:tcW w:w="2414" w:type="dxa"/>
            <w:tcBorders>
              <w:top w:val="single" w:sz="4" w:space="0" w:color="auto"/>
            </w:tcBorders>
          </w:tcPr>
          <w:p w14:paraId="68E5209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RR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0.73 (0.57 – 0.93)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14:paraId="391FC0A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0.011</w:t>
            </w:r>
          </w:p>
        </w:tc>
      </w:tr>
      <w:tr w:rsidR="00223B2D" w14:paraId="492F6E06" w14:textId="77777777">
        <w:tc>
          <w:tcPr>
            <w:tcW w:w="3828" w:type="dxa"/>
            <w:gridSpan w:val="2"/>
          </w:tcPr>
          <w:p w14:paraId="0562345B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Secondary outcomes</w:t>
            </w:r>
          </w:p>
        </w:tc>
        <w:tc>
          <w:tcPr>
            <w:tcW w:w="1842" w:type="dxa"/>
          </w:tcPr>
          <w:p w14:paraId="237F39CA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560" w:type="dxa"/>
          </w:tcPr>
          <w:p w14:paraId="62D8ACBC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268" w:type="dxa"/>
            <w:gridSpan w:val="2"/>
          </w:tcPr>
          <w:p w14:paraId="2D678489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7754463F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7717CDDA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674124D8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47DEB9B2" w14:textId="77777777">
        <w:tc>
          <w:tcPr>
            <w:tcW w:w="3828" w:type="dxa"/>
            <w:gridSpan w:val="2"/>
          </w:tcPr>
          <w:p w14:paraId="2187ED30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Major isch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a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emic events within 6 months </w:t>
            </w:r>
          </w:p>
        </w:tc>
        <w:tc>
          <w:tcPr>
            <w:tcW w:w="1842" w:type="dxa"/>
          </w:tcPr>
          <w:p w14:paraId="76A30900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2.0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</w:tcPr>
          <w:p w14:paraId="679D388A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4.1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</w:tcPr>
          <w:p w14:paraId="158EE39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HR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0.47 (0.23 to 0.93)</w:t>
            </w:r>
          </w:p>
        </w:tc>
        <w:tc>
          <w:tcPr>
            <w:tcW w:w="1134" w:type="dxa"/>
          </w:tcPr>
          <w:p w14:paraId="25BD1EEC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0.029</w:t>
            </w:r>
          </w:p>
        </w:tc>
        <w:tc>
          <w:tcPr>
            <w:tcW w:w="2414" w:type="dxa"/>
          </w:tcPr>
          <w:p w14:paraId="63581721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HR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45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23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0.9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457C2D3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0.02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</w:p>
        </w:tc>
      </w:tr>
      <w:tr w:rsidR="00223B2D" w14:paraId="38E20E9A" w14:textId="77777777">
        <w:tc>
          <w:tcPr>
            <w:tcW w:w="3828" w:type="dxa"/>
            <w:gridSpan w:val="2"/>
          </w:tcPr>
          <w:p w14:paraId="4686B609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Overall stroke within 6 months </w:t>
            </w:r>
          </w:p>
        </w:tc>
        <w:tc>
          <w:tcPr>
            <w:tcW w:w="1842" w:type="dxa"/>
          </w:tcPr>
          <w:p w14:paraId="39023EFA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15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(2.5)</w:t>
            </w:r>
          </w:p>
        </w:tc>
        <w:tc>
          <w:tcPr>
            <w:tcW w:w="1560" w:type="dxa"/>
          </w:tcPr>
          <w:p w14:paraId="2636D02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25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(4.1)</w:t>
            </w:r>
          </w:p>
        </w:tc>
        <w:tc>
          <w:tcPr>
            <w:tcW w:w="2268" w:type="dxa"/>
            <w:gridSpan w:val="2"/>
          </w:tcPr>
          <w:p w14:paraId="1FDBCE5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0.57 (0.30 to 1.09)</w:t>
            </w:r>
          </w:p>
        </w:tc>
        <w:tc>
          <w:tcPr>
            <w:tcW w:w="1134" w:type="dxa"/>
          </w:tcPr>
          <w:p w14:paraId="4E86E01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0.089</w:t>
            </w:r>
          </w:p>
        </w:tc>
        <w:tc>
          <w:tcPr>
            <w:tcW w:w="2414" w:type="dxa"/>
          </w:tcPr>
          <w:p w14:paraId="274F3343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0.57 (0.30 to 1.09)</w:t>
            </w:r>
          </w:p>
        </w:tc>
        <w:tc>
          <w:tcPr>
            <w:tcW w:w="988" w:type="dxa"/>
          </w:tcPr>
          <w:p w14:paraId="246E5C9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0.08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8</w:t>
            </w:r>
          </w:p>
        </w:tc>
      </w:tr>
      <w:tr w:rsidR="00223B2D" w14:paraId="72B9396E" w14:textId="77777777">
        <w:tc>
          <w:tcPr>
            <w:tcW w:w="3828" w:type="dxa"/>
            <w:gridSpan w:val="2"/>
          </w:tcPr>
          <w:p w14:paraId="53570150" w14:textId="34F34195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Isch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emic stroke within 6 months </w:t>
            </w:r>
          </w:p>
        </w:tc>
        <w:tc>
          <w:tcPr>
            <w:tcW w:w="1842" w:type="dxa"/>
          </w:tcPr>
          <w:p w14:paraId="4BDA2BF5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11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(1.8)</w:t>
            </w:r>
          </w:p>
        </w:tc>
        <w:tc>
          <w:tcPr>
            <w:tcW w:w="1560" w:type="dxa"/>
          </w:tcPr>
          <w:p w14:paraId="0BD5444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22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(3.6)</w:t>
            </w:r>
          </w:p>
        </w:tc>
        <w:tc>
          <w:tcPr>
            <w:tcW w:w="2268" w:type="dxa"/>
            <w:gridSpan w:val="2"/>
          </w:tcPr>
          <w:p w14:paraId="0FA9FFD7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0.48 (0.23 to 1.00)</w:t>
            </w:r>
          </w:p>
        </w:tc>
        <w:tc>
          <w:tcPr>
            <w:tcW w:w="1134" w:type="dxa"/>
          </w:tcPr>
          <w:p w14:paraId="07C8819F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0.049</w:t>
            </w:r>
          </w:p>
        </w:tc>
        <w:tc>
          <w:tcPr>
            <w:tcW w:w="2414" w:type="dxa"/>
          </w:tcPr>
          <w:p w14:paraId="3221722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0.48 (0.23 to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99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4825F1C7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0.04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6</w:t>
            </w:r>
          </w:p>
        </w:tc>
      </w:tr>
      <w:tr w:rsidR="00223B2D" w14:paraId="2F2B7A4F" w14:textId="77777777">
        <w:tc>
          <w:tcPr>
            <w:tcW w:w="3828" w:type="dxa"/>
            <w:gridSpan w:val="2"/>
          </w:tcPr>
          <w:p w14:paraId="46DD1E82" w14:textId="7327C379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Intracerebral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h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emorrhage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within 6 months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vertAlign w:val="superscript"/>
                <w:lang w:val="en-AU"/>
              </w:rPr>
              <w:t>#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842" w:type="dxa"/>
          </w:tcPr>
          <w:p w14:paraId="2BE82A48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(0.7)</w:t>
            </w:r>
          </w:p>
        </w:tc>
        <w:tc>
          <w:tcPr>
            <w:tcW w:w="1560" w:type="dxa"/>
          </w:tcPr>
          <w:p w14:paraId="04AAE9D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(0.5)</w:t>
            </w:r>
          </w:p>
        </w:tc>
        <w:tc>
          <w:tcPr>
            <w:tcW w:w="2268" w:type="dxa"/>
            <w:gridSpan w:val="2"/>
          </w:tcPr>
          <w:p w14:paraId="2BD8D2B7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1.23 (0.28 to 5.51)</w:t>
            </w:r>
          </w:p>
        </w:tc>
        <w:tc>
          <w:tcPr>
            <w:tcW w:w="1134" w:type="dxa"/>
          </w:tcPr>
          <w:p w14:paraId="38187D83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86</w:t>
            </w:r>
          </w:p>
        </w:tc>
        <w:tc>
          <w:tcPr>
            <w:tcW w:w="2414" w:type="dxa"/>
          </w:tcPr>
          <w:p w14:paraId="1E93EBE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1.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(0.2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5.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84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2BCE94B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0</w:t>
            </w:r>
          </w:p>
        </w:tc>
      </w:tr>
      <w:tr w:rsidR="00223B2D" w14:paraId="5C7F2A91" w14:textId="77777777">
        <w:tc>
          <w:tcPr>
            <w:tcW w:w="3828" w:type="dxa"/>
            <w:gridSpan w:val="2"/>
          </w:tcPr>
          <w:p w14:paraId="31FFF607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Death from any cause within 6 months</w:t>
            </w:r>
          </w:p>
        </w:tc>
        <w:tc>
          <w:tcPr>
            <w:tcW w:w="1842" w:type="dxa"/>
          </w:tcPr>
          <w:p w14:paraId="438E2F67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(0.2)</w:t>
            </w:r>
          </w:p>
        </w:tc>
        <w:tc>
          <w:tcPr>
            <w:tcW w:w="1560" w:type="dxa"/>
          </w:tcPr>
          <w:p w14:paraId="40BD597C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(0.3)</w:t>
            </w:r>
          </w:p>
        </w:tc>
        <w:tc>
          <w:tcPr>
            <w:tcW w:w="2268" w:type="dxa"/>
            <w:gridSpan w:val="2"/>
          </w:tcPr>
          <w:p w14:paraId="3B1EC66F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0.49 (0.04 to 5.39)</w:t>
            </w:r>
          </w:p>
        </w:tc>
        <w:tc>
          <w:tcPr>
            <w:tcW w:w="1134" w:type="dxa"/>
          </w:tcPr>
          <w:p w14:paraId="26AF68BE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0.5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57</w:t>
            </w:r>
          </w:p>
        </w:tc>
        <w:tc>
          <w:tcPr>
            <w:tcW w:w="2414" w:type="dxa"/>
          </w:tcPr>
          <w:p w14:paraId="32520163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HR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0.4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(0.04 to 5.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19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0F0C0DEE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0.5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2</w:t>
            </w:r>
          </w:p>
        </w:tc>
      </w:tr>
      <w:tr w:rsidR="00223B2D" w14:paraId="5E699F26" w14:textId="77777777">
        <w:tc>
          <w:tcPr>
            <w:tcW w:w="3828" w:type="dxa"/>
            <w:gridSpan w:val="2"/>
          </w:tcPr>
          <w:p w14:paraId="1590E4FB" w14:textId="77777777" w:rsidR="00223B2D" w:rsidRDefault="00FF29C6" w:rsidP="002072AF">
            <w:pPr>
              <w:spacing w:afterLines="0" w:after="0" w:line="240" w:lineRule="auto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mRS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score 3-5 at 6 months</w:t>
            </w:r>
          </w:p>
        </w:tc>
        <w:tc>
          <w:tcPr>
            <w:tcW w:w="1842" w:type="dxa"/>
          </w:tcPr>
          <w:p w14:paraId="72AD1EAA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5/602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</w:tcPr>
          <w:p w14:paraId="767E4369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6/594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1.0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</w:tcPr>
          <w:p w14:paraId="64ED0376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79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24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134" w:type="dxa"/>
          </w:tcPr>
          <w:p w14:paraId="73AAAA7E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6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88</w:t>
            </w:r>
          </w:p>
        </w:tc>
        <w:tc>
          <w:tcPr>
            <w:tcW w:w="2414" w:type="dxa"/>
          </w:tcPr>
          <w:p w14:paraId="755BA1C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 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78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24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575B236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68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1</w:t>
            </w:r>
          </w:p>
        </w:tc>
      </w:tr>
      <w:tr w:rsidR="00223B2D" w14:paraId="1FEEB3A2" w14:textId="77777777">
        <w:tc>
          <w:tcPr>
            <w:tcW w:w="3828" w:type="dxa"/>
            <w:gridSpan w:val="2"/>
          </w:tcPr>
          <w:p w14:paraId="2D7B3EF5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sz w:val="22"/>
              </w:rPr>
              <w:t>EQ-5D-3L overall health utility</w:t>
            </w:r>
            <w:r>
              <w:rPr>
                <w:rFonts w:ascii="Times New Roman" w:eastAsia="Times New Roman" w:hAnsi="Times New Roman" w:cs="Times New Roman" w:hint="eastAsia"/>
                <w:sz w:val="22"/>
              </w:rPr>
              <w:t>¶</w:t>
            </w:r>
          </w:p>
        </w:tc>
        <w:tc>
          <w:tcPr>
            <w:tcW w:w="1842" w:type="dxa"/>
          </w:tcPr>
          <w:p w14:paraId="6C2B03E2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560" w:type="dxa"/>
          </w:tcPr>
          <w:p w14:paraId="4940EEDC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268" w:type="dxa"/>
            <w:gridSpan w:val="2"/>
          </w:tcPr>
          <w:p w14:paraId="5B184E34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4E7D0A64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2E046E94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7B12EBD8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051D4525" w14:textId="77777777">
        <w:tc>
          <w:tcPr>
            <w:tcW w:w="3828" w:type="dxa"/>
            <w:gridSpan w:val="2"/>
          </w:tcPr>
          <w:p w14:paraId="533AB38F" w14:textId="77777777" w:rsidR="00223B2D" w:rsidRDefault="00FF29C6" w:rsidP="002072AF">
            <w:pPr>
              <w:spacing w:afterLines="0"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No. of patients</w:t>
            </w:r>
          </w:p>
        </w:tc>
        <w:tc>
          <w:tcPr>
            <w:tcW w:w="1842" w:type="dxa"/>
          </w:tcPr>
          <w:p w14:paraId="0E0763B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</w:rPr>
              <w:t>603</w:t>
            </w:r>
          </w:p>
        </w:tc>
        <w:tc>
          <w:tcPr>
            <w:tcW w:w="1560" w:type="dxa"/>
          </w:tcPr>
          <w:p w14:paraId="4C8868F9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</w:rPr>
              <w:t>594</w:t>
            </w:r>
          </w:p>
        </w:tc>
        <w:tc>
          <w:tcPr>
            <w:tcW w:w="2268" w:type="dxa"/>
            <w:gridSpan w:val="2"/>
          </w:tcPr>
          <w:p w14:paraId="282FF2F9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5288FE1E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6C899F8F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76BB28E8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1305AD43" w14:textId="77777777" w:rsidTr="00176F33">
        <w:tc>
          <w:tcPr>
            <w:tcW w:w="3691" w:type="dxa"/>
          </w:tcPr>
          <w:p w14:paraId="7566183D" w14:textId="77777777" w:rsidR="00223B2D" w:rsidRDefault="00FF29C6" w:rsidP="002072AF">
            <w:pPr>
              <w:spacing w:afterLines="0" w:after="0" w:line="240" w:lineRule="auto"/>
              <w:ind w:firstLineChars="100" w:firstLine="22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Score</w:t>
            </w:r>
          </w:p>
        </w:tc>
        <w:tc>
          <w:tcPr>
            <w:tcW w:w="1979" w:type="dxa"/>
            <w:gridSpan w:val="2"/>
          </w:tcPr>
          <w:p w14:paraId="68BCE2CE" w14:textId="5782EAB2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</w:rPr>
              <w:t>0.96 (0.96 to 0.96</w:t>
            </w:r>
            <w:r>
              <w:rPr>
                <w:rFonts w:ascii="Times New Roman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990" w:type="dxa"/>
            <w:gridSpan w:val="2"/>
          </w:tcPr>
          <w:p w14:paraId="3155E269" w14:textId="3283CAEB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</w:rPr>
              <w:t>0.96 (0.87 to 0.96</w:t>
            </w:r>
            <w:r>
              <w:rPr>
                <w:rFonts w:ascii="Times New Roman" w:hAnsi="Times New Roman" w:cs="Times New Roman" w:hint="eastAsia"/>
                <w:kern w:val="0"/>
                <w:sz w:val="22"/>
              </w:rPr>
              <w:t>)</w:t>
            </w:r>
          </w:p>
        </w:tc>
        <w:tc>
          <w:tcPr>
            <w:tcW w:w="1838" w:type="dxa"/>
          </w:tcPr>
          <w:p w14:paraId="46DBAD5C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74968CBE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4EA24B8F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43399493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7D9343F1" w14:textId="77777777">
        <w:tc>
          <w:tcPr>
            <w:tcW w:w="3828" w:type="dxa"/>
            <w:gridSpan w:val="2"/>
          </w:tcPr>
          <w:p w14:paraId="150B5D42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Safety outcomes</w:t>
            </w:r>
          </w:p>
        </w:tc>
        <w:tc>
          <w:tcPr>
            <w:tcW w:w="1842" w:type="dxa"/>
          </w:tcPr>
          <w:p w14:paraId="70056864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560" w:type="dxa"/>
          </w:tcPr>
          <w:p w14:paraId="1A82C61B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268" w:type="dxa"/>
            <w:gridSpan w:val="2"/>
          </w:tcPr>
          <w:p w14:paraId="25F6C45D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06D7F35D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259FE684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025B247B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03C23EE2" w14:textId="77777777">
        <w:tc>
          <w:tcPr>
            <w:tcW w:w="3828" w:type="dxa"/>
            <w:gridSpan w:val="2"/>
          </w:tcPr>
          <w:p w14:paraId="15A27CC7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bookmarkStart w:id="8" w:name="OLE_LINK11"/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BARC 2, 3, or 5 bleeding events within 6 months</w:t>
            </w:r>
            <w:bookmarkEnd w:id="8"/>
          </w:p>
        </w:tc>
        <w:tc>
          <w:tcPr>
            <w:tcW w:w="1842" w:type="dxa"/>
          </w:tcPr>
          <w:p w14:paraId="15998B07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/603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(0.8)</w:t>
            </w:r>
          </w:p>
        </w:tc>
        <w:tc>
          <w:tcPr>
            <w:tcW w:w="1560" w:type="dxa"/>
          </w:tcPr>
          <w:p w14:paraId="3E774FE1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4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/593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(0.7)</w:t>
            </w:r>
          </w:p>
        </w:tc>
        <w:tc>
          <w:tcPr>
            <w:tcW w:w="2268" w:type="dxa"/>
            <w:gridSpan w:val="2"/>
          </w:tcPr>
          <w:p w14:paraId="02403765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RR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1.21 (0.33 to 4.48)</w:t>
            </w:r>
          </w:p>
        </w:tc>
        <w:tc>
          <w:tcPr>
            <w:tcW w:w="1134" w:type="dxa"/>
          </w:tcPr>
          <w:p w14:paraId="7499CA3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8</w:t>
            </w:r>
          </w:p>
        </w:tc>
        <w:tc>
          <w:tcPr>
            <w:tcW w:w="2414" w:type="dxa"/>
          </w:tcPr>
          <w:p w14:paraId="4AEEDC5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RR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1.2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(0.3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4.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488725CF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09</w:t>
            </w:r>
          </w:p>
        </w:tc>
      </w:tr>
      <w:tr w:rsidR="00223B2D" w14:paraId="71AC2942" w14:textId="77777777">
        <w:tc>
          <w:tcPr>
            <w:tcW w:w="3828" w:type="dxa"/>
            <w:gridSpan w:val="2"/>
          </w:tcPr>
          <w:p w14:paraId="4DF31EEB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BARC 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2, 3, or 5 bleeding events within 6 months</w:t>
            </w:r>
          </w:p>
        </w:tc>
        <w:tc>
          <w:tcPr>
            <w:tcW w:w="1842" w:type="dxa"/>
          </w:tcPr>
          <w:p w14:paraId="02F60DC5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24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/603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4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</w:tcPr>
          <w:p w14:paraId="347ADD5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27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/593</w:t>
            </w:r>
            <w:r>
              <w:rPr>
                <w:rFonts w:ascii="Times New Roman" w:eastAsia="MS Mincho" w:hAnsi="Times New Roman" w:cs="Times New Roman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(4.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6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</w:tcPr>
          <w:p w14:paraId="688B055D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0.89 (0.52 to 1.52)</w:t>
            </w:r>
          </w:p>
        </w:tc>
        <w:tc>
          <w:tcPr>
            <w:tcW w:w="1134" w:type="dxa"/>
          </w:tcPr>
          <w:p w14:paraId="3859A3B1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0.66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</w:p>
        </w:tc>
        <w:tc>
          <w:tcPr>
            <w:tcW w:w="2414" w:type="dxa"/>
          </w:tcPr>
          <w:p w14:paraId="61E98E26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0.89 (0.52 to 1.5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57FF2145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0.6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6</w:t>
            </w:r>
          </w:p>
        </w:tc>
      </w:tr>
      <w:tr w:rsidR="00223B2D" w14:paraId="28369F2E" w14:textId="77777777">
        <w:tc>
          <w:tcPr>
            <w:tcW w:w="3828" w:type="dxa"/>
            <w:gridSpan w:val="2"/>
          </w:tcPr>
          <w:p w14:paraId="74B7B6F8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Serious adverse events within 6 months — no. of events</w:t>
            </w:r>
          </w:p>
        </w:tc>
        <w:tc>
          <w:tcPr>
            <w:tcW w:w="1842" w:type="dxa"/>
          </w:tcPr>
          <w:p w14:paraId="46F33ACF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32/604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560" w:type="dxa"/>
          </w:tcPr>
          <w:p w14:paraId="7C23F4A2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35/596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9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</w:tcPr>
          <w:p w14:paraId="0A6CD81A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1134" w:type="dxa"/>
          </w:tcPr>
          <w:p w14:paraId="0CAB0AA1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2414" w:type="dxa"/>
          </w:tcPr>
          <w:p w14:paraId="18C38A46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  <w:tc>
          <w:tcPr>
            <w:tcW w:w="988" w:type="dxa"/>
          </w:tcPr>
          <w:p w14:paraId="209C535B" w14:textId="77777777" w:rsidR="00223B2D" w:rsidRDefault="00223B2D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</w:p>
        </w:tc>
      </w:tr>
      <w:tr w:rsidR="00223B2D" w14:paraId="28CB5AD0" w14:textId="77777777">
        <w:tc>
          <w:tcPr>
            <w:tcW w:w="3828" w:type="dxa"/>
            <w:gridSpan w:val="2"/>
          </w:tcPr>
          <w:p w14:paraId="52856860" w14:textId="77777777" w:rsidR="00223B2D" w:rsidRDefault="00FF29C6" w:rsidP="002072AF">
            <w:pPr>
              <w:spacing w:afterLines="0" w:after="0" w:line="240" w:lineRule="auto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At least one serious adverse event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within 6 months — no. of patients (%)</w:t>
            </w:r>
          </w:p>
        </w:tc>
        <w:tc>
          <w:tcPr>
            <w:tcW w:w="1842" w:type="dxa"/>
          </w:tcPr>
          <w:p w14:paraId="6301FB59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32/604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3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 </w:t>
            </w:r>
          </w:p>
        </w:tc>
        <w:tc>
          <w:tcPr>
            <w:tcW w:w="1560" w:type="dxa"/>
          </w:tcPr>
          <w:p w14:paraId="5E146251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 xml:space="preserve">34/596 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(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2268" w:type="dxa"/>
            <w:gridSpan w:val="2"/>
          </w:tcPr>
          <w:p w14:paraId="4F0CA739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92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(0.5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8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1.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47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1134" w:type="dxa"/>
          </w:tcPr>
          <w:p w14:paraId="337821D4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27</w:t>
            </w:r>
          </w:p>
        </w:tc>
        <w:tc>
          <w:tcPr>
            <w:tcW w:w="2414" w:type="dxa"/>
          </w:tcPr>
          <w:p w14:paraId="22B69FFA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RR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91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(0.5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 xml:space="preserve"> to 1.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46</w:t>
            </w: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)</w:t>
            </w:r>
          </w:p>
        </w:tc>
        <w:tc>
          <w:tcPr>
            <w:tcW w:w="988" w:type="dxa"/>
          </w:tcPr>
          <w:p w14:paraId="53240B1E" w14:textId="77777777" w:rsidR="00223B2D" w:rsidRDefault="00FF29C6" w:rsidP="002072AF">
            <w:pPr>
              <w:spacing w:afterLines="0"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:lang w:val="en-AU"/>
              </w:rPr>
              <w:t>0.</w:t>
            </w:r>
            <w:r>
              <w:rPr>
                <w:rFonts w:ascii="Times New Roman" w:eastAsia="Times New Roman" w:hAnsi="Times New Roman" w:cs="Times New Roman" w:hint="eastAsia"/>
                <w:kern w:val="0"/>
                <w:sz w:val="22"/>
                <w:szCs w:val="22"/>
                <w:lang w:val="en-AU"/>
              </w:rPr>
              <w:t>7</w:t>
            </w:r>
            <w:r>
              <w:rPr>
                <w:rFonts w:ascii="Times New Roman" w:hAnsi="Times New Roman" w:cs="Times New Roman" w:hint="eastAsia"/>
                <w:kern w:val="0"/>
                <w:sz w:val="22"/>
                <w:szCs w:val="22"/>
                <w:lang w:val="en-AU"/>
              </w:rPr>
              <w:t>07</w:t>
            </w:r>
          </w:p>
        </w:tc>
      </w:tr>
    </w:tbl>
    <w:p w14:paraId="1C679A08" w14:textId="77777777" w:rsidR="00223B2D" w:rsidRDefault="00FF29C6">
      <w:pPr>
        <w:spacing w:before="60" w:after="65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Data are n/N (%), effect size, mean (SD), median (IQR) or p value. </w:t>
      </w:r>
      <w:r>
        <w:rPr>
          <w:rFonts w:ascii="Times New Roman" w:hAnsi="Times New Roman" w:cs="Times New Roman" w:hint="eastAsia"/>
          <w:sz w:val="22"/>
          <w:szCs w:val="22"/>
        </w:rPr>
        <w:t>RR=</w:t>
      </w:r>
      <w:r>
        <w:rPr>
          <w:rFonts w:ascii="Times New Roman" w:eastAsia="Times New Roman" w:hAnsi="Times New Roman" w:cs="Times New Roman"/>
          <w:sz w:val="22"/>
        </w:rPr>
        <w:t xml:space="preserve"> Relative r</w:t>
      </w:r>
      <w:r>
        <w:rPr>
          <w:rFonts w:ascii="Times New Roman" w:hAnsi="Times New Roman" w:cs="Times New Roman"/>
          <w:sz w:val="22"/>
          <w:szCs w:val="22"/>
        </w:rPr>
        <w:t>isk</w:t>
      </w:r>
      <w:r>
        <w:rPr>
          <w:rFonts w:ascii="Times New Roman" w:hAnsi="Times New Roman" w:cs="Times New Roman" w:hint="eastAsia"/>
          <w:sz w:val="22"/>
          <w:szCs w:val="22"/>
        </w:rPr>
        <w:t>, HR=</w:t>
      </w:r>
      <w:r>
        <w:rPr>
          <w:rFonts w:ascii="Times New Roman" w:hAnsi="Times New Roman" w:cs="Times New Roman"/>
          <w:sz w:val="22"/>
          <w:szCs w:val="22"/>
        </w:rPr>
        <w:t xml:space="preserve"> Hazard ratio</w:t>
      </w:r>
      <w:r>
        <w:rPr>
          <w:rFonts w:ascii="Times New Roman" w:hAnsi="Times New Roman" w:cs="Times New Roman" w:hint="eastAsia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CI=confidence interval, BARC=Bleeding Academic Research Consortium,</w:t>
      </w:r>
      <w:r>
        <w:rPr>
          <w:rFonts w:ascii="Times New Roman" w:hAnsi="Times New Roman" w:cs="Times New Roman" w:hint="eastAsia"/>
          <w:sz w:val="22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=modified Rankin scale. The </w:t>
      </w:r>
      <w:proofErr w:type="spellStart"/>
      <w:r>
        <w:rPr>
          <w:rFonts w:ascii="Times New Roman" w:hAnsi="Times New Roman" w:cs="Times New Roman"/>
          <w:sz w:val="22"/>
          <w:szCs w:val="22"/>
        </w:rPr>
        <w:t>mRS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evaluates global disability, with scores ranging from 0 (no symptoms) to 6 (death). A score of 3 to 5 indicates a major degree of disability.</w:t>
      </w:r>
    </w:p>
    <w:p w14:paraId="4D8CEEC9" w14:textId="77777777" w:rsidR="00223B2D" w:rsidRDefault="00FF29C6">
      <w:pPr>
        <w:spacing w:before="60" w:after="65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kern w:val="0"/>
          <w:sz w:val="22"/>
          <w:szCs w:val="22"/>
        </w:rPr>
        <w:t>*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cs="Times New Roman"/>
          <w:kern w:val="0"/>
          <w:sz w:val="22"/>
          <w:szCs w:val="22"/>
        </w:rPr>
        <w:t>High on-treatment platelet reactivity is defined as a maximal platelet aggregation rate ≥ 35%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>.</w:t>
      </w:r>
    </w:p>
    <w:p w14:paraId="32B1729B" w14:textId="77777777" w:rsidR="00223B2D" w:rsidRDefault="00FF29C6">
      <w:pPr>
        <w:spacing w:before="60" w:after="65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  <w:vertAlign w:val="superscript"/>
        </w:rPr>
        <w:t>#</w:t>
      </w:r>
      <w:r>
        <w:rPr>
          <w:rFonts w:ascii="Times New Roman" w:hAnsi="Times New Roman" w:hint="eastAsia"/>
          <w:sz w:val="22"/>
          <w:szCs w:val="22"/>
        </w:rPr>
        <w:t>I</w:t>
      </w:r>
      <w:r>
        <w:rPr>
          <w:rFonts w:ascii="Times New Roman" w:hAnsi="Times New Roman"/>
          <w:sz w:val="22"/>
          <w:szCs w:val="22"/>
        </w:rPr>
        <w:t>ncluding intracerebral hemorrhage (ICH) and subarachnoid hemorrhage (SAH)</w:t>
      </w:r>
      <w:r>
        <w:rPr>
          <w:rFonts w:ascii="Times New Roman" w:hAnsi="Times New Roman" w:hint="eastAsia"/>
          <w:sz w:val="22"/>
          <w:szCs w:val="22"/>
        </w:rPr>
        <w:t>.</w:t>
      </w:r>
    </w:p>
    <w:p w14:paraId="5C867920" w14:textId="77777777" w:rsidR="00223B2D" w:rsidRDefault="00FF29C6">
      <w:pPr>
        <w:spacing w:before="60" w:after="65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†Relative risk</w:t>
      </w:r>
      <w:r>
        <w:rPr>
          <w:rFonts w:ascii="Times New Roman" w:hAnsi="Times New Roman" w:cs="Times New Roman"/>
          <w:kern w:val="0"/>
          <w:sz w:val="22"/>
          <w:szCs w:val="22"/>
        </w:rPr>
        <w:t xml:space="preserve"> for </w:t>
      </w:r>
      <w:r>
        <w:rPr>
          <w:rFonts w:ascii="Times New Roman" w:hAnsi="Times New Roman" w:cs="Times New Roman"/>
          <w:sz w:val="22"/>
          <w:szCs w:val="22"/>
        </w:rPr>
        <w:t xml:space="preserve">binary outcomes. Mean difference for </w:t>
      </w:r>
      <w:r>
        <w:rPr>
          <w:rFonts w:ascii="Times New Roman" w:hAnsi="Times New Roman" w:cs="Times New Roman" w:hint="eastAsia"/>
          <w:sz w:val="22"/>
          <w:szCs w:val="22"/>
        </w:rPr>
        <w:t>continuous</w:t>
      </w:r>
      <w:r>
        <w:rPr>
          <w:rFonts w:ascii="Times New Roman" w:hAnsi="Times New Roman" w:cs="Times New Roman"/>
          <w:sz w:val="22"/>
          <w:szCs w:val="22"/>
        </w:rPr>
        <w:t xml:space="preserve"> outcomes.</w:t>
      </w:r>
      <w:r>
        <w:rPr>
          <w:rFonts w:ascii="Times New Roman" w:hAnsi="Times New Roman" w:cs="Times New Roman"/>
          <w:kern w:val="0"/>
          <w:sz w:val="22"/>
          <w:szCs w:val="22"/>
        </w:rPr>
        <w:t xml:space="preserve"> Hazard ratios for time to event in days. </w:t>
      </w:r>
      <w:r>
        <w:rPr>
          <w:rFonts w:ascii="Times New Roman" w:hAnsi="Times New Roman"/>
          <w:sz w:val="22"/>
          <w:szCs w:val="22"/>
        </w:rPr>
        <w:t xml:space="preserve">Model 1 adjusted for sex, age (≥65 vs. &lt;65 years), and baseline </w:t>
      </w:r>
      <w:proofErr w:type="spellStart"/>
      <w:r>
        <w:rPr>
          <w:rFonts w:ascii="Times New Roman" w:hAnsi="Times New Roman"/>
          <w:sz w:val="22"/>
          <w:szCs w:val="22"/>
        </w:rPr>
        <w:t>mRS</w:t>
      </w:r>
      <w:proofErr w:type="spellEnd"/>
      <w:r>
        <w:rPr>
          <w:rFonts w:ascii="Times New Roman" w:hAnsi="Times New Roman"/>
          <w:sz w:val="22"/>
          <w:szCs w:val="22"/>
        </w:rPr>
        <w:t xml:space="preserve"> score (0–1 vs. 2);</w:t>
      </w:r>
      <w:r>
        <w:rPr>
          <w:rFonts w:ascii="Times New Roman" w:hAnsi="Times New Roman" w:cs="Times New Roman" w:hint="eastAsia"/>
          <w:kern w:val="0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Model 2 adjusted for sex, age (≥65 vs. &lt;65 years), baseline </w:t>
      </w:r>
      <w:proofErr w:type="spellStart"/>
      <w:r>
        <w:rPr>
          <w:rFonts w:ascii="Times New Roman" w:hAnsi="Times New Roman"/>
          <w:sz w:val="22"/>
          <w:szCs w:val="22"/>
        </w:rPr>
        <w:t>mRS</w:t>
      </w:r>
      <w:proofErr w:type="spellEnd"/>
      <w:r>
        <w:rPr>
          <w:rFonts w:ascii="Times New Roman" w:hAnsi="Times New Roman"/>
          <w:sz w:val="22"/>
          <w:szCs w:val="22"/>
        </w:rPr>
        <w:t xml:space="preserve"> score (0–1 vs. 2), time from onset to randomization (≥61 vs. &lt;61 days), </w:t>
      </w:r>
      <w:bookmarkStart w:id="9" w:name="OLE_LINK21"/>
      <w:r>
        <w:rPr>
          <w:rFonts w:ascii="Times New Roman" w:hAnsi="Times New Roman"/>
          <w:sz w:val="22"/>
          <w:szCs w:val="22"/>
        </w:rPr>
        <w:t>history of</w:t>
      </w:r>
      <w:bookmarkEnd w:id="9"/>
      <w:r>
        <w:rPr>
          <w:rFonts w:ascii="Times New Roman" w:hAnsi="Times New Roman"/>
          <w:sz w:val="22"/>
          <w:szCs w:val="22"/>
        </w:rPr>
        <w:t xml:space="preserve"> hypertension, history of diabetes mellitus, and current smoking.</w:t>
      </w:r>
    </w:p>
    <w:p w14:paraId="068DCE0A" w14:textId="77777777" w:rsidR="00223B2D" w:rsidRDefault="00223B2D">
      <w:pPr>
        <w:spacing w:before="60" w:after="65"/>
        <w:rPr>
          <w:rFonts w:ascii="Times New Roman" w:hAnsi="Times New Roman" w:cs="Times New Roman"/>
          <w:kern w:val="0"/>
          <w:sz w:val="22"/>
          <w:szCs w:val="22"/>
        </w:rPr>
      </w:pPr>
    </w:p>
    <w:p w14:paraId="77197213" w14:textId="77777777" w:rsidR="00223B2D" w:rsidRDefault="00223B2D">
      <w:pPr>
        <w:widowControl/>
        <w:spacing w:after="65" w:line="240" w:lineRule="auto"/>
        <w:rPr>
          <w:rFonts w:ascii="Times New Roman" w:hAnsi="Times New Roman"/>
        </w:rPr>
      </w:pPr>
    </w:p>
    <w:p w14:paraId="229226FA" w14:textId="77777777" w:rsidR="00223B2D" w:rsidRDefault="00223B2D">
      <w:pPr>
        <w:widowControl/>
        <w:spacing w:after="65" w:line="240" w:lineRule="auto"/>
        <w:rPr>
          <w:rFonts w:ascii="Times New Roman" w:hAnsi="Times New Roman"/>
        </w:rPr>
      </w:pPr>
    </w:p>
    <w:p w14:paraId="555DD622" w14:textId="77777777" w:rsidR="00223B2D" w:rsidRDefault="00223B2D">
      <w:pPr>
        <w:widowControl/>
        <w:spacing w:after="65" w:line="240" w:lineRule="auto"/>
        <w:rPr>
          <w:rFonts w:ascii="Times New Roman" w:hAnsi="Times New Roman"/>
        </w:rPr>
      </w:pPr>
    </w:p>
    <w:p w14:paraId="10CE8962" w14:textId="77777777" w:rsidR="00223B2D" w:rsidRDefault="00223B2D">
      <w:pPr>
        <w:widowControl/>
        <w:spacing w:after="65" w:line="240" w:lineRule="auto"/>
        <w:rPr>
          <w:rFonts w:ascii="Times New Roman" w:hAnsi="Times New Roman"/>
        </w:rPr>
      </w:pPr>
    </w:p>
    <w:p w14:paraId="6B969D2D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/>
        </w:rPr>
        <w:sectPr w:rsidR="00223B2D">
          <w:pgSz w:w="16840" w:h="11907" w:orient="landscape"/>
          <w:pgMar w:top="1418" w:right="1418" w:bottom="1418" w:left="1418" w:header="851" w:footer="992" w:gutter="0"/>
          <w:cols w:space="425"/>
          <w:docGrid w:type="linesAndChars" w:linePitch="326"/>
        </w:sectPr>
      </w:pPr>
    </w:p>
    <w:tbl>
      <w:tblPr>
        <w:tblStyle w:val="TableGrid"/>
        <w:tblpPr w:leftFromText="180" w:rightFromText="180" w:vertAnchor="page" w:horzAnchor="margin" w:tblpXSpec="center" w:tblpY="1551"/>
        <w:tblW w:w="8789" w:type="dxa"/>
        <w:jc w:val="center"/>
        <w:tblLook w:val="04A0" w:firstRow="1" w:lastRow="0" w:firstColumn="1" w:lastColumn="0" w:noHBand="0" w:noVBand="1"/>
      </w:tblPr>
      <w:tblGrid>
        <w:gridCol w:w="2765"/>
        <w:gridCol w:w="3047"/>
        <w:gridCol w:w="2977"/>
      </w:tblGrid>
      <w:tr w:rsidR="00223B2D" w14:paraId="3752DC3E" w14:textId="77777777">
        <w:trPr>
          <w:jc w:val="center"/>
        </w:trPr>
        <w:tc>
          <w:tcPr>
            <w:tcW w:w="87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49190D" w14:textId="77777777" w:rsidR="00223B2D" w:rsidRDefault="00FF29C6" w:rsidP="002072AF">
            <w:pPr>
              <w:spacing w:afterLines="50" w:after="163" w:line="240" w:lineRule="auto"/>
              <w:jc w:val="left"/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lastRenderedPageBreak/>
              <w:t>Table S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9.</w:t>
            </w:r>
            <w:bookmarkStart w:id="10" w:name="_Hlk224512507"/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Serious adverse events (SAEs) in all patients in the intention-to-treat population</w:t>
            </w:r>
            <w:bookmarkEnd w:id="10"/>
          </w:p>
        </w:tc>
      </w:tr>
      <w:tr w:rsidR="00223B2D" w14:paraId="7BE0E164" w14:textId="77777777">
        <w:trPr>
          <w:jc w:val="center"/>
        </w:trPr>
        <w:tc>
          <w:tcPr>
            <w:tcW w:w="2765" w:type="dxa"/>
            <w:tcBorders>
              <w:top w:val="single" w:sz="4" w:space="0" w:color="auto"/>
            </w:tcBorders>
          </w:tcPr>
          <w:p w14:paraId="00D80C2C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Events</w:t>
            </w:r>
          </w:p>
        </w:tc>
        <w:tc>
          <w:tcPr>
            <w:tcW w:w="3047" w:type="dxa"/>
            <w:tcBorders>
              <w:top w:val="single" w:sz="4" w:space="0" w:color="auto"/>
            </w:tcBorders>
          </w:tcPr>
          <w:p w14:paraId="7B5798B2" w14:textId="4A55A10A" w:rsidR="00223B2D" w:rsidRDefault="00FF29C6">
            <w:pPr>
              <w:spacing w:before="163" w:after="65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Function</w:t>
            </w:r>
            <w:r w:rsidR="00274BAF"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guided antiplatelet therapy</w:t>
            </w:r>
          </w:p>
          <w:p w14:paraId="6A89E504" w14:textId="77777777" w:rsidR="00223B2D" w:rsidRDefault="00FF29C6">
            <w:pPr>
              <w:spacing w:before="163" w:after="65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(n=32)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4723B5AD" w14:textId="77777777" w:rsidR="00223B2D" w:rsidRDefault="00FF29C6">
            <w:pPr>
              <w:spacing w:before="163" w:after="65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 xml:space="preserve">Standard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  <w:t>antiplatelet therapy</w:t>
            </w:r>
          </w:p>
          <w:p w14:paraId="3FFD84EA" w14:textId="7C22F3C4" w:rsidR="00223B2D" w:rsidRDefault="00FF29C6">
            <w:pPr>
              <w:spacing w:before="163" w:after="65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2"/>
                <w:szCs w:val="22"/>
                <w:lang w:val="en-AU"/>
              </w:rPr>
            </w:pP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(n=3</w:t>
            </w:r>
            <w:r w:rsidR="00735E83"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5</w:t>
            </w:r>
            <w:r>
              <w:rPr>
                <w:rFonts w:ascii="Times New Roman" w:hAnsi="Times New Roman" w:cs="Times New Roman" w:hint="eastAsia"/>
                <w:b/>
                <w:bCs/>
                <w:kern w:val="0"/>
                <w:sz w:val="22"/>
                <w:szCs w:val="22"/>
                <w:lang w:val="en-AU"/>
              </w:rPr>
              <w:t>)</w:t>
            </w:r>
          </w:p>
        </w:tc>
      </w:tr>
      <w:tr w:rsidR="00223B2D" w14:paraId="3D930746" w14:textId="77777777">
        <w:trPr>
          <w:jc w:val="center"/>
        </w:trPr>
        <w:tc>
          <w:tcPr>
            <w:tcW w:w="2765" w:type="dxa"/>
          </w:tcPr>
          <w:p w14:paraId="7D33B81A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Cerebral Infarction</w:t>
            </w:r>
          </w:p>
        </w:tc>
        <w:tc>
          <w:tcPr>
            <w:tcW w:w="3047" w:type="dxa"/>
            <w:vAlign w:val="center"/>
          </w:tcPr>
          <w:p w14:paraId="442ACA89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2977" w:type="dxa"/>
            <w:vAlign w:val="center"/>
          </w:tcPr>
          <w:p w14:paraId="38A8C4CF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>6*</w:t>
            </w:r>
          </w:p>
        </w:tc>
      </w:tr>
      <w:tr w:rsidR="00223B2D" w14:paraId="57ABCAEE" w14:textId="77777777">
        <w:trPr>
          <w:jc w:val="center"/>
        </w:trPr>
        <w:tc>
          <w:tcPr>
            <w:tcW w:w="2765" w:type="dxa"/>
          </w:tcPr>
          <w:p w14:paraId="4C8AEC9C" w14:textId="20CBAF0F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Transient Isch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emic Attack</w:t>
            </w:r>
          </w:p>
        </w:tc>
        <w:tc>
          <w:tcPr>
            <w:tcW w:w="3047" w:type="dxa"/>
            <w:vAlign w:val="center"/>
          </w:tcPr>
          <w:p w14:paraId="08A3F0E5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977" w:type="dxa"/>
            <w:vAlign w:val="center"/>
          </w:tcPr>
          <w:p w14:paraId="145D3AF7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223B2D" w14:paraId="231B3F75" w14:textId="77777777">
        <w:trPr>
          <w:jc w:val="center"/>
        </w:trPr>
        <w:tc>
          <w:tcPr>
            <w:tcW w:w="2765" w:type="dxa"/>
          </w:tcPr>
          <w:p w14:paraId="7494E4F3" w14:textId="0B82480F" w:rsidR="00223B2D" w:rsidRDefault="00FF29C6">
            <w:pPr>
              <w:widowControl/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Intracerebral H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emorrhage</w:t>
            </w:r>
          </w:p>
        </w:tc>
        <w:tc>
          <w:tcPr>
            <w:tcW w:w="3047" w:type="dxa"/>
            <w:vAlign w:val="center"/>
          </w:tcPr>
          <w:p w14:paraId="0F202BFA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7" w:type="dxa"/>
            <w:vAlign w:val="center"/>
          </w:tcPr>
          <w:p w14:paraId="6043C64C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223B2D" w14:paraId="119EAC1C" w14:textId="77777777">
        <w:trPr>
          <w:jc w:val="center"/>
        </w:trPr>
        <w:tc>
          <w:tcPr>
            <w:tcW w:w="2765" w:type="dxa"/>
          </w:tcPr>
          <w:p w14:paraId="675E29EB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Coronary Stenting</w:t>
            </w:r>
          </w:p>
        </w:tc>
        <w:tc>
          <w:tcPr>
            <w:tcW w:w="3047" w:type="dxa"/>
            <w:vAlign w:val="center"/>
          </w:tcPr>
          <w:p w14:paraId="227B01FA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77" w:type="dxa"/>
            <w:vAlign w:val="center"/>
          </w:tcPr>
          <w:p w14:paraId="640792FC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23B2D" w14:paraId="5FA8CBC4" w14:textId="77777777">
        <w:trPr>
          <w:jc w:val="center"/>
        </w:trPr>
        <w:tc>
          <w:tcPr>
            <w:tcW w:w="2765" w:type="dxa"/>
          </w:tcPr>
          <w:p w14:paraId="0F3D6A7E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Vascular Death</w:t>
            </w:r>
          </w:p>
        </w:tc>
        <w:tc>
          <w:tcPr>
            <w:tcW w:w="3047" w:type="dxa"/>
            <w:vAlign w:val="center"/>
          </w:tcPr>
          <w:p w14:paraId="422B1FB7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0B6C9550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223B2D" w14:paraId="0D551F07" w14:textId="77777777">
        <w:trPr>
          <w:jc w:val="center"/>
        </w:trPr>
        <w:tc>
          <w:tcPr>
            <w:tcW w:w="2765" w:type="dxa"/>
          </w:tcPr>
          <w:p w14:paraId="699E16C3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Non-vascular Death</w:t>
            </w:r>
          </w:p>
        </w:tc>
        <w:tc>
          <w:tcPr>
            <w:tcW w:w="3047" w:type="dxa"/>
            <w:vAlign w:val="center"/>
          </w:tcPr>
          <w:p w14:paraId="70DC1AA4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77" w:type="dxa"/>
            <w:vAlign w:val="center"/>
          </w:tcPr>
          <w:p w14:paraId="46F703AF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49ACB526" w14:textId="77777777">
        <w:trPr>
          <w:jc w:val="center"/>
        </w:trPr>
        <w:tc>
          <w:tcPr>
            <w:tcW w:w="2765" w:type="dxa"/>
          </w:tcPr>
          <w:p w14:paraId="159409D7" w14:textId="51AD668D" w:rsidR="00223B2D" w:rsidRDefault="00FF29C6">
            <w:pPr>
              <w:widowControl/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Major</w:t>
            </w:r>
            <w:r>
              <w:rPr>
                <w:rFonts w:ascii="Times New Roman" w:hAnsi="Times New Roman" w:cs="Times New Roman" w:hint="eastAsia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Gastrointestinal H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emorrhage</w:t>
            </w:r>
          </w:p>
        </w:tc>
        <w:tc>
          <w:tcPr>
            <w:tcW w:w="3047" w:type="dxa"/>
            <w:vAlign w:val="center"/>
          </w:tcPr>
          <w:p w14:paraId="6B4A3CB8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77" w:type="dxa"/>
            <w:vAlign w:val="center"/>
          </w:tcPr>
          <w:p w14:paraId="1A0840DA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23B2D" w14:paraId="4A1586D2" w14:textId="77777777">
        <w:trPr>
          <w:jc w:val="center"/>
        </w:trPr>
        <w:tc>
          <w:tcPr>
            <w:tcW w:w="2765" w:type="dxa"/>
          </w:tcPr>
          <w:p w14:paraId="01AE575D" w14:textId="77777777" w:rsidR="00223B2D" w:rsidRDefault="00FF29C6">
            <w:pPr>
              <w:widowControl/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Patent Foramen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Ovale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Closure</w:t>
            </w:r>
          </w:p>
        </w:tc>
        <w:tc>
          <w:tcPr>
            <w:tcW w:w="3047" w:type="dxa"/>
            <w:vAlign w:val="center"/>
          </w:tcPr>
          <w:p w14:paraId="185A351F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57B4B1CA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67074039" w14:textId="77777777">
        <w:trPr>
          <w:jc w:val="center"/>
        </w:trPr>
        <w:tc>
          <w:tcPr>
            <w:tcW w:w="2765" w:type="dxa"/>
          </w:tcPr>
          <w:p w14:paraId="36E20A78" w14:textId="11BEC594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Respiratory Disease</w:t>
            </w:r>
          </w:p>
        </w:tc>
        <w:tc>
          <w:tcPr>
            <w:tcW w:w="3047" w:type="dxa"/>
            <w:vAlign w:val="center"/>
          </w:tcPr>
          <w:p w14:paraId="18B871D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76F318B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6F1036E7" w14:textId="77777777">
        <w:trPr>
          <w:jc w:val="center"/>
        </w:trPr>
        <w:tc>
          <w:tcPr>
            <w:tcW w:w="2765" w:type="dxa"/>
          </w:tcPr>
          <w:p w14:paraId="1C37C9B7" w14:textId="604EB17A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Infection</w:t>
            </w:r>
          </w:p>
        </w:tc>
        <w:tc>
          <w:tcPr>
            <w:tcW w:w="3047" w:type="dxa"/>
            <w:vAlign w:val="center"/>
          </w:tcPr>
          <w:p w14:paraId="23422063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77" w:type="dxa"/>
            <w:vAlign w:val="center"/>
          </w:tcPr>
          <w:p w14:paraId="3AE1449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23B2D" w14:paraId="64ED54A4" w14:textId="77777777">
        <w:trPr>
          <w:jc w:val="center"/>
        </w:trPr>
        <w:tc>
          <w:tcPr>
            <w:tcW w:w="2765" w:type="dxa"/>
          </w:tcPr>
          <w:p w14:paraId="5C174004" w14:textId="373162FB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Re-hospitali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Pulmonary Nodules</w:t>
            </w:r>
          </w:p>
        </w:tc>
        <w:tc>
          <w:tcPr>
            <w:tcW w:w="3047" w:type="dxa"/>
            <w:vAlign w:val="center"/>
          </w:tcPr>
          <w:p w14:paraId="02FFBC4A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27E70667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23B2D" w14:paraId="48B37B18" w14:textId="77777777">
        <w:trPr>
          <w:jc w:val="center"/>
        </w:trPr>
        <w:tc>
          <w:tcPr>
            <w:tcW w:w="2765" w:type="dxa"/>
          </w:tcPr>
          <w:p w14:paraId="7FD50365" w14:textId="2CEE4FF2" w:rsidR="00223B2D" w:rsidRDefault="00FF29C6">
            <w:pPr>
              <w:widowControl/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Re-hospitali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Recurrent Vomiting</w:t>
            </w:r>
          </w:p>
        </w:tc>
        <w:tc>
          <w:tcPr>
            <w:tcW w:w="3047" w:type="dxa"/>
            <w:vAlign w:val="center"/>
          </w:tcPr>
          <w:p w14:paraId="29F04882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021A5ECC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13579FFA" w14:textId="77777777">
        <w:trPr>
          <w:jc w:val="center"/>
        </w:trPr>
        <w:tc>
          <w:tcPr>
            <w:tcW w:w="2765" w:type="dxa"/>
          </w:tcPr>
          <w:p w14:paraId="28863066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Bladder Cancer</w:t>
            </w:r>
          </w:p>
        </w:tc>
        <w:tc>
          <w:tcPr>
            <w:tcW w:w="3047" w:type="dxa"/>
            <w:vAlign w:val="center"/>
          </w:tcPr>
          <w:p w14:paraId="3EFB7A05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5084D7CC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67CE3D7A" w14:textId="77777777">
        <w:trPr>
          <w:jc w:val="center"/>
        </w:trPr>
        <w:tc>
          <w:tcPr>
            <w:tcW w:w="2765" w:type="dxa"/>
          </w:tcPr>
          <w:p w14:paraId="23A0FEC2" w14:textId="7B57F74A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Re-hospitali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Cataract</w:t>
            </w:r>
          </w:p>
        </w:tc>
        <w:tc>
          <w:tcPr>
            <w:tcW w:w="3047" w:type="dxa"/>
            <w:vAlign w:val="center"/>
          </w:tcPr>
          <w:p w14:paraId="725A1025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042A5A13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1FE70A56" w14:textId="77777777">
        <w:trPr>
          <w:jc w:val="center"/>
        </w:trPr>
        <w:tc>
          <w:tcPr>
            <w:tcW w:w="2765" w:type="dxa"/>
          </w:tcPr>
          <w:p w14:paraId="6E196276" w14:textId="31EB20A5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Ocular Disease</w:t>
            </w:r>
          </w:p>
        </w:tc>
        <w:tc>
          <w:tcPr>
            <w:tcW w:w="3047" w:type="dxa"/>
            <w:vAlign w:val="center"/>
          </w:tcPr>
          <w:p w14:paraId="5EE32D58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4C4F7923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4E2C1480" w14:textId="77777777">
        <w:trPr>
          <w:jc w:val="center"/>
        </w:trPr>
        <w:tc>
          <w:tcPr>
            <w:tcW w:w="2765" w:type="dxa"/>
          </w:tcPr>
          <w:p w14:paraId="7D8437D1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Fracture</w:t>
            </w:r>
          </w:p>
        </w:tc>
        <w:tc>
          <w:tcPr>
            <w:tcW w:w="3047" w:type="dxa"/>
            <w:vAlign w:val="center"/>
          </w:tcPr>
          <w:p w14:paraId="545E3E1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77" w:type="dxa"/>
            <w:vAlign w:val="center"/>
          </w:tcPr>
          <w:p w14:paraId="3E7FF6CE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535A073C" w14:textId="77777777">
        <w:trPr>
          <w:jc w:val="center"/>
        </w:trPr>
        <w:tc>
          <w:tcPr>
            <w:tcW w:w="2765" w:type="dxa"/>
          </w:tcPr>
          <w:p w14:paraId="0C1B6046" w14:textId="7777777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Anxiety Disorder</w:t>
            </w:r>
          </w:p>
        </w:tc>
        <w:tc>
          <w:tcPr>
            <w:tcW w:w="3047" w:type="dxa"/>
            <w:vAlign w:val="center"/>
          </w:tcPr>
          <w:p w14:paraId="114914E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3BB2BF19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5D85F716" w14:textId="77777777">
        <w:trPr>
          <w:jc w:val="center"/>
        </w:trPr>
        <w:tc>
          <w:tcPr>
            <w:tcW w:w="2765" w:type="dxa"/>
          </w:tcPr>
          <w:p w14:paraId="3FD46AE1" w14:textId="2ED852D0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Renal Calculi</w:t>
            </w:r>
          </w:p>
        </w:tc>
        <w:tc>
          <w:tcPr>
            <w:tcW w:w="3047" w:type="dxa"/>
            <w:vAlign w:val="center"/>
          </w:tcPr>
          <w:p w14:paraId="53150AA9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6946D5D3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223B2D" w14:paraId="4E08DF65" w14:textId="77777777">
        <w:trPr>
          <w:jc w:val="center"/>
        </w:trPr>
        <w:tc>
          <w:tcPr>
            <w:tcW w:w="2765" w:type="dxa"/>
          </w:tcPr>
          <w:p w14:paraId="7764F55C" w14:textId="4FD6774E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Chronic Kidney Disease</w:t>
            </w:r>
          </w:p>
        </w:tc>
        <w:tc>
          <w:tcPr>
            <w:tcW w:w="3047" w:type="dxa"/>
            <w:vAlign w:val="center"/>
          </w:tcPr>
          <w:p w14:paraId="7725B99D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7" w:type="dxa"/>
            <w:vAlign w:val="center"/>
          </w:tcPr>
          <w:p w14:paraId="7D4EAB27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</w:tr>
      <w:tr w:rsidR="00223B2D" w14:paraId="2ECC9662" w14:textId="77777777">
        <w:trPr>
          <w:jc w:val="center"/>
        </w:trPr>
        <w:tc>
          <w:tcPr>
            <w:tcW w:w="2765" w:type="dxa"/>
          </w:tcPr>
          <w:p w14:paraId="456EF2A5" w14:textId="14645BD7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Hospitalis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for Leg Pain</w:t>
            </w:r>
          </w:p>
        </w:tc>
        <w:tc>
          <w:tcPr>
            <w:tcW w:w="3047" w:type="dxa"/>
            <w:vAlign w:val="center"/>
          </w:tcPr>
          <w:p w14:paraId="4C5F6C52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2977" w:type="dxa"/>
            <w:vAlign w:val="center"/>
          </w:tcPr>
          <w:p w14:paraId="03CB7177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223B2D" w14:paraId="6A63AC87" w14:textId="77777777">
        <w:trPr>
          <w:jc w:val="center"/>
        </w:trPr>
        <w:tc>
          <w:tcPr>
            <w:tcW w:w="2765" w:type="dxa"/>
          </w:tcPr>
          <w:p w14:paraId="79B1F142" w14:textId="3BCBCAE1" w:rsidR="00223B2D" w:rsidRDefault="00FF29C6">
            <w:pPr>
              <w:spacing w:after="6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Hospitali</w:t>
            </w:r>
            <w:r w:rsidR="002072AF">
              <w:rPr>
                <w:rFonts w:ascii="Times New Roman" w:hAnsi="Times New Roman" w:cs="Times New Roman"/>
                <w:sz w:val="22"/>
                <w:szCs w:val="22"/>
              </w:rPr>
              <w:t>z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ation for Other Reasons</w:t>
            </w:r>
          </w:p>
        </w:tc>
        <w:tc>
          <w:tcPr>
            <w:tcW w:w="3047" w:type="dxa"/>
            <w:vAlign w:val="center"/>
          </w:tcPr>
          <w:p w14:paraId="3A817201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7" w:type="dxa"/>
            <w:vAlign w:val="center"/>
          </w:tcPr>
          <w:p w14:paraId="12FF621D" w14:textId="77777777" w:rsidR="00223B2D" w:rsidRDefault="00FF29C6">
            <w:pPr>
              <w:spacing w:after="6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hint="eastAsia"/>
                <w:sz w:val="22"/>
                <w:szCs w:val="22"/>
              </w:rPr>
              <w:t>0</w:t>
            </w:r>
          </w:p>
        </w:tc>
      </w:tr>
    </w:tbl>
    <w:bookmarkEnd w:id="4"/>
    <w:p w14:paraId="4D5A7D3F" w14:textId="468B9CC6" w:rsidR="00223B2D" w:rsidRDefault="00FF29C6">
      <w:pPr>
        <w:widowControl/>
        <w:spacing w:after="65" w:line="24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 w:hint="eastAsia"/>
          <w:sz w:val="22"/>
          <w:szCs w:val="22"/>
        </w:rPr>
        <w:t xml:space="preserve">* </w:t>
      </w:r>
      <w:r>
        <w:rPr>
          <w:rFonts w:ascii="Times New Roman" w:hAnsi="Times New Roman"/>
          <w:sz w:val="22"/>
          <w:szCs w:val="22"/>
        </w:rPr>
        <w:t>One patient experienced two recurrent isch</w:t>
      </w:r>
      <w:r>
        <w:rPr>
          <w:rFonts w:ascii="Times New Roman" w:hAnsi="Times New Roman"/>
          <w:sz w:val="22"/>
          <w:szCs w:val="22"/>
        </w:rPr>
        <w:t>emic strokes during follow-up</w:t>
      </w:r>
    </w:p>
    <w:p w14:paraId="2DE1B225" w14:textId="77777777" w:rsidR="00223B2D" w:rsidRDefault="00FF29C6">
      <w:pPr>
        <w:widowControl/>
        <w:spacing w:after="65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467BF009" w14:textId="77777777" w:rsidR="00223B2D" w:rsidRDefault="00223B2D">
      <w:pPr>
        <w:spacing w:after="65"/>
        <w:jc w:val="left"/>
        <w:rPr>
          <w:rFonts w:ascii="Times New Roman" w:hAnsi="Times New Roman" w:cs="Times New Roman"/>
          <w:b/>
          <w:bCs/>
        </w:rPr>
        <w:sectPr w:rsidR="00223B2D">
          <w:pgSz w:w="11907" w:h="16840"/>
          <w:pgMar w:top="1418" w:right="1418" w:bottom="1418" w:left="1418" w:header="851" w:footer="992" w:gutter="0"/>
          <w:cols w:space="425"/>
          <w:docGrid w:type="linesAndChars" w:linePitch="326"/>
        </w:sectPr>
      </w:pPr>
    </w:p>
    <w:p w14:paraId="1BB464C2" w14:textId="551245A0" w:rsidR="00223B2D" w:rsidRDefault="00FF29C6">
      <w:pPr>
        <w:spacing w:after="65"/>
        <w:jc w:val="left"/>
        <w:rPr>
          <w:rFonts w:ascii="Times New Roman" w:eastAsia="SimSun" w:hAnsi="Times New Roman" w:cs="Times New Roman"/>
          <w:b/>
          <w:bCs/>
          <w:kern w:val="0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A8DF1A8" wp14:editId="227C88C8">
            <wp:simplePos x="0" y="0"/>
            <wp:positionH relativeFrom="column">
              <wp:posOffset>-17780</wp:posOffset>
            </wp:positionH>
            <wp:positionV relativeFrom="paragraph">
              <wp:posOffset>45720</wp:posOffset>
            </wp:positionV>
            <wp:extent cx="5353050" cy="3283585"/>
            <wp:effectExtent l="19050" t="19050" r="19050" b="1206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283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Figure </w:t>
      </w:r>
      <w:r w:rsidR="002072AF">
        <w:rPr>
          <w:rFonts w:ascii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1 </w:t>
      </w:r>
      <w:r w:rsidR="00735E83" w:rsidRPr="00735E83">
        <w:rPr>
          <w:rFonts w:ascii="Times New Roman" w:hAnsi="Times New Roman" w:cs="Times New Roman"/>
          <w:b/>
          <w:bCs/>
          <w:sz w:val="21"/>
          <w:szCs w:val="21"/>
        </w:rPr>
        <w:t>Mean values and standard deviations of maximal platelet aggregation rate across follow-up time in the PFT-guided group</w:t>
      </w:r>
      <w:r>
        <w:rPr>
          <w:rFonts w:ascii="Times New Roman" w:eastAsia="SimSun" w:hAnsi="Times New Roman" w:cs="Times New Roman" w:hint="eastAsia"/>
          <w:b/>
          <w:bCs/>
          <w:kern w:val="0"/>
          <w:sz w:val="21"/>
          <w:szCs w:val="21"/>
        </w:rPr>
        <w:t xml:space="preserve"> </w:t>
      </w:r>
    </w:p>
    <w:p w14:paraId="5F8AF96F" w14:textId="77777777" w:rsidR="00223B2D" w:rsidRDefault="00FF29C6">
      <w:pPr>
        <w:spacing w:after="65"/>
        <w:jc w:val="left"/>
        <w:rPr>
          <w:rFonts w:ascii="Times New Roman" w:eastAsia="SimSun" w:hAnsi="Times New Roman" w:cs="Times New Roman"/>
          <w:b/>
          <w:bCs/>
          <w:kern w:val="0"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E9836D3" wp14:editId="507C1225">
            <wp:simplePos x="0" y="0"/>
            <wp:positionH relativeFrom="column">
              <wp:posOffset>20320</wp:posOffset>
            </wp:positionH>
            <wp:positionV relativeFrom="paragraph">
              <wp:posOffset>208280</wp:posOffset>
            </wp:positionV>
            <wp:extent cx="5314950" cy="4100830"/>
            <wp:effectExtent l="19050" t="19050" r="19050" b="13970"/>
            <wp:wrapTopAndBottom/>
            <wp:docPr id="1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410083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28A37FF" w14:textId="36C497D9" w:rsidR="00223B2D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Figure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 </w:t>
      </w:r>
      <w:r w:rsidR="002072AF">
        <w:rPr>
          <w:rFonts w:ascii="Times New Roman" w:hAnsi="Times New Roman" w:cs="Times New Roman"/>
          <w:b/>
          <w:bCs/>
          <w:sz w:val="21"/>
          <w:szCs w:val="21"/>
        </w:rPr>
        <w:t>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Distribution of platelet aggregation function and proportion of high on-treatment platelet reactivity (HOPR) between the guidance group and the control group on day 30.</w:t>
      </w:r>
      <w:r>
        <w:rPr>
          <w:rFonts w:ascii="Times New Roman" w:hAnsi="Times New Roman" w:cs="Times New Roman"/>
          <w:b/>
          <w:bCs/>
        </w:rPr>
        <w:br w:type="page"/>
      </w:r>
    </w:p>
    <w:p w14:paraId="3B932374" w14:textId="7F765B5F" w:rsidR="00223B2D" w:rsidRPr="00B067C4" w:rsidRDefault="00FF29C6">
      <w:pPr>
        <w:spacing w:after="65"/>
        <w:jc w:val="center"/>
        <w:rPr>
          <w:rFonts w:ascii="Times New Roman" w:eastAsia="SimSun" w:hAnsi="Times New Roman" w:cs="Times New Roman"/>
          <w:b/>
          <w:bCs/>
          <w:kern w:val="0"/>
          <w:sz w:val="22"/>
          <w:szCs w:val="22"/>
        </w:rPr>
      </w:pPr>
      <w:r w:rsidRPr="00B067C4">
        <w:rPr>
          <w:rFonts w:ascii="Times New Roman" w:eastAsia="SimSun" w:hAnsi="Times New Roman" w:cs="Times New Roman" w:hint="eastAsia"/>
          <w:b/>
          <w:bCs/>
          <w:noProof/>
          <w:kern w:val="0"/>
          <w:sz w:val="22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42D0F8F2" wp14:editId="65EB3E25">
            <wp:simplePos x="0" y="0"/>
            <wp:positionH relativeFrom="column">
              <wp:posOffset>71120</wp:posOffset>
            </wp:positionH>
            <wp:positionV relativeFrom="paragraph">
              <wp:posOffset>1270</wp:posOffset>
            </wp:positionV>
            <wp:extent cx="5688965" cy="3454400"/>
            <wp:effectExtent l="19050" t="19050" r="26035" b="12700"/>
            <wp:wrapTopAndBottom/>
            <wp:docPr id="2" name="图片 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折线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4544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067C4">
        <w:rPr>
          <w:rFonts w:ascii="Times New Roman" w:eastAsia="SimSun" w:hAnsi="Times New Roman" w:cs="Times New Roman" w:hint="eastAsia"/>
          <w:b/>
          <w:bCs/>
          <w:kern w:val="0"/>
          <w:sz w:val="22"/>
          <w:szCs w:val="22"/>
        </w:rPr>
        <w:t xml:space="preserve">Figure </w:t>
      </w:r>
      <w:r w:rsidR="002072AF">
        <w:rPr>
          <w:rFonts w:ascii="Times New Roman" w:eastAsia="SimSun" w:hAnsi="Times New Roman" w:cs="Times New Roman"/>
          <w:b/>
          <w:bCs/>
          <w:kern w:val="0"/>
          <w:sz w:val="22"/>
          <w:szCs w:val="22"/>
        </w:rPr>
        <w:t>S</w:t>
      </w:r>
      <w:r w:rsidRPr="00B067C4">
        <w:rPr>
          <w:rFonts w:ascii="Times New Roman" w:eastAsia="SimSun" w:hAnsi="Times New Roman" w:cs="Times New Roman" w:hint="eastAsia"/>
          <w:b/>
          <w:bCs/>
          <w:kern w:val="0"/>
          <w:sz w:val="22"/>
          <w:szCs w:val="22"/>
        </w:rPr>
        <w:t>3. Cumulative Incidence of Isch</w:t>
      </w:r>
      <w:r w:rsidRPr="00B067C4">
        <w:rPr>
          <w:rFonts w:ascii="Times New Roman" w:eastAsia="SimSun" w:hAnsi="Times New Roman" w:cs="Times New Roman" w:hint="eastAsia"/>
          <w:b/>
          <w:bCs/>
          <w:kern w:val="0"/>
          <w:sz w:val="22"/>
          <w:szCs w:val="22"/>
        </w:rPr>
        <w:t>emic Event.</w:t>
      </w:r>
    </w:p>
    <w:p w14:paraId="23A81A69" w14:textId="77777777" w:rsidR="00223B2D" w:rsidRDefault="00FF29C6">
      <w:pPr>
        <w:spacing w:after="65"/>
        <w:jc w:val="center"/>
        <w:rPr>
          <w:rFonts w:ascii="Times New Roman" w:eastAsia="SimSun" w:hAnsi="Times New Roman" w:cs="Times New Roman"/>
          <w:kern w:val="0"/>
          <w:sz w:val="22"/>
          <w:szCs w:val="22"/>
        </w:rPr>
      </w:pPr>
      <w:r>
        <w:rPr>
          <w:rFonts w:ascii="Times New Roman" w:eastAsia="SimSun" w:hAnsi="Times New Roman" w:cs="Times New Roman" w:hint="eastAsia"/>
          <w:noProof/>
          <w:kern w:val="0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0CBBF04E" wp14:editId="20FE922A">
            <wp:simplePos x="0" y="0"/>
            <wp:positionH relativeFrom="column">
              <wp:posOffset>-87630</wp:posOffset>
            </wp:positionH>
            <wp:positionV relativeFrom="paragraph">
              <wp:posOffset>235585</wp:posOffset>
            </wp:positionV>
            <wp:extent cx="5760085" cy="3489325"/>
            <wp:effectExtent l="19050" t="19050" r="12065" b="15875"/>
            <wp:wrapTopAndBottom/>
            <wp:docPr id="3" name="图片 3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折线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89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6BC80D" w14:textId="4CFD6FE6" w:rsidR="00223B2D" w:rsidRPr="00A65790" w:rsidRDefault="00FF29C6">
      <w:pPr>
        <w:spacing w:after="65"/>
        <w:jc w:val="center"/>
        <w:rPr>
          <w:rFonts w:ascii="Times New Roman" w:eastAsia="SimSun" w:hAnsi="Times New Roman" w:cs="Times New Roman"/>
          <w:b/>
          <w:bCs/>
          <w:kern w:val="0"/>
          <w:sz w:val="22"/>
          <w:szCs w:val="22"/>
        </w:rPr>
      </w:pPr>
      <w:r w:rsidRPr="00A65790">
        <w:rPr>
          <w:rFonts w:ascii="Times New Roman" w:eastAsia="SimSun" w:hAnsi="Times New Roman" w:cs="Times New Roman" w:hint="eastAsia"/>
          <w:b/>
          <w:bCs/>
          <w:kern w:val="0"/>
          <w:sz w:val="22"/>
          <w:szCs w:val="22"/>
        </w:rPr>
        <w:t xml:space="preserve">Figure </w:t>
      </w:r>
      <w:r w:rsidR="002072AF">
        <w:rPr>
          <w:rFonts w:ascii="Times New Roman" w:eastAsia="SimSun" w:hAnsi="Times New Roman" w:cs="Times New Roman"/>
          <w:b/>
          <w:bCs/>
          <w:kern w:val="0"/>
          <w:sz w:val="22"/>
          <w:szCs w:val="22"/>
        </w:rPr>
        <w:t>S</w:t>
      </w:r>
      <w:r w:rsidRPr="00A65790">
        <w:rPr>
          <w:rFonts w:ascii="Times New Roman" w:eastAsia="SimSun" w:hAnsi="Times New Roman" w:cs="Times New Roman" w:hint="eastAsia"/>
          <w:b/>
          <w:bCs/>
          <w:kern w:val="0"/>
          <w:sz w:val="22"/>
          <w:szCs w:val="22"/>
        </w:rPr>
        <w:t>4. Cumulative Incidence of Stroke.</w:t>
      </w:r>
    </w:p>
    <w:p w14:paraId="16C3EFB0" w14:textId="77777777" w:rsidR="00223B2D" w:rsidRDefault="00223B2D">
      <w:pPr>
        <w:spacing w:after="65"/>
        <w:ind w:firstLineChars="200" w:firstLine="480"/>
      </w:pPr>
    </w:p>
    <w:p w14:paraId="75CEDE8B" w14:textId="77777777" w:rsidR="00223B2D" w:rsidRDefault="00FF29C6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C3C6FC3" w14:textId="0613BBA2" w:rsidR="00223B2D" w:rsidRDefault="00FF29C6">
      <w:pPr>
        <w:spacing w:after="65"/>
        <w:ind w:left="154" w:hangingChars="70" w:hanging="15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613A2714" wp14:editId="0EFA1198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760085" cy="3491865"/>
            <wp:effectExtent l="19050" t="19050" r="12065" b="1333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186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Figure </w:t>
      </w:r>
      <w:r w:rsidR="002072AF">
        <w:rPr>
          <w:rFonts w:ascii="Times New Roman" w:hAnsi="Times New Roman" w:cs="Times New Roman"/>
          <w:b/>
          <w:bCs/>
          <w:sz w:val="22"/>
          <w:szCs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>5</w:t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Cumulative Incidence of Isch</w:t>
      </w:r>
      <w:r>
        <w:rPr>
          <w:rFonts w:ascii="Times New Roman" w:hAnsi="Times New Roman" w:cs="Times New Roman"/>
          <w:b/>
          <w:bCs/>
          <w:sz w:val="22"/>
          <w:szCs w:val="22"/>
        </w:rPr>
        <w:t>emic Stroke</w:t>
      </w:r>
    </w:p>
    <w:p w14:paraId="2AE52716" w14:textId="77777777" w:rsidR="00223B2D" w:rsidRDefault="00223B2D">
      <w:pPr>
        <w:spacing w:after="65"/>
        <w:ind w:left="154" w:hangingChars="70" w:hanging="15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828251B" w14:textId="247671C0" w:rsidR="00223B2D" w:rsidRDefault="00FF29C6">
      <w:pPr>
        <w:spacing w:after="65"/>
        <w:ind w:left="154" w:hangingChars="70" w:hanging="15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Figure </w:t>
      </w:r>
      <w:r w:rsidR="002072AF">
        <w:rPr>
          <w:rFonts w:ascii="Times New Roman" w:hAnsi="Times New Roman" w:cs="Times New Roman"/>
          <w:b/>
          <w:bCs/>
          <w:sz w:val="22"/>
          <w:szCs w:val="22"/>
        </w:rPr>
        <w:t>S</w:t>
      </w:r>
      <w:r>
        <w:rPr>
          <w:rFonts w:ascii="Times New Roman" w:hAnsi="Times New Roman" w:cs="Times New Roman" w:hint="eastAsia"/>
          <w:b/>
          <w:bCs/>
          <w:sz w:val="22"/>
          <w:szCs w:val="22"/>
        </w:rPr>
        <w:t xml:space="preserve">6 </w:t>
      </w:r>
      <w:r>
        <w:rPr>
          <w:rFonts w:ascii="Times New Roman" w:hAnsi="Times New Roman" w:cs="Times New Roman"/>
          <w:b/>
          <w:bCs/>
          <w:sz w:val="22"/>
          <w:szCs w:val="22"/>
        </w:rPr>
        <w:t>Cumulative Incidence of H</w:t>
      </w:r>
      <w:r>
        <w:rPr>
          <w:rFonts w:ascii="Times New Roman" w:hAnsi="Times New Roman" w:cs="Times New Roman"/>
          <w:b/>
          <w:bCs/>
          <w:sz w:val="22"/>
          <w:szCs w:val="22"/>
        </w:rPr>
        <w:t>emorrhagic Stroke</w:t>
      </w:r>
      <w:r>
        <w:rPr>
          <w:rFonts w:ascii="Times New Roman" w:hAnsi="Times New Roman" w:cs="Times New Roman" w:hint="eastAsia"/>
          <w:b/>
          <w:bCs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A81BA34" wp14:editId="4DD12964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5760085" cy="3536315"/>
            <wp:effectExtent l="19050" t="19050" r="12065" b="26035"/>
            <wp:wrapTopAndBottom/>
            <wp:docPr id="5" name="图片 5" descr="图片包含 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3631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FF7618C" w14:textId="77777777" w:rsidR="00223B2D" w:rsidRDefault="00223B2D">
      <w:pPr>
        <w:widowControl/>
        <w:adjustRightInd/>
        <w:snapToGrid/>
        <w:spacing w:afterLines="0" w:after="0" w:line="240" w:lineRule="auto"/>
        <w:jc w:val="left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223B2D">
      <w:pgSz w:w="11907" w:h="16840"/>
      <w:pgMar w:top="1418" w:right="1418" w:bottom="1418" w:left="1418" w:header="851" w:footer="992" w:gutter="0"/>
      <w:cols w:space="425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331D9" w14:textId="77777777" w:rsidR="00FF29C6" w:rsidRDefault="00FF29C6">
      <w:pPr>
        <w:spacing w:after="48" w:line="240" w:lineRule="auto"/>
      </w:pPr>
      <w:r>
        <w:separator/>
      </w:r>
    </w:p>
  </w:endnote>
  <w:endnote w:type="continuationSeparator" w:id="0">
    <w:p w14:paraId="72BFE225" w14:textId="77777777" w:rsidR="00FF29C6" w:rsidRDefault="00FF29C6">
      <w:pPr>
        <w:spacing w:after="48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EDE5A6D9-9953-4C39-899C-029D293427D9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444DF3-6B71-4296-916A-A9CAEA33C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4E7E70-4976-46CF-AAD5-F40118FFBD9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4" w:fontKey="{332C6D51-C543-4B57-A651-9A3AD44C1B2C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DF86D" w14:textId="77777777" w:rsidR="00223B2D" w:rsidRDefault="00223B2D">
    <w:pPr>
      <w:pStyle w:val="Footer"/>
      <w:spacing w:after="4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05C0D" w14:textId="77777777" w:rsidR="00223B2D" w:rsidRDefault="00223B2D">
    <w:pPr>
      <w:pStyle w:val="Footer"/>
      <w:spacing w:after="48"/>
      <w:jc w:val="center"/>
    </w:pPr>
  </w:p>
  <w:p w14:paraId="14381BF1" w14:textId="77777777" w:rsidR="00223B2D" w:rsidRDefault="00223B2D">
    <w:pPr>
      <w:pStyle w:val="Footer"/>
      <w:spacing w:after="4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B0D4E" w14:textId="77777777" w:rsidR="00223B2D" w:rsidRDefault="00223B2D">
    <w:pPr>
      <w:pStyle w:val="Footer"/>
      <w:spacing w:after="4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6E1B7C" w14:textId="77777777" w:rsidR="00FF29C6" w:rsidRDefault="00FF29C6">
      <w:pPr>
        <w:spacing w:after="48"/>
      </w:pPr>
      <w:r>
        <w:separator/>
      </w:r>
    </w:p>
  </w:footnote>
  <w:footnote w:type="continuationSeparator" w:id="0">
    <w:p w14:paraId="01B18F3C" w14:textId="77777777" w:rsidR="00FF29C6" w:rsidRDefault="00FF29C6">
      <w:pPr>
        <w:spacing w:after="4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7D89" w14:textId="77777777" w:rsidR="00223B2D" w:rsidRDefault="00223B2D">
    <w:pPr>
      <w:pStyle w:val="Header"/>
      <w:spacing w:after="4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B2691" w14:textId="77777777" w:rsidR="00223B2D" w:rsidRDefault="00223B2D">
    <w:pPr>
      <w:pStyle w:val="Header"/>
      <w:spacing w:after="4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943B4" w14:textId="77777777" w:rsidR="00223B2D" w:rsidRDefault="00223B2D">
    <w:pPr>
      <w:pStyle w:val="Header"/>
      <w:spacing w:after="4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103A4"/>
    <w:multiLevelType w:val="multilevel"/>
    <w:tmpl w:val="00D103A4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1160" w:hanging="44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010702"/>
    <w:multiLevelType w:val="multilevel"/>
    <w:tmpl w:val="20010702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C6380A"/>
    <w:multiLevelType w:val="multilevel"/>
    <w:tmpl w:val="AD58B9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1160" w:hanging="44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17AA6"/>
    <w:multiLevelType w:val="multilevel"/>
    <w:tmpl w:val="47C17AA6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221491"/>
    <w:multiLevelType w:val="multilevel"/>
    <w:tmpl w:val="5A221491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C45CB5"/>
    <w:multiLevelType w:val="multilevel"/>
    <w:tmpl w:val="77C45CB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2F4945"/>
    <w:multiLevelType w:val="multilevel"/>
    <w:tmpl w:val="792F4945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)"/>
      <w:lvlJc w:val="left"/>
      <w:pPr>
        <w:ind w:left="1160" w:hanging="440"/>
      </w:p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B927D6"/>
    <w:multiLevelType w:val="multilevel"/>
    <w:tmpl w:val="34B09F2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1160" w:hanging="440"/>
      </w:pPr>
      <w:rPr>
        <w:rFonts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3E7717"/>
    <w:multiLevelType w:val="multilevel"/>
    <w:tmpl w:val="7E3E7717"/>
    <w:lvl w:ilvl="0">
      <w:start w:val="1"/>
      <w:numFmt w:val="lowerLetter"/>
      <w:lvlText w:val="%1)"/>
      <w:lvlJc w:val="left"/>
      <w:pPr>
        <w:tabs>
          <w:tab w:val="left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321347161">
    <w:abstractNumId w:val="1"/>
  </w:num>
  <w:num w:numId="2" w16cid:durableId="1064721063">
    <w:abstractNumId w:val="3"/>
  </w:num>
  <w:num w:numId="3" w16cid:durableId="2042196144">
    <w:abstractNumId w:val="8"/>
  </w:num>
  <w:num w:numId="4" w16cid:durableId="1017196335">
    <w:abstractNumId w:val="5"/>
  </w:num>
  <w:num w:numId="5" w16cid:durableId="229849964">
    <w:abstractNumId w:val="4"/>
  </w:num>
  <w:num w:numId="6" w16cid:durableId="355620565">
    <w:abstractNumId w:val="6"/>
  </w:num>
  <w:num w:numId="7" w16cid:durableId="143282850">
    <w:abstractNumId w:val="0"/>
  </w:num>
  <w:num w:numId="8" w16cid:durableId="1677538702">
    <w:abstractNumId w:val="7"/>
  </w:num>
  <w:num w:numId="9" w16cid:durableId="15378121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D35E6"/>
    <w:rsid w:val="000045E7"/>
    <w:rsid w:val="00006776"/>
    <w:rsid w:val="000268E3"/>
    <w:rsid w:val="000273CC"/>
    <w:rsid w:val="000342C6"/>
    <w:rsid w:val="000C2EEC"/>
    <w:rsid w:val="000D104D"/>
    <w:rsid w:val="000E1910"/>
    <w:rsid w:val="000F2929"/>
    <w:rsid w:val="00122D6B"/>
    <w:rsid w:val="00143562"/>
    <w:rsid w:val="00146CB2"/>
    <w:rsid w:val="00160770"/>
    <w:rsid w:val="0016209F"/>
    <w:rsid w:val="00171E1E"/>
    <w:rsid w:val="00176F33"/>
    <w:rsid w:val="001A1AE5"/>
    <w:rsid w:val="001B1605"/>
    <w:rsid w:val="00201C7F"/>
    <w:rsid w:val="002053F1"/>
    <w:rsid w:val="002072AF"/>
    <w:rsid w:val="00223B2D"/>
    <w:rsid w:val="00226A3F"/>
    <w:rsid w:val="00274BAF"/>
    <w:rsid w:val="0028332C"/>
    <w:rsid w:val="003018D9"/>
    <w:rsid w:val="003231AE"/>
    <w:rsid w:val="003314FA"/>
    <w:rsid w:val="0036143A"/>
    <w:rsid w:val="00363C98"/>
    <w:rsid w:val="003D1299"/>
    <w:rsid w:val="003E5587"/>
    <w:rsid w:val="003F6B1D"/>
    <w:rsid w:val="00412EE6"/>
    <w:rsid w:val="00443112"/>
    <w:rsid w:val="00460A2C"/>
    <w:rsid w:val="0046315E"/>
    <w:rsid w:val="00480600"/>
    <w:rsid w:val="00494529"/>
    <w:rsid w:val="004A273A"/>
    <w:rsid w:val="004E3011"/>
    <w:rsid w:val="00501FD9"/>
    <w:rsid w:val="00517BCF"/>
    <w:rsid w:val="00517EAD"/>
    <w:rsid w:val="00540C7B"/>
    <w:rsid w:val="00553887"/>
    <w:rsid w:val="0056109B"/>
    <w:rsid w:val="00562CA7"/>
    <w:rsid w:val="00564153"/>
    <w:rsid w:val="00565015"/>
    <w:rsid w:val="005724CF"/>
    <w:rsid w:val="005932E6"/>
    <w:rsid w:val="0059795E"/>
    <w:rsid w:val="005A465B"/>
    <w:rsid w:val="005B0F07"/>
    <w:rsid w:val="005B1FBF"/>
    <w:rsid w:val="006525D0"/>
    <w:rsid w:val="00667BDD"/>
    <w:rsid w:val="00670C46"/>
    <w:rsid w:val="00670D57"/>
    <w:rsid w:val="00677F67"/>
    <w:rsid w:val="006809FC"/>
    <w:rsid w:val="006A6AAD"/>
    <w:rsid w:val="006B77B9"/>
    <w:rsid w:val="006C0BC9"/>
    <w:rsid w:val="006C77F0"/>
    <w:rsid w:val="006D46D3"/>
    <w:rsid w:val="006D6642"/>
    <w:rsid w:val="006F099D"/>
    <w:rsid w:val="006F49AB"/>
    <w:rsid w:val="006F58E1"/>
    <w:rsid w:val="0070315B"/>
    <w:rsid w:val="00734BBC"/>
    <w:rsid w:val="00735E83"/>
    <w:rsid w:val="0075726C"/>
    <w:rsid w:val="00762B19"/>
    <w:rsid w:val="00791322"/>
    <w:rsid w:val="00792008"/>
    <w:rsid w:val="007B2464"/>
    <w:rsid w:val="007C4175"/>
    <w:rsid w:val="007D55FB"/>
    <w:rsid w:val="00824A9B"/>
    <w:rsid w:val="00834CE8"/>
    <w:rsid w:val="008367E5"/>
    <w:rsid w:val="00845D15"/>
    <w:rsid w:val="00850D3C"/>
    <w:rsid w:val="0085334A"/>
    <w:rsid w:val="00881CE9"/>
    <w:rsid w:val="0089670E"/>
    <w:rsid w:val="008B1ED8"/>
    <w:rsid w:val="008B5EA9"/>
    <w:rsid w:val="008C1B73"/>
    <w:rsid w:val="008C2194"/>
    <w:rsid w:val="008D6D62"/>
    <w:rsid w:val="008E2598"/>
    <w:rsid w:val="008E6791"/>
    <w:rsid w:val="009106B9"/>
    <w:rsid w:val="009157BE"/>
    <w:rsid w:val="009538A0"/>
    <w:rsid w:val="00955557"/>
    <w:rsid w:val="00974D8E"/>
    <w:rsid w:val="009819DE"/>
    <w:rsid w:val="009E4272"/>
    <w:rsid w:val="009E63CB"/>
    <w:rsid w:val="009E7766"/>
    <w:rsid w:val="00A306C7"/>
    <w:rsid w:val="00A4130F"/>
    <w:rsid w:val="00A63543"/>
    <w:rsid w:val="00A65790"/>
    <w:rsid w:val="00A765A5"/>
    <w:rsid w:val="00A84BC5"/>
    <w:rsid w:val="00A93461"/>
    <w:rsid w:val="00AE7C90"/>
    <w:rsid w:val="00B056D2"/>
    <w:rsid w:val="00B05F50"/>
    <w:rsid w:val="00B067C4"/>
    <w:rsid w:val="00B22CC1"/>
    <w:rsid w:val="00B30758"/>
    <w:rsid w:val="00B34612"/>
    <w:rsid w:val="00B423B6"/>
    <w:rsid w:val="00B63E69"/>
    <w:rsid w:val="00B7003D"/>
    <w:rsid w:val="00B80BF5"/>
    <w:rsid w:val="00BA7F98"/>
    <w:rsid w:val="00BD35E6"/>
    <w:rsid w:val="00BE059F"/>
    <w:rsid w:val="00BF037C"/>
    <w:rsid w:val="00BF49FB"/>
    <w:rsid w:val="00C05142"/>
    <w:rsid w:val="00C1313D"/>
    <w:rsid w:val="00C2333A"/>
    <w:rsid w:val="00C36B5B"/>
    <w:rsid w:val="00C63B1B"/>
    <w:rsid w:val="00C63E95"/>
    <w:rsid w:val="00C75AAE"/>
    <w:rsid w:val="00CA46D6"/>
    <w:rsid w:val="00CA6C7E"/>
    <w:rsid w:val="00CC2A44"/>
    <w:rsid w:val="00CC5A44"/>
    <w:rsid w:val="00CD0862"/>
    <w:rsid w:val="00CF65DC"/>
    <w:rsid w:val="00D003EE"/>
    <w:rsid w:val="00D158B4"/>
    <w:rsid w:val="00D27236"/>
    <w:rsid w:val="00D273CF"/>
    <w:rsid w:val="00D47100"/>
    <w:rsid w:val="00D53990"/>
    <w:rsid w:val="00D96860"/>
    <w:rsid w:val="00DC5ACE"/>
    <w:rsid w:val="00DD1938"/>
    <w:rsid w:val="00DD6C89"/>
    <w:rsid w:val="00DF75AA"/>
    <w:rsid w:val="00E02AFA"/>
    <w:rsid w:val="00E12906"/>
    <w:rsid w:val="00E41790"/>
    <w:rsid w:val="00E56B8F"/>
    <w:rsid w:val="00E57E96"/>
    <w:rsid w:val="00EB144C"/>
    <w:rsid w:val="00EB2FE9"/>
    <w:rsid w:val="00EC025A"/>
    <w:rsid w:val="00EC591E"/>
    <w:rsid w:val="00EE3A71"/>
    <w:rsid w:val="00F0097E"/>
    <w:rsid w:val="00F16CA1"/>
    <w:rsid w:val="00F820BE"/>
    <w:rsid w:val="00F85D60"/>
    <w:rsid w:val="00FA62CE"/>
    <w:rsid w:val="00FC79C7"/>
    <w:rsid w:val="00FD5EE9"/>
    <w:rsid w:val="00FE432C"/>
    <w:rsid w:val="00FE62B3"/>
    <w:rsid w:val="00FF29C6"/>
    <w:rsid w:val="01FE5971"/>
    <w:rsid w:val="02CE57FC"/>
    <w:rsid w:val="03991DF6"/>
    <w:rsid w:val="043C7483"/>
    <w:rsid w:val="047F723D"/>
    <w:rsid w:val="05DE61E6"/>
    <w:rsid w:val="06E9698E"/>
    <w:rsid w:val="07210B7E"/>
    <w:rsid w:val="07373DFF"/>
    <w:rsid w:val="07E757DD"/>
    <w:rsid w:val="082F2D28"/>
    <w:rsid w:val="087B5F6E"/>
    <w:rsid w:val="0A0B50CF"/>
    <w:rsid w:val="0A5C592B"/>
    <w:rsid w:val="0BA021A6"/>
    <w:rsid w:val="0C394176"/>
    <w:rsid w:val="0CAA0BCF"/>
    <w:rsid w:val="0F1D1B2D"/>
    <w:rsid w:val="10795489"/>
    <w:rsid w:val="10FD1C16"/>
    <w:rsid w:val="11A622AD"/>
    <w:rsid w:val="12502219"/>
    <w:rsid w:val="13651CF4"/>
    <w:rsid w:val="14435965"/>
    <w:rsid w:val="16021A7C"/>
    <w:rsid w:val="161F43DC"/>
    <w:rsid w:val="169C5A2D"/>
    <w:rsid w:val="16F838BF"/>
    <w:rsid w:val="17AF1790"/>
    <w:rsid w:val="18493992"/>
    <w:rsid w:val="18AE7C99"/>
    <w:rsid w:val="1A1678A4"/>
    <w:rsid w:val="1A846F04"/>
    <w:rsid w:val="1AC33282"/>
    <w:rsid w:val="1EB20626"/>
    <w:rsid w:val="1F2649AF"/>
    <w:rsid w:val="1F2667DB"/>
    <w:rsid w:val="1FB43DE7"/>
    <w:rsid w:val="207E43F5"/>
    <w:rsid w:val="225E003A"/>
    <w:rsid w:val="238378ED"/>
    <w:rsid w:val="238B30B1"/>
    <w:rsid w:val="23A26A41"/>
    <w:rsid w:val="24516432"/>
    <w:rsid w:val="24F904EE"/>
    <w:rsid w:val="25034EC9"/>
    <w:rsid w:val="25B032A3"/>
    <w:rsid w:val="26BE72FA"/>
    <w:rsid w:val="26C3198C"/>
    <w:rsid w:val="26ED5E31"/>
    <w:rsid w:val="28E219C5"/>
    <w:rsid w:val="29422464"/>
    <w:rsid w:val="2A832D34"/>
    <w:rsid w:val="2B2A1401"/>
    <w:rsid w:val="2C11611D"/>
    <w:rsid w:val="2C7E5D6B"/>
    <w:rsid w:val="2D5409B8"/>
    <w:rsid w:val="2DC96640"/>
    <w:rsid w:val="2DF923D8"/>
    <w:rsid w:val="2E9C0F87"/>
    <w:rsid w:val="2EDF2503"/>
    <w:rsid w:val="2F370591"/>
    <w:rsid w:val="30000BE2"/>
    <w:rsid w:val="30711881"/>
    <w:rsid w:val="30BA09FB"/>
    <w:rsid w:val="312406A1"/>
    <w:rsid w:val="31723B02"/>
    <w:rsid w:val="31FB58A6"/>
    <w:rsid w:val="37FE5D76"/>
    <w:rsid w:val="38196A86"/>
    <w:rsid w:val="38995E18"/>
    <w:rsid w:val="38B62526"/>
    <w:rsid w:val="39150845"/>
    <w:rsid w:val="39335925"/>
    <w:rsid w:val="39C80763"/>
    <w:rsid w:val="3A2B0CF2"/>
    <w:rsid w:val="3A483652"/>
    <w:rsid w:val="3A901397"/>
    <w:rsid w:val="3BCB453B"/>
    <w:rsid w:val="3C0435A9"/>
    <w:rsid w:val="3C17152E"/>
    <w:rsid w:val="3C2459F9"/>
    <w:rsid w:val="3CAF79B9"/>
    <w:rsid w:val="3CCF137D"/>
    <w:rsid w:val="3F3423F7"/>
    <w:rsid w:val="3F632CDC"/>
    <w:rsid w:val="407908BA"/>
    <w:rsid w:val="41232723"/>
    <w:rsid w:val="418436DD"/>
    <w:rsid w:val="41EC0D67"/>
    <w:rsid w:val="42184AE5"/>
    <w:rsid w:val="44821E4E"/>
    <w:rsid w:val="45AC6BC8"/>
    <w:rsid w:val="46261ABA"/>
    <w:rsid w:val="462B21DE"/>
    <w:rsid w:val="473E2065"/>
    <w:rsid w:val="47AD2D46"/>
    <w:rsid w:val="481B05F8"/>
    <w:rsid w:val="48831CF9"/>
    <w:rsid w:val="48897310"/>
    <w:rsid w:val="48DD3AFF"/>
    <w:rsid w:val="499C7517"/>
    <w:rsid w:val="4A541B9F"/>
    <w:rsid w:val="4C714C8A"/>
    <w:rsid w:val="4CE865CF"/>
    <w:rsid w:val="4D0A29E9"/>
    <w:rsid w:val="4D6C0FAE"/>
    <w:rsid w:val="4DC1754C"/>
    <w:rsid w:val="51167616"/>
    <w:rsid w:val="51B01DB1"/>
    <w:rsid w:val="530662E3"/>
    <w:rsid w:val="53395DD6"/>
    <w:rsid w:val="53986FA1"/>
    <w:rsid w:val="54F226E1"/>
    <w:rsid w:val="55572762"/>
    <w:rsid w:val="55823A64"/>
    <w:rsid w:val="57566F57"/>
    <w:rsid w:val="57D6232E"/>
    <w:rsid w:val="581D7A74"/>
    <w:rsid w:val="58825B29"/>
    <w:rsid w:val="589C6BEB"/>
    <w:rsid w:val="58FC3B2E"/>
    <w:rsid w:val="59072C51"/>
    <w:rsid w:val="591F15CA"/>
    <w:rsid w:val="5980650D"/>
    <w:rsid w:val="59FD5DAF"/>
    <w:rsid w:val="5A8262B5"/>
    <w:rsid w:val="5BF7502C"/>
    <w:rsid w:val="5D963292"/>
    <w:rsid w:val="5DC314AD"/>
    <w:rsid w:val="5EBD3F86"/>
    <w:rsid w:val="5FAA6092"/>
    <w:rsid w:val="61D45648"/>
    <w:rsid w:val="61F47A98"/>
    <w:rsid w:val="629923ED"/>
    <w:rsid w:val="630A5099"/>
    <w:rsid w:val="646D768E"/>
    <w:rsid w:val="6C967660"/>
    <w:rsid w:val="6D036DE1"/>
    <w:rsid w:val="6D293E8B"/>
    <w:rsid w:val="6D4511BA"/>
    <w:rsid w:val="6E6A6682"/>
    <w:rsid w:val="6FE253D4"/>
    <w:rsid w:val="728C7879"/>
    <w:rsid w:val="72C9287B"/>
    <w:rsid w:val="72E43211"/>
    <w:rsid w:val="72F3295B"/>
    <w:rsid w:val="73A66718"/>
    <w:rsid w:val="74A23383"/>
    <w:rsid w:val="753A1AF7"/>
    <w:rsid w:val="759727BC"/>
    <w:rsid w:val="76F61765"/>
    <w:rsid w:val="77822FF8"/>
    <w:rsid w:val="77AE1996"/>
    <w:rsid w:val="78905330"/>
    <w:rsid w:val="78FA6A1D"/>
    <w:rsid w:val="7A431165"/>
    <w:rsid w:val="7A637111"/>
    <w:rsid w:val="7B71585E"/>
    <w:rsid w:val="9FECD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A25141"/>
  <w15:docId w15:val="{E1F28067-1991-4177-BA03-CD26A673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qFormat="1"/>
    <w:lsdException w:name="header" w:qFormat="1"/>
    <w:lsdException w:name="footer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qFormat="1"/>
    <w:lsdException w:name="line number" w:unhideWhenUsed="1" w:qFormat="1"/>
    <w:lsdException w:name="page number" w:uiPriority="0" w:qFormat="1"/>
    <w:lsdException w:name="endnote reference" w:uiPriority="0" w:qFormat="1"/>
    <w:lsdException w:name="endnote text" w:uiPriority="0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0" w:qFormat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uiPriority="0" w:qFormat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unhideWhenUsed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djustRightInd w:val="0"/>
      <w:snapToGrid w:val="0"/>
      <w:spacing w:afterLines="20" w:after="20" w:line="288" w:lineRule="auto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nhideWhenUsed/>
    <w:qFormat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qFormat/>
    <w:pPr>
      <w:jc w:val="left"/>
    </w:pPr>
    <w:rPr>
      <w:color w:val="262626" w:themeColor="text1" w:themeTint="D9"/>
    </w:rPr>
  </w:style>
  <w:style w:type="paragraph" w:styleId="Salutation">
    <w:name w:val="Salutation"/>
    <w:basedOn w:val="Normal"/>
    <w:next w:val="Normal"/>
    <w:link w:val="SalutationChar"/>
    <w:qFormat/>
  </w:style>
  <w:style w:type="paragraph" w:styleId="BodyText">
    <w:name w:val="Body Text"/>
    <w:basedOn w:val="Normal"/>
    <w:link w:val="BodyTextChar"/>
    <w:qFormat/>
    <w:pPr>
      <w:spacing w:afterLines="0" w:after="120"/>
    </w:pPr>
  </w:style>
  <w:style w:type="paragraph" w:styleId="TOC3">
    <w:name w:val="toc 3"/>
    <w:basedOn w:val="Normal"/>
    <w:next w:val="Normal"/>
    <w:uiPriority w:val="39"/>
    <w:qFormat/>
    <w:pPr>
      <w:ind w:leftChars="400" w:left="840"/>
    </w:pPr>
  </w:style>
  <w:style w:type="paragraph" w:styleId="Date">
    <w:name w:val="Date"/>
    <w:basedOn w:val="Normal"/>
    <w:next w:val="Normal"/>
    <w:link w:val="DateChar"/>
    <w:qFormat/>
    <w:pPr>
      <w:jc w:val="right"/>
    </w:pPr>
    <w:rPr>
      <w:color w:val="262626" w:themeColor="text1" w:themeTint="D9"/>
    </w:rPr>
  </w:style>
  <w:style w:type="paragraph" w:styleId="EndnoteText">
    <w:name w:val="endnote text"/>
    <w:basedOn w:val="Normal"/>
    <w:link w:val="EndnoteTextChar"/>
    <w:qFormat/>
    <w:pPr>
      <w:jc w:val="left"/>
    </w:pPr>
    <w:rPr>
      <w:color w:val="262626" w:themeColor="text1" w:themeTint="D9"/>
    </w:rPr>
  </w:style>
  <w:style w:type="paragraph" w:styleId="BalloonText">
    <w:name w:val="Balloon Text"/>
    <w:basedOn w:val="Normal"/>
    <w:link w:val="BalloonTextChar"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</w:pPr>
    <w:rPr>
      <w:sz w:val="18"/>
      <w:szCs w:val="18"/>
    </w:rPr>
  </w:style>
  <w:style w:type="paragraph" w:styleId="Signature">
    <w:name w:val="Signature"/>
    <w:basedOn w:val="Normal"/>
    <w:link w:val="SignatureChar"/>
    <w:qFormat/>
    <w:pPr>
      <w:jc w:val="right"/>
    </w:pPr>
    <w:rPr>
      <w:color w:val="262626" w:themeColor="text1" w:themeTint="D9"/>
    </w:rPr>
  </w:style>
  <w:style w:type="paragraph" w:styleId="TOC1">
    <w:name w:val="toc 1"/>
    <w:basedOn w:val="Normal"/>
    <w:next w:val="Normal"/>
    <w:uiPriority w:val="39"/>
    <w:qFormat/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FootnoteText">
    <w:name w:val="footnote text"/>
    <w:basedOn w:val="Normal"/>
    <w:link w:val="FootnoteTextChar"/>
    <w:qFormat/>
    <w:pPr>
      <w:jc w:val="left"/>
    </w:pPr>
  </w:style>
  <w:style w:type="paragraph" w:styleId="TOC2">
    <w:name w:val="toc 2"/>
    <w:basedOn w:val="Normal"/>
    <w:next w:val="Normal"/>
    <w:uiPriority w:val="39"/>
    <w:qFormat/>
    <w:pPr>
      <w:ind w:leftChars="200" w:left="420"/>
    </w:pPr>
  </w:style>
  <w:style w:type="paragraph" w:styleId="HTMLPreformatted">
    <w:name w:val="HTML Preformatted"/>
    <w:basedOn w:val="Normal"/>
    <w:link w:val="HTMLPreformattedChar"/>
    <w:qFormat/>
    <w:rPr>
      <w:rFonts w:ascii="Courier New" w:hAnsi="Courier New"/>
      <w:sz w:val="20"/>
    </w:rPr>
  </w:style>
  <w:style w:type="paragraph" w:styleId="NormalWeb">
    <w:name w:val="Normal (Web)"/>
    <w:basedOn w:val="Normal"/>
    <w:qFormat/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qFormat/>
    <w:rPr>
      <w:b/>
    </w:rPr>
  </w:style>
  <w:style w:type="table" w:styleId="TableGrid">
    <w:name w:val="Table Grid"/>
    <w:basedOn w:val="TableNormal"/>
    <w:uiPriority w:val="39"/>
    <w:qFormat/>
    <w:rPr>
      <w:rFonts w:eastAsia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rFonts w:asciiTheme="minorHAnsi" w:eastAsiaTheme="minorEastAsia" w:hAnsiTheme="minorHAnsi"/>
      <w:b/>
    </w:rPr>
  </w:style>
  <w:style w:type="character" w:styleId="EndnoteReference">
    <w:name w:val="endnote reference"/>
    <w:basedOn w:val="DefaultParagraphFont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styleId="PageNumber">
    <w:name w:val="page number"/>
    <w:qFormat/>
    <w:rPr>
      <w:rFonts w:asciiTheme="minorHAnsi" w:eastAsiaTheme="minorEastAsia" w:hAnsiTheme="minorHAnsi" w:cs="Times New Roman"/>
      <w:color w:val="262626" w:themeColor="text1" w:themeTint="D9"/>
      <w:spacing w:val="-6"/>
      <w:kern w:val="2"/>
      <w:sz w:val="28"/>
      <w:szCs w:val="28"/>
      <w:lang w:val="en-US" w:eastAsia="zh-CN" w:bidi="ar-SA"/>
    </w:rPr>
  </w:style>
  <w:style w:type="character" w:styleId="FollowedHyperlink">
    <w:name w:val="FollowedHyperlink"/>
    <w:basedOn w:val="DefaultParagraphFont"/>
    <w:qFormat/>
    <w:rPr>
      <w:rFonts w:asciiTheme="minorHAnsi" w:eastAsiaTheme="minorEastAsia" w:hAnsiTheme="minorHAnsi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Emphasis">
    <w:name w:val="Emphasis"/>
    <w:basedOn w:val="DefaultParagraphFont"/>
    <w:qFormat/>
    <w:rPr>
      <w:i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styleId="Hyperlink">
    <w:name w:val="Hyperlink"/>
    <w:basedOn w:val="DefaultParagraphFont"/>
    <w:qFormat/>
    <w:rPr>
      <w:rFonts w:asciiTheme="minorHAnsi" w:eastAsiaTheme="minorEastAsia" w:hAnsiTheme="minorHAnsi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CommentReference">
    <w:name w:val="annotation reference"/>
    <w:basedOn w:val="DefaultParagraphFont"/>
    <w:uiPriority w:val="99"/>
    <w:qFormat/>
    <w:rPr>
      <w:rFonts w:asciiTheme="minorHAnsi" w:eastAsiaTheme="minorEastAsia" w:hAnsiTheme="minorHAnsi"/>
      <w:color w:val="262626" w:themeColor="text1" w:themeTint="D9"/>
      <w:sz w:val="21"/>
      <w:szCs w:val="21"/>
    </w:rPr>
  </w:style>
  <w:style w:type="character" w:styleId="FootnoteReference">
    <w:name w:val="footnote reference"/>
    <w:basedOn w:val="DefaultParagraphFont"/>
    <w:qFormat/>
    <w:rPr>
      <w:rFonts w:asciiTheme="minorHAnsi" w:eastAsiaTheme="minorEastAsia" w:hAnsiTheme="minorHAnsi"/>
      <w:color w:val="262626" w:themeColor="text1" w:themeTint="D9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rFonts w:cstheme="majorBidi"/>
      <w:b/>
      <w:bCs/>
      <w:color w:val="0F4761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qFormat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qFormat/>
    <w:rPr>
      <w:rFonts w:eastAsiaTheme="majorEastAsia" w:cstheme="majorBidi"/>
      <w:color w:val="595959" w:themeColor="text1" w:themeTint="A6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BodyTextChar">
    <w:name w:val="Body Text Char"/>
    <w:basedOn w:val="DefaultParagraphFont"/>
    <w:link w:val="BodyText"/>
    <w:qFormat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Pr>
      <w:color w:val="262626" w:themeColor="text1" w:themeTint="D9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qFormat/>
    <w:rPr>
      <w:sz w:val="24"/>
      <w:szCs w:val="24"/>
    </w:rPr>
  </w:style>
  <w:style w:type="character" w:customStyle="1" w:styleId="DateChar">
    <w:name w:val="Date Char"/>
    <w:basedOn w:val="DefaultParagraphFont"/>
    <w:link w:val="Date"/>
    <w:qFormat/>
    <w:rPr>
      <w:color w:val="262626" w:themeColor="text1" w:themeTint="D9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qFormat/>
    <w:rPr>
      <w:color w:val="262626" w:themeColor="text1" w:themeTint="D9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SignatureChar">
    <w:name w:val="Signature Char"/>
    <w:basedOn w:val="DefaultParagraphFont"/>
    <w:link w:val="Signature"/>
    <w:qFormat/>
    <w:rPr>
      <w:color w:val="262626" w:themeColor="text1" w:themeTint="D9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qFormat/>
    <w:rPr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hAnsi="Courier New"/>
      <w:sz w:val="20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Pr>
      <w:b/>
      <w:color w:val="262626" w:themeColor="text1" w:themeTint="D9"/>
      <w:sz w:val="24"/>
      <w:szCs w:val="24"/>
    </w:rPr>
  </w:style>
  <w:style w:type="paragraph" w:customStyle="1" w:styleId="1">
    <w:name w:val="列表段落1"/>
    <w:basedOn w:val="Normal"/>
    <w:uiPriority w:val="34"/>
    <w:qFormat/>
    <w:pPr>
      <w:ind w:firstLineChars="200" w:firstLine="420"/>
    </w:pPr>
  </w:style>
  <w:style w:type="paragraph" w:customStyle="1" w:styleId="SOPtext">
    <w:name w:val="SOP text"/>
    <w:basedOn w:val="Normal"/>
    <w:link w:val="SOPtextChar"/>
    <w:qFormat/>
    <w:pPr>
      <w:widowControl/>
      <w:spacing w:before="120" w:after="120" w:line="360" w:lineRule="auto"/>
      <w:contextualSpacing/>
    </w:pPr>
    <w:rPr>
      <w:rFonts w:ascii="Calibri" w:eastAsiaTheme="majorEastAsia" w:hAnsi="Calibri" w:cstheme="minorHAnsi"/>
      <w:color w:val="000000" w:themeColor="text1"/>
      <w:kern w:val="0"/>
      <w:sz w:val="22"/>
      <w:szCs w:val="23"/>
      <w:lang w:val="en-AU" w:eastAsia="en-US"/>
    </w:rPr>
  </w:style>
  <w:style w:type="character" w:customStyle="1" w:styleId="SOPtextChar">
    <w:name w:val="SOP text Char"/>
    <w:basedOn w:val="DefaultParagraphFont"/>
    <w:link w:val="SOPtext"/>
    <w:qFormat/>
    <w:rPr>
      <w:rFonts w:ascii="Calibri" w:eastAsiaTheme="majorEastAsia" w:hAnsi="Calibri" w:cstheme="minorHAnsi"/>
      <w:color w:val="000000" w:themeColor="text1"/>
      <w:kern w:val="0"/>
      <w:sz w:val="22"/>
      <w:szCs w:val="23"/>
      <w:lang w:val="en-AU" w:eastAsia="en-US"/>
    </w:rPr>
  </w:style>
  <w:style w:type="paragraph" w:customStyle="1" w:styleId="EndNoteBibliographyTitle">
    <w:name w:val="EndNote Bibliography Title"/>
    <w:basedOn w:val="Normal"/>
    <w:link w:val="EndNoteBibliographyTitle0"/>
    <w:qFormat/>
    <w:pPr>
      <w:jc w:val="center"/>
    </w:pPr>
    <w:rPr>
      <w:rFonts w:ascii="DengXian" w:eastAsia="DengXian" w:hAnsi="DengXian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Pr>
      <w:rFonts w:ascii="DengXian" w:eastAsia="DengXian" w:hAnsi="DengXian"/>
      <w:sz w:val="24"/>
      <w:szCs w:val="24"/>
    </w:rPr>
  </w:style>
  <w:style w:type="paragraph" w:customStyle="1" w:styleId="EndNoteBibliography">
    <w:name w:val="EndNote Bibliography"/>
    <w:basedOn w:val="Normal"/>
    <w:link w:val="EndNoteBibliography0"/>
    <w:qFormat/>
    <w:pPr>
      <w:spacing w:line="240" w:lineRule="auto"/>
    </w:pPr>
    <w:rPr>
      <w:rFonts w:ascii="DengXian" w:eastAsia="DengXian" w:hAnsi="DengXian"/>
    </w:rPr>
  </w:style>
  <w:style w:type="character" w:customStyle="1" w:styleId="EndNoteBibliography0">
    <w:name w:val="EndNote Bibliography 字符"/>
    <w:basedOn w:val="DefaultParagraphFont"/>
    <w:link w:val="EndNoteBibliography"/>
    <w:qFormat/>
    <w:rPr>
      <w:rFonts w:ascii="DengXian" w:eastAsia="DengXian" w:hAnsi="DengXian"/>
      <w:sz w:val="24"/>
      <w:szCs w:val="24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11">
    <w:name w:val="未处理的提及1"/>
    <w:basedOn w:val="DefaultParagraphFont"/>
    <w:uiPriority w:val="99"/>
    <w:unhideWhenUsed/>
    <w:qFormat/>
    <w:rPr>
      <w:color w:val="605E5C"/>
      <w:shd w:val="clear" w:color="auto" w:fill="E1DFDD"/>
    </w:rPr>
  </w:style>
  <w:style w:type="character" w:customStyle="1" w:styleId="ms-1">
    <w:name w:val="ms-1"/>
    <w:basedOn w:val="DefaultParagraphFont"/>
    <w:qFormat/>
  </w:style>
  <w:style w:type="character" w:customStyle="1" w:styleId="max-w-full">
    <w:name w:val="max-w-full"/>
    <w:basedOn w:val="DefaultParagraphFont"/>
    <w:qFormat/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GB"/>
    </w:rPr>
  </w:style>
  <w:style w:type="paragraph" w:customStyle="1" w:styleId="Standardunter5">
    <w:name w:val="Standard unter Ü5"/>
    <w:basedOn w:val="Normal"/>
    <w:qFormat/>
    <w:pPr>
      <w:spacing w:before="120" w:after="120"/>
      <w:ind w:left="709"/>
    </w:pPr>
  </w:style>
  <w:style w:type="paragraph" w:customStyle="1" w:styleId="a">
    <w:name w:val="文档说明标题"/>
    <w:next w:val="Normal"/>
    <w:qFormat/>
    <w:pPr>
      <w:adjustRightInd w:val="0"/>
      <w:snapToGrid w:val="0"/>
      <w:spacing w:beforeLines="50" w:before="50" w:line="312" w:lineRule="auto"/>
      <w:jc w:val="center"/>
    </w:pPr>
    <w:rPr>
      <w:rFonts w:asciiTheme="majorHAnsi" w:eastAsiaTheme="majorEastAsia" w:hAnsiTheme="majorHAnsi"/>
      <w:b/>
      <w:sz w:val="32"/>
      <w:szCs w:val="32"/>
      <w:lang w:eastAsia="zh-Hans"/>
    </w:rPr>
  </w:style>
  <w:style w:type="paragraph" w:customStyle="1" w:styleId="a0">
    <w:name w:val="章标题"/>
    <w:next w:val="Normal"/>
    <w:qFormat/>
    <w:pPr>
      <w:keepNext/>
      <w:keepLines/>
      <w:adjustRightInd w:val="0"/>
      <w:snapToGrid w:val="0"/>
      <w:spacing w:beforeLines="50" w:before="50" w:line="312" w:lineRule="auto"/>
      <w:jc w:val="center"/>
      <w:outlineLvl w:val="0"/>
    </w:pPr>
    <w:rPr>
      <w:rFonts w:asciiTheme="majorHAnsi" w:eastAsiaTheme="majorEastAsia" w:hAnsiTheme="majorHAnsi"/>
      <w:b/>
      <w:bCs/>
      <w:kern w:val="44"/>
      <w:sz w:val="32"/>
      <w:szCs w:val="32"/>
      <w:lang w:eastAsia="zh-Hans"/>
    </w:rPr>
  </w:style>
  <w:style w:type="paragraph" w:customStyle="1" w:styleId="a1">
    <w:name w:val="节标题"/>
    <w:next w:val="Normal"/>
    <w:qFormat/>
    <w:pPr>
      <w:keepNext/>
      <w:keepLines/>
      <w:adjustRightInd w:val="0"/>
      <w:snapToGrid w:val="0"/>
      <w:spacing w:beforeLines="50" w:before="50" w:line="312" w:lineRule="auto"/>
      <w:jc w:val="center"/>
      <w:outlineLvl w:val="0"/>
    </w:pPr>
    <w:rPr>
      <w:rFonts w:asciiTheme="majorHAnsi" w:eastAsiaTheme="majorEastAsia" w:hAnsiTheme="majorHAnsi"/>
      <w:b/>
      <w:kern w:val="44"/>
      <w:sz w:val="30"/>
      <w:szCs w:val="30"/>
      <w:lang w:eastAsia="zh-Hans"/>
    </w:rPr>
  </w:style>
  <w:style w:type="paragraph" w:customStyle="1" w:styleId="a2">
    <w:name w:val="附录标题"/>
    <w:next w:val="BodyText"/>
    <w:qFormat/>
    <w:pPr>
      <w:keepNext/>
      <w:keepLines/>
      <w:adjustRightInd w:val="0"/>
      <w:snapToGrid w:val="0"/>
      <w:spacing w:beforeLines="50" w:before="50" w:line="312" w:lineRule="auto"/>
      <w:jc w:val="center"/>
      <w:outlineLvl w:val="0"/>
    </w:pPr>
    <w:rPr>
      <w:rFonts w:asciiTheme="majorHAnsi" w:eastAsiaTheme="majorEastAsia" w:hAnsiTheme="majorHAnsi"/>
      <w:b/>
      <w:kern w:val="44"/>
      <w:sz w:val="32"/>
      <w:szCs w:val="32"/>
      <w:lang w:eastAsia="zh-Hans"/>
    </w:rPr>
  </w:style>
  <w:style w:type="character" w:customStyle="1" w:styleId="a3">
    <w:name w:val="摘要"/>
    <w:basedOn w:val="DefaultParagraphFont"/>
    <w:qFormat/>
    <w:rPr>
      <w:rFonts w:ascii="SimSun" w:eastAsia="SimSun" w:hAnsi="SimSun" w:hint="eastAsia"/>
      <w:b/>
      <w:lang w:val="en-US" w:eastAsia="zh-Hans"/>
    </w:rPr>
  </w:style>
  <w:style w:type="character" w:customStyle="1" w:styleId="a4">
    <w:name w:val="关键词"/>
    <w:basedOn w:val="DefaultParagraphFont"/>
    <w:qFormat/>
    <w:rPr>
      <w:rFonts w:ascii="SimSun" w:eastAsia="SimSun" w:hAnsi="SimSun" w:hint="eastAsia"/>
      <w:b/>
      <w:lang w:val="en-US" w:eastAsia="zh-Hans"/>
    </w:rPr>
  </w:style>
  <w:style w:type="paragraph" w:customStyle="1" w:styleId="12">
    <w:name w:val="题注1"/>
    <w:basedOn w:val="Normal"/>
    <w:qFormat/>
    <w:pPr>
      <w:jc w:val="center"/>
    </w:pPr>
    <w:rPr>
      <w:lang w:eastAsia="zh-Hans"/>
    </w:rPr>
  </w:style>
  <w:style w:type="paragraph" w:customStyle="1" w:styleId="a5">
    <w:name w:val="目录标题"/>
    <w:basedOn w:val="Normal"/>
    <w:qFormat/>
    <w:pPr>
      <w:spacing w:afterLines="0" w:line="240" w:lineRule="auto"/>
      <w:jc w:val="center"/>
    </w:pPr>
    <w:rPr>
      <w:b/>
      <w:sz w:val="28"/>
      <w:szCs w:val="28"/>
    </w:rPr>
  </w:style>
  <w:style w:type="paragraph" w:customStyle="1" w:styleId="a6">
    <w:name w:val="主送对象"/>
    <w:next w:val="BodyText"/>
    <w:qFormat/>
    <w:pPr>
      <w:adjustRightInd w:val="0"/>
      <w:snapToGrid w:val="0"/>
      <w:spacing w:line="576" w:lineRule="exact"/>
    </w:pPr>
    <w:rPr>
      <w:rFonts w:asciiTheme="minorHAnsi" w:eastAsiaTheme="minorEastAsia" w:hAnsiTheme="minorHAnsi"/>
      <w:color w:val="262626" w:themeColor="text1" w:themeTint="D9"/>
      <w:sz w:val="24"/>
      <w:szCs w:val="24"/>
    </w:rPr>
  </w:style>
  <w:style w:type="paragraph" w:customStyle="1" w:styleId="a7">
    <w:name w:val="致谢标题"/>
    <w:qFormat/>
    <w:pPr>
      <w:keepNext/>
      <w:keepLines/>
      <w:adjustRightInd w:val="0"/>
      <w:snapToGrid w:val="0"/>
      <w:spacing w:beforeLines="50" w:before="50" w:line="312" w:lineRule="auto"/>
      <w:jc w:val="center"/>
      <w:outlineLvl w:val="0"/>
    </w:pPr>
    <w:rPr>
      <w:rFonts w:ascii="DengXian Light" w:eastAsia="DengXian Light" w:hAnsi="DengXian Light"/>
      <w:b/>
      <w:bCs/>
      <w:kern w:val="44"/>
      <w:sz w:val="32"/>
      <w:szCs w:val="32"/>
    </w:rPr>
  </w:style>
  <w:style w:type="paragraph" w:customStyle="1" w:styleId="a8">
    <w:name w:val="参考文献标题"/>
    <w:qFormat/>
    <w:pPr>
      <w:keepNext/>
      <w:keepLines/>
      <w:spacing w:beforeLines="50" w:before="50" w:afterLines="20" w:after="20" w:line="312" w:lineRule="auto"/>
      <w:jc w:val="center"/>
      <w:outlineLvl w:val="0"/>
    </w:pPr>
    <w:rPr>
      <w:rFonts w:ascii="DengXian Light" w:eastAsia="DengXian Light" w:hAnsi="DengXian Light"/>
      <w:b/>
      <w:bCs/>
      <w:kern w:val="44"/>
      <w:sz w:val="32"/>
      <w:szCs w:val="32"/>
    </w:rPr>
  </w:style>
  <w:style w:type="paragraph" w:customStyle="1" w:styleId="a9">
    <w:name w:val="声明标题"/>
    <w:qFormat/>
    <w:pPr>
      <w:keepNext/>
      <w:keepLines/>
      <w:adjustRightInd w:val="0"/>
      <w:snapToGrid w:val="0"/>
      <w:spacing w:beforeLines="50" w:before="50" w:line="312" w:lineRule="auto"/>
      <w:jc w:val="center"/>
      <w:outlineLvl w:val="0"/>
    </w:pPr>
    <w:rPr>
      <w:rFonts w:asciiTheme="majorHAnsi" w:eastAsiaTheme="majorEastAsia" w:hAnsiTheme="majorHAnsi"/>
      <w:b/>
      <w:bCs/>
      <w:kern w:val="44"/>
      <w:sz w:val="32"/>
      <w:szCs w:val="32"/>
    </w:rPr>
  </w:style>
  <w:style w:type="paragraph" w:customStyle="1" w:styleId="3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4"/>
      <w:szCs w:val="24"/>
    </w:rPr>
  </w:style>
  <w:style w:type="paragraph" w:customStyle="1" w:styleId="4">
    <w:name w:val="修订4"/>
    <w:hidden/>
    <w:uiPriority w:val="99"/>
    <w:unhideWhenUsed/>
    <w:qFormat/>
    <w:rPr>
      <w:rFonts w:asciiTheme="minorHAnsi" w:eastAsiaTheme="minorEastAsia" w:hAnsiTheme="minorHAnsi" w:cstheme="minorBidi"/>
      <w:kern w:val="2"/>
      <w:sz w:val="24"/>
      <w:szCs w:val="24"/>
    </w:rPr>
  </w:style>
  <w:style w:type="paragraph" w:customStyle="1" w:styleId="5">
    <w:name w:val="修订5"/>
    <w:hidden/>
    <w:uiPriority w:val="99"/>
    <w:unhideWhenUsed/>
    <w:qFormat/>
    <w:rPr>
      <w:rFonts w:asciiTheme="minorHAnsi" w:eastAsiaTheme="minorEastAsia" w:hAnsiTheme="minorHAnsi" w:cstheme="minorBidi"/>
      <w:kern w:val="2"/>
      <w:sz w:val="24"/>
      <w:szCs w:val="24"/>
    </w:rPr>
  </w:style>
  <w:style w:type="paragraph" w:customStyle="1" w:styleId="6">
    <w:name w:val="修订6"/>
    <w:hidden/>
    <w:uiPriority w:val="99"/>
    <w:unhideWhenUsed/>
    <w:qFormat/>
    <w:rPr>
      <w:rFonts w:asciiTheme="minorHAnsi" w:eastAsiaTheme="minorEastAsia" w:hAnsiTheme="minorHAnsi" w:cstheme="minorBidi"/>
      <w:kern w:val="2"/>
      <w:sz w:val="24"/>
      <w:szCs w:val="24"/>
    </w:rPr>
  </w:style>
  <w:style w:type="character" w:customStyle="1" w:styleId="normaltextrun">
    <w:name w:val="normaltextrun"/>
    <w:basedOn w:val="DefaultParagraphFont"/>
    <w:qFormat/>
  </w:style>
  <w:style w:type="character" w:customStyle="1" w:styleId="13">
    <w:name w:val="明显强调1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14">
    <w:name w:val="明显参考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kern w:val="0"/>
      <w:sz w:val="32"/>
      <w:szCs w:val="32"/>
    </w:rPr>
  </w:style>
  <w:style w:type="table" w:customStyle="1" w:styleId="15">
    <w:name w:val="网格型1"/>
    <w:basedOn w:val="TableNormal"/>
    <w:uiPriority w:val="59"/>
    <w:qFormat/>
    <w:rPr>
      <w:rFonts w:ascii="Cambria" w:eastAsia="Times New Roman" w:hAnsi="Cambria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">
    <w:name w:val="修订7"/>
    <w:hidden/>
    <w:uiPriority w:val="99"/>
    <w:unhideWhenUsed/>
    <w:qFormat/>
    <w:rPr>
      <w:rFonts w:asciiTheme="minorHAnsi" w:eastAsiaTheme="minorEastAsia" w:hAnsiTheme="minorHAnsi" w:cstheme="minorBidi"/>
      <w:kern w:val="2"/>
      <w:sz w:val="24"/>
      <w:szCs w:val="24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adjustRightInd/>
      <w:snapToGrid/>
      <w:spacing w:before="240" w:afterLines="0" w:after="0" w:line="259" w:lineRule="auto"/>
      <w:jc w:val="left"/>
      <w:outlineLvl w:val="9"/>
    </w:pPr>
    <w:rPr>
      <w:kern w:val="0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qFormat/>
    <w:rPr>
      <w:color w:val="666666"/>
    </w:rPr>
  </w:style>
  <w:style w:type="paragraph" w:styleId="Revision">
    <w:name w:val="Revision"/>
    <w:hidden/>
    <w:uiPriority w:val="99"/>
    <w:unhideWhenUsed/>
    <w:rsid w:val="000C2EEC"/>
    <w:rPr>
      <w:rFonts w:asciiTheme="minorHAnsi" w:eastAsiaTheme="minorEastAsia" w:hAnsiTheme="minorHAnsi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29E3E8BB-0BC5-4597-824B-1E46A2AD8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20</Pages>
  <Words>3350</Words>
  <Characters>18996</Characters>
  <Application>Microsoft Office Word</Application>
  <DocSecurity>0</DocSecurity>
  <Lines>999</Lines>
  <Paragraphs>744</Paragraphs>
  <ScaleCrop>false</ScaleCrop>
  <Company/>
  <LinksUpToDate>false</LinksUpToDate>
  <CharactersWithSpaces>21602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 Guoliang</dc:creator>
  <cp:lastModifiedBy>Craig Anderson</cp:lastModifiedBy>
  <cp:revision>102</cp:revision>
  <dcterms:created xsi:type="dcterms:W3CDTF">2026-01-21T08:24:00Z</dcterms:created>
  <dcterms:modified xsi:type="dcterms:W3CDTF">2026-06-21T23:03:00Z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eyJoZGlkIjoiZDViMzg1YWFmM2M2MDc0NjViYmZiNjEzMzk5ZGI2ZjgiLCJ1c2VySWQiOiIzNDI1MjAzODUifQ==</vt:lpwstr>
  </property>
  <property fmtid="{D5CDD505-2E9C-101B-9397-08002B2CF9AE}" pid="3" name="KSOProductBuildVer">
    <vt:lpwstr>2052-12.1.0.26895</vt:lpwstr>
  </property>
  <property fmtid="{D5CDD505-2E9C-101B-9397-08002B2CF9AE}" pid="4" name="ICV">
    <vt:lpwstr>32593AFF1D4A4A5FB9DDCB4D78155DEB_13</vt:lpwstr>
  </property>
</Properties>
</file>