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6"/>
        </w:rPr>
        <w:t>Additional file 4 — GRRAS checklist for reliability and agreement studies</w:t>
      </w:r>
    </w:p>
    <w:p>
      <w:r>
        <w:rPr>
          <w:i/>
        </w:rPr>
        <w:t>Completed GRRAS checklist (Kottner et al., J Clin Epidemiol 2011) for the manuscript.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7"/>
              </w:rPr>
              <w:t>Item</w:t>
            </w:r>
          </w:p>
        </w:tc>
        <w:tc>
          <w:tcPr>
            <w:tcW w:type="dxa" w:w="2880"/>
          </w:tcPr>
          <w:p>
            <w:r>
              <w:rPr>
                <w:b/>
                <w:sz w:val="17"/>
              </w:rPr>
              <w:t>GRRAS reporting item</w:t>
            </w:r>
          </w:p>
        </w:tc>
        <w:tc>
          <w:tcPr>
            <w:tcW w:type="dxa" w:w="2880"/>
          </w:tcPr>
          <w:p>
            <w:r>
              <w:rPr>
                <w:b/>
                <w:sz w:val="17"/>
              </w:rPr>
              <w:t>Reported in (section / location)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Identify in title or abstract that inter-rater agreement/reliability is reported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Title; Abstract (“concordance”, Cohen’s and weighted kappa)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Name and describe the diagnostic/rating method under study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classification system (three-zone, MoH); AI triage model (index test); Additional file 1 (prompt)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Specify the subject eligibility criteria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Participants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Describe the sampling of subjects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Participants (consecutive enrolment); Sample size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State the rationale for the chosen number of subjects (sample size)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Sample size (precision-based; achieved κ 95% CI half-width ≈0.035)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State the number of raters and their characteristics/experience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 (single recently board-certified reference physician; ~10 routine EMTs, 6–20 years’ ED experience; ChatGPT-4o index model)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Describe rater training where applicable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 (EMTs trained in the centre’s three-zone protocol); standardized system prompt for the model (Additional file 1)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Describe whether/how raters were blinded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 (three categorizations mutually blinded; reference physician blinded to EMT category and model output; EMTs unaware of the study)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State whether ratings were obtained independently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 (independent, fixed temporal sequence; point-of-care EMT category not shown to reference/model)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Describe the statistical methods used to compute agreement/reliability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Statistical analysis (unweighted Cohen’s κ [primary]; linear/quadratic-weighted κ; PABAK; percentile/paired bootstrap 95% CIs; Δκ; Holm)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State the time interval between repeated measurements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Not applicable — each rater categorized each patient once, contemporaneously, from the same encounter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Report the flow/characteristics of subjects and raters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 — Cohort characteristics; Table 1; Figure 1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Report estimates of agreement/reliability with measures of statistical uncertainty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Results; Table 2 (κ, PABAK, Δκ with 95% CI); Table 3; Figures 2–3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 the clinical/practical relevance of the agreement obtained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Discussion; Implications and future directions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 limitations, sources of bias and handling of missing data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Statistical analysis (missing data); Discussion — Limitations (single reference, shared input, informative missingness, no outcomes)</w:t>
            </w:r>
          </w:p>
        </w:tc>
      </w:tr>
    </w:tbl>
    <w:p/>
    <w:p>
      <w:r>
        <w:rPr>
          <w:i/>
        </w:rPr>
        <w:t>Locations indicate the relevant sections of the submission manuscript, which is continuously line-numbered for ease of reference.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